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杭州萧山国际机场</w:t>
      </w:r>
    </w:p>
    <w:p>
      <w:pPr>
        <w:widowControl/>
        <w:autoSpaceDE w:val="0"/>
        <w:autoSpaceDN w:val="0"/>
        <w:jc w:val="center"/>
        <w:textAlignment w:val="bottom"/>
        <w:rPr>
          <w:rFonts w:ascii="黑体" w:hAnsi="黑体" w:eastAsia="黑体"/>
          <w:b/>
          <w:sz w:val="44"/>
          <w:szCs w:val="44"/>
        </w:rPr>
      </w:pPr>
      <w:r>
        <w:rPr>
          <w:rFonts w:hint="eastAsia" w:eastAsia="黑体" w:cs="Calibri"/>
          <w:b/>
          <w:sz w:val="44"/>
          <w:szCs w:val="44"/>
          <w:u w:val="single"/>
        </w:rPr>
        <w:t>2019年防暑降温物品</w:t>
      </w:r>
      <w:r>
        <w:rPr>
          <w:rFonts w:hint="eastAsia" w:eastAsia="黑体" w:cs="Calibri"/>
          <w:b/>
          <w:sz w:val="44"/>
          <w:szCs w:val="44"/>
        </w:rPr>
        <w:t>采购项目</w:t>
      </w: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84"/>
          <w:szCs w:val="84"/>
        </w:rPr>
      </w:pPr>
      <w:r>
        <w:rPr>
          <w:rFonts w:ascii="黑体" w:hAnsi="黑体" w:eastAsia="黑体"/>
          <w:b/>
          <w:sz w:val="84"/>
          <w:szCs w:val="84"/>
        </w:rPr>
        <w:t>招 标 文 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u w:val="single"/>
        </w:rPr>
        <w:t>四</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b/>
          <w:sz w:val="22"/>
          <w:szCs w:val="22"/>
        </w:rPr>
        <w:fldChar w:fldCharType="begin"/>
      </w:r>
      <w:r>
        <w:rPr>
          <w:rFonts w:hint="eastAsia" w:ascii="黑体" w:hAnsi="黑体" w:eastAsia="黑体"/>
          <w:b/>
          <w:sz w:val="22"/>
          <w:szCs w:val="22"/>
        </w:rPr>
        <w:instrText xml:space="preserve"> TOC \o "1-1" \h \z \u </w:instrText>
      </w:r>
      <w:r>
        <w:rPr>
          <w:rFonts w:hint="eastAsia" w:ascii="黑体" w:hAnsi="黑体" w:eastAsia="黑体"/>
          <w:b/>
          <w:sz w:val="22"/>
          <w:szCs w:val="22"/>
        </w:rPr>
        <w:fldChar w:fldCharType="separate"/>
      </w:r>
      <w:r>
        <w:rPr>
          <w:rFonts w:hint="eastAsia" w:ascii="黑体" w:hAnsi="黑体" w:eastAsia="黑体"/>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_Toc321925451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_Toc321925452 \h </w:instrText>
      </w:r>
      <w:r>
        <w:rPr>
          <w:rFonts w:hint="eastAsia" w:ascii="黑体" w:hAnsi="黑体" w:eastAsia="黑体"/>
          <w:sz w:val="22"/>
          <w:szCs w:val="22"/>
        </w:rPr>
        <w:fldChar w:fldCharType="separate"/>
      </w:r>
      <w:r>
        <w:rPr>
          <w:rFonts w:ascii="黑体" w:hAnsi="黑体" w:eastAsia="黑体"/>
          <w:sz w:val="22"/>
          <w:szCs w:val="22"/>
        </w:rPr>
        <w:t>- 4 -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第三章  货物需求一览表及技术规格</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_Toc321925453 \h </w:instrText>
      </w:r>
      <w:r>
        <w:rPr>
          <w:rFonts w:hint="eastAsia" w:ascii="黑体" w:hAnsi="黑体" w:eastAsia="黑体"/>
          <w:sz w:val="22"/>
          <w:szCs w:val="22"/>
        </w:rPr>
        <w:fldChar w:fldCharType="separate"/>
      </w:r>
      <w:r>
        <w:rPr>
          <w:rFonts w:ascii="黑体" w:hAnsi="黑体" w:eastAsia="黑体"/>
          <w:sz w:val="22"/>
          <w:szCs w:val="22"/>
        </w:rPr>
        <w:t>- 13 -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 xml:space="preserve">第四章  </w:t>
      </w:r>
      <w:r>
        <w:rPr>
          <w:rFonts w:ascii="黑体" w:hAnsi="黑体" w:eastAsia="黑体"/>
          <w:sz w:val="22"/>
          <w:szCs w:val="22"/>
        </w:rPr>
        <w:t>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_Toc321925454 \h </w:instrText>
      </w:r>
      <w:r>
        <w:rPr>
          <w:rFonts w:hint="eastAsia" w:ascii="黑体" w:hAnsi="黑体" w:eastAsia="黑体"/>
          <w:sz w:val="22"/>
          <w:szCs w:val="22"/>
        </w:rPr>
        <w:fldChar w:fldCharType="separate"/>
      </w:r>
      <w:r>
        <w:rPr>
          <w:rFonts w:ascii="黑体" w:hAnsi="黑体" w:eastAsia="黑体"/>
          <w:sz w:val="22"/>
          <w:szCs w:val="22"/>
        </w:rPr>
        <w:t>- 14 -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_Toc321925456 \h </w:instrText>
      </w:r>
      <w:r>
        <w:rPr>
          <w:rFonts w:hint="eastAsia" w:ascii="黑体" w:hAnsi="黑体" w:eastAsia="黑体"/>
          <w:sz w:val="22"/>
          <w:szCs w:val="22"/>
        </w:rPr>
        <w:fldChar w:fldCharType="separate"/>
      </w:r>
      <w:r>
        <w:rPr>
          <w:rFonts w:ascii="黑体" w:hAnsi="黑体" w:eastAsia="黑体"/>
          <w:sz w:val="22"/>
          <w:szCs w:val="22"/>
        </w:rPr>
        <w:t>- 28 -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_Toc321925457 \h </w:instrText>
      </w:r>
      <w:r>
        <w:rPr>
          <w:rFonts w:hint="eastAsia" w:ascii="黑体" w:hAnsi="黑体" w:eastAsia="黑体"/>
          <w:sz w:val="22"/>
          <w:szCs w:val="22"/>
        </w:rPr>
        <w:fldChar w:fldCharType="separate"/>
      </w:r>
      <w:r>
        <w:rPr>
          <w:rFonts w:ascii="黑体" w:hAnsi="黑体" w:eastAsia="黑体"/>
          <w:sz w:val="22"/>
          <w:szCs w:val="22"/>
        </w:rPr>
        <w:t>- 30 -</w:t>
      </w:r>
      <w:r>
        <w:rPr>
          <w:rFonts w:hint="eastAsia" w:ascii="黑体" w:hAnsi="黑体" w:eastAsia="黑体"/>
          <w:sz w:val="22"/>
          <w:szCs w:val="22"/>
        </w:rPr>
        <w:fldChar w:fldCharType="end"/>
      </w:r>
    </w:p>
    <w:p>
      <w:pPr>
        <w:tabs>
          <w:tab w:val="right" w:leader="dot" w:pos="8364"/>
        </w:tabs>
        <w:spacing w:line="480" w:lineRule="auto"/>
        <w:rPr>
          <w:b/>
        </w:rPr>
      </w:pPr>
      <w:r>
        <w:rPr>
          <w:rFonts w:hint="eastAsia" w:ascii="黑体" w:hAnsi="黑体" w:eastAsia="黑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rPr>
        <w:t xml:space="preserve">                                                          </w:t>
      </w:r>
    </w:p>
    <w:p>
      <w:pPr>
        <w:pStyle w:val="51"/>
      </w:pPr>
      <w:bookmarkStart w:id="0" w:name="_Toc321925451"/>
      <w:r>
        <w:rPr>
          <w:rFonts w:hint="eastAsia"/>
        </w:rPr>
        <w:t>第一章 招标公告</w:t>
      </w:r>
      <w:bookmarkEnd w:id="0"/>
    </w:p>
    <w:p>
      <w:pPr>
        <w:widowControl/>
        <w:snapToGrid w:val="0"/>
        <w:spacing w:line="360" w:lineRule="exact"/>
        <w:jc w:val="left"/>
        <w:rPr>
          <w:rFonts w:cs="Arial" w:asciiTheme="minorEastAsia" w:hAnsiTheme="minorEastAsia"/>
          <w:b/>
          <w:bCs/>
          <w:kern w:val="0"/>
          <w:sz w:val="22"/>
          <w:szCs w:val="22"/>
        </w:rPr>
      </w:pPr>
    </w:p>
    <w:p>
      <w:pPr>
        <w:widowControl/>
        <w:snapToGrid w:val="0"/>
        <w:spacing w:line="360" w:lineRule="exact"/>
        <w:jc w:val="left"/>
        <w:rPr>
          <w:rFonts w:cs="Arial" w:asciiTheme="minorEastAsia" w:hAnsiTheme="minorEastAsia"/>
          <w:kern w:val="0"/>
          <w:sz w:val="22"/>
          <w:szCs w:val="22"/>
        </w:rPr>
      </w:pPr>
      <w:r>
        <w:rPr>
          <w:rFonts w:hint="eastAsia" w:cs="Arial" w:asciiTheme="minorEastAsia" w:hAnsiTheme="minorEastAsia"/>
          <w:b/>
          <w:bCs/>
          <w:kern w:val="0"/>
          <w:sz w:val="22"/>
          <w:szCs w:val="22"/>
        </w:rPr>
        <w:t>一、招标内容</w:t>
      </w:r>
    </w:p>
    <w:p>
      <w:pPr>
        <w:widowControl/>
        <w:adjustRightInd w:val="0"/>
        <w:snapToGrid w:val="0"/>
        <w:spacing w:line="36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杭州萧山国际机场有限公司就</w:t>
      </w:r>
      <w:r>
        <w:rPr>
          <w:rFonts w:cs="Arial" w:asciiTheme="minorEastAsia" w:hAnsiTheme="minorEastAsia"/>
          <w:kern w:val="0"/>
          <w:sz w:val="22"/>
          <w:szCs w:val="22"/>
        </w:rPr>
        <w:t>杭州萧山国际机场</w:t>
      </w:r>
      <w:r>
        <w:rPr>
          <w:rFonts w:hint="eastAsia" w:cs="Arial" w:asciiTheme="minorEastAsia" w:hAnsiTheme="minorEastAsia"/>
          <w:kern w:val="0"/>
          <w:sz w:val="22"/>
          <w:szCs w:val="22"/>
        </w:rPr>
        <w:t>防暑降温物品</w:t>
      </w:r>
      <w:r>
        <w:rPr>
          <w:rFonts w:cs="Arial" w:asciiTheme="minorEastAsia" w:hAnsiTheme="minorEastAsia"/>
          <w:kern w:val="0"/>
          <w:sz w:val="22"/>
          <w:szCs w:val="22"/>
        </w:rPr>
        <w:t>采购项</w:t>
      </w:r>
      <w:r>
        <w:rPr>
          <w:rFonts w:hint="eastAsia" w:cs="Arial" w:asciiTheme="minorEastAsia" w:hAnsiTheme="minorEastAsia"/>
          <w:kern w:val="0"/>
          <w:sz w:val="22"/>
          <w:szCs w:val="22"/>
        </w:rPr>
        <w:t>目进行公开招标，欢迎符合资格要求的供应商参与投标。</w:t>
      </w:r>
    </w:p>
    <w:p>
      <w:pPr>
        <w:widowControl/>
        <w:adjustRightInd w:val="0"/>
        <w:snapToGrid w:val="0"/>
        <w:spacing w:line="36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招标货物名称、数量及主要技术规格</w:t>
      </w:r>
    </w:p>
    <w:tbl>
      <w:tblPr>
        <w:tblStyle w:val="58"/>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992"/>
        <w:gridCol w:w="2078"/>
        <w:gridCol w:w="2442"/>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货物名称</w:t>
            </w:r>
          </w:p>
        </w:tc>
        <w:tc>
          <w:tcPr>
            <w:tcW w:w="992"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数 量</w:t>
            </w:r>
          </w:p>
        </w:tc>
        <w:tc>
          <w:tcPr>
            <w:tcW w:w="2078"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主要技术规格</w:t>
            </w:r>
          </w:p>
        </w:tc>
        <w:tc>
          <w:tcPr>
            <w:tcW w:w="2442"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供货期</w:t>
            </w:r>
          </w:p>
        </w:tc>
        <w:tc>
          <w:tcPr>
            <w:tcW w:w="1340"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94" w:type="dxa"/>
            <w:vAlign w:val="center"/>
          </w:tcPr>
          <w:p>
            <w:pPr>
              <w:snapToGrid w:val="0"/>
              <w:jc w:val="center"/>
              <w:rPr>
                <w:rFonts w:asciiTheme="minorEastAsia" w:hAnsiTheme="minorEastAsia"/>
                <w:sz w:val="22"/>
                <w:szCs w:val="22"/>
              </w:rPr>
            </w:pPr>
            <w:r>
              <w:rPr>
                <w:rFonts w:hint="eastAsia" w:asciiTheme="minorEastAsia" w:hAnsiTheme="minorEastAsia"/>
                <w:sz w:val="22"/>
                <w:szCs w:val="22"/>
              </w:rPr>
              <w:t>铁皮枫斗晶</w:t>
            </w:r>
            <w:r>
              <w:rPr>
                <w:rFonts w:hint="eastAsia" w:asciiTheme="minorEastAsia" w:hAnsiTheme="minorEastAsia"/>
                <w:sz w:val="22"/>
                <w:szCs w:val="22"/>
                <w:lang w:val="en-US" w:eastAsia="zh-CN"/>
              </w:rPr>
              <w:t>/铁皮枫斗颗粒</w:t>
            </w:r>
          </w:p>
        </w:tc>
        <w:tc>
          <w:tcPr>
            <w:tcW w:w="992" w:type="dxa"/>
            <w:vAlign w:val="center"/>
          </w:tcPr>
          <w:p>
            <w:pPr>
              <w:snapToGrid w:val="0"/>
              <w:jc w:val="center"/>
              <w:rPr>
                <w:rFonts w:asciiTheme="minorEastAsia" w:hAnsiTheme="minorEastAsia"/>
                <w:sz w:val="22"/>
                <w:szCs w:val="22"/>
              </w:rPr>
            </w:pPr>
            <w:r>
              <w:rPr>
                <w:rFonts w:hint="eastAsia" w:asciiTheme="minorEastAsia" w:hAnsiTheme="minorEastAsia"/>
                <w:sz w:val="22"/>
                <w:szCs w:val="22"/>
              </w:rPr>
              <w:t>5706人份</w:t>
            </w:r>
          </w:p>
        </w:tc>
        <w:tc>
          <w:tcPr>
            <w:tcW w:w="2078" w:type="dxa"/>
            <w:vAlign w:val="center"/>
          </w:tcPr>
          <w:p>
            <w:pPr>
              <w:pStyle w:val="13"/>
              <w:snapToGrid w:val="0"/>
              <w:jc w:val="center"/>
              <w:rPr>
                <w:rFonts w:asciiTheme="minorEastAsia" w:hAnsiTheme="minorEastAsia"/>
                <w:sz w:val="22"/>
                <w:szCs w:val="22"/>
              </w:rPr>
            </w:pPr>
            <w:r>
              <w:rPr>
                <w:rFonts w:hint="eastAsia" w:asciiTheme="minorEastAsia" w:hAnsiTheme="minorEastAsia"/>
                <w:sz w:val="22"/>
                <w:szCs w:val="22"/>
              </w:rPr>
              <w:t>3克/袋，且不少于60袋/人份</w:t>
            </w:r>
            <w:r>
              <w:rPr>
                <w:rFonts w:hint="eastAsia" w:ascii="宋体" w:hAnsi="宋体" w:cs="宋体"/>
                <w:kern w:val="0"/>
                <w:szCs w:val="21"/>
              </w:rPr>
              <w:t>（每100克含粗多糖≥1000mg；人参皂苷Rb1≥60mg或总皂甙（苷）≥200mg）。详见第三章</w:t>
            </w:r>
          </w:p>
        </w:tc>
        <w:tc>
          <w:tcPr>
            <w:tcW w:w="2442"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合同签订后</w:t>
            </w:r>
            <w:r>
              <w:rPr>
                <w:rFonts w:hint="eastAsia" w:asciiTheme="minorEastAsia" w:hAnsiTheme="minorEastAsia"/>
                <w:color w:val="FF0000"/>
                <w:sz w:val="22"/>
                <w:szCs w:val="22"/>
                <w:u w:val="single"/>
              </w:rPr>
              <w:t>45</w:t>
            </w:r>
            <w:r>
              <w:rPr>
                <w:rFonts w:hint="eastAsia" w:asciiTheme="minorEastAsia" w:hAnsiTheme="minorEastAsia"/>
                <w:sz w:val="22"/>
                <w:szCs w:val="22"/>
              </w:rPr>
              <w:t>日历天</w:t>
            </w:r>
          </w:p>
        </w:tc>
        <w:tc>
          <w:tcPr>
            <w:tcW w:w="1340" w:type="dxa"/>
            <w:vAlign w:val="center"/>
          </w:tcPr>
          <w:p>
            <w:pPr>
              <w:adjustRightInd w:val="0"/>
              <w:snapToGrid w:val="0"/>
              <w:jc w:val="center"/>
              <w:rPr>
                <w:rFonts w:asciiTheme="minorEastAsia" w:hAnsiTheme="minorEastAsia"/>
                <w:sz w:val="22"/>
                <w:szCs w:val="22"/>
              </w:rPr>
            </w:pPr>
            <w:r>
              <w:rPr>
                <w:rFonts w:asciiTheme="minorEastAsia" w:hAnsiTheme="minorEastAsia"/>
                <w:sz w:val="22"/>
                <w:szCs w:val="22"/>
              </w:rPr>
              <w:t>杭州萧山国际机场</w:t>
            </w:r>
          </w:p>
        </w:tc>
      </w:tr>
    </w:tbl>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二、合格投标人的资格要求</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w:t>
      </w:r>
      <w:r>
        <w:rPr>
          <w:rStyle w:val="82"/>
          <w:rFonts w:hint="eastAsia" w:cs="宋体" w:asciiTheme="minorEastAsia" w:hAnsiTheme="minorEastAsia"/>
          <w:sz w:val="22"/>
          <w:szCs w:val="22"/>
        </w:rPr>
        <w:t>具有独立法人资格的制造商或代理商，注册资金不少于人民币</w:t>
      </w:r>
      <w:r>
        <w:rPr>
          <w:rStyle w:val="82"/>
          <w:rFonts w:hint="eastAsia" w:cs="宋体" w:asciiTheme="minorEastAsia" w:hAnsiTheme="minorEastAsia"/>
          <w:sz w:val="22"/>
          <w:szCs w:val="22"/>
          <w:u w:val="single"/>
        </w:rPr>
        <w:t>2000</w:t>
      </w:r>
      <w:r>
        <w:rPr>
          <w:rStyle w:val="82"/>
          <w:rFonts w:hint="eastAsia" w:cs="宋体" w:asciiTheme="minorEastAsia" w:hAnsiTheme="minorEastAsia"/>
          <w:sz w:val="22"/>
          <w:szCs w:val="22"/>
        </w:rPr>
        <w:t>万元或等值外币(按投标截止日中国人民银行公布的汇率中间价换算)，需提供营业执照复印件并加盖投标人公章作为证明材料，原件备查</w:t>
      </w:r>
      <w:r>
        <w:rPr>
          <w:rFonts w:hint="eastAsia" w:cs="Arial" w:asciiTheme="minorEastAsia" w:hAnsiTheme="minorEastAsia"/>
          <w:kern w:val="0"/>
          <w:sz w:val="22"/>
          <w:szCs w:val="22"/>
        </w:rPr>
        <w:t>。</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（2）未被信用中国网站列入失信被执行人（通过信用中国网站www.creditchina.gov.cn 查询，查询结果以网站页面显示内容为准，投标时需提供查询结果并加盖投标人公章作为证明材料）。若在中标公示期间发现中标候选人在投标截止日前为失信被执行人的，招标人将依法取消其中标资格。</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3）近三年（2016年1月1日起至投标截止日止）无行贿犯罪记录(通过中国裁判文书网http://wenshu.court.gov.cn查询，查询结果以网站页面显示内容为准，投标时需提供查询结果并加盖投标人公章作为证明材料)。若在中标公示期间发现中标候选人在投标截止日前存在行贿犯罪记录的，招标人将依法取消其中标资格。</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（4）具有一般纳税人资格，可提供税率为13%的增值税专用发票</w:t>
      </w:r>
      <w:r>
        <w:rPr>
          <w:rFonts w:hint="eastAsia" w:ascii="宋体" w:hAnsi="宋体" w:cs="Arial"/>
          <w:kern w:val="0"/>
          <w:sz w:val="22"/>
        </w:rPr>
        <w:t>（需提供税务机关出具的</w:t>
      </w:r>
      <w:r>
        <w:rPr>
          <w:rFonts w:hint="eastAsia" w:ascii="Microsoft YaHei,Segoe UI Emoji" w:hAnsi="Microsoft YaHei,Segoe UI Emoji"/>
          <w:color w:val="000000"/>
          <w:sz w:val="21"/>
          <w:szCs w:val="21"/>
        </w:rPr>
        <w:t>一般纳税人资格认定相关证明材料</w:t>
      </w:r>
      <w:r>
        <w:rPr>
          <w:rFonts w:hint="eastAsia" w:ascii="宋体" w:hAnsi="宋体" w:cs="Arial"/>
          <w:kern w:val="0"/>
          <w:sz w:val="22"/>
        </w:rPr>
        <w:t>复印件并加盖投标人公章作为证明材料，原件备查）。</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（5）代理商需具有生产商的授权书（需提供授权书复印件并加盖投标人公章作为证明材料，原件备查）。</w:t>
      </w:r>
    </w:p>
    <w:p>
      <w:pPr>
        <w:widowControl/>
        <w:adjustRightInd w:val="0"/>
        <w:snapToGrid w:val="0"/>
        <w:spacing w:line="340" w:lineRule="exact"/>
        <w:ind w:firstLine="440" w:firstLineChars="200"/>
        <w:rPr>
          <w:rFonts w:cs="Arial" w:asciiTheme="minorEastAsia" w:hAnsiTheme="minorEastAsia"/>
          <w:color w:val="FF0000"/>
          <w:kern w:val="0"/>
          <w:sz w:val="22"/>
          <w:szCs w:val="22"/>
        </w:rPr>
      </w:pPr>
      <w:r>
        <w:rPr>
          <w:rFonts w:hint="eastAsia" w:cs="Arial" w:asciiTheme="minorEastAsia" w:hAnsiTheme="minorEastAsia"/>
          <w:kern w:val="0"/>
          <w:sz w:val="22"/>
          <w:szCs w:val="22"/>
        </w:rPr>
        <w:t>（6）</w:t>
      </w:r>
      <w:r>
        <w:rPr>
          <w:rFonts w:hint="eastAsia" w:cs="Arial" w:asciiTheme="minorEastAsia" w:hAnsiTheme="minorEastAsia"/>
          <w:color w:val="FF0000"/>
          <w:kern w:val="0"/>
          <w:sz w:val="22"/>
          <w:szCs w:val="22"/>
        </w:rPr>
        <w:t>投标人须具备本标的物的经营许可证，所投产品须具有“国食健字”或“卫食健字”或“国药准字”批准文号。（需提供相关证明材料复印件并加盖投标人公章作为证明材料，原件备查）</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（7）</w:t>
      </w:r>
      <w:r>
        <w:rPr>
          <w:rFonts w:cs="Arial" w:asciiTheme="minorEastAsia" w:hAnsiTheme="minorEastAsia"/>
          <w:kern w:val="0"/>
          <w:sz w:val="22"/>
          <w:szCs w:val="22"/>
        </w:rPr>
        <w:t>本项目不接受联合</w:t>
      </w:r>
      <w:r>
        <w:rPr>
          <w:rFonts w:hint="eastAsia" w:cs="Arial" w:asciiTheme="minorEastAsia" w:hAnsiTheme="minorEastAsia"/>
          <w:kern w:val="0"/>
          <w:sz w:val="22"/>
          <w:szCs w:val="22"/>
        </w:rPr>
        <w:t>体</w:t>
      </w:r>
      <w:r>
        <w:rPr>
          <w:rFonts w:cs="Arial" w:asciiTheme="minorEastAsia" w:hAnsiTheme="minorEastAsia"/>
          <w:kern w:val="0"/>
          <w:sz w:val="22"/>
          <w:szCs w:val="22"/>
        </w:rPr>
        <w:t>投标</w:t>
      </w:r>
      <w:r>
        <w:rPr>
          <w:rFonts w:hint="eastAsia" w:cs="Arial" w:asciiTheme="minorEastAsia" w:hAnsiTheme="minorEastAsia"/>
          <w:kern w:val="0"/>
          <w:sz w:val="22"/>
          <w:szCs w:val="22"/>
        </w:rPr>
        <w:t>。</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三、招标文件获取</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cs="Arial" w:asciiTheme="minorEastAsia" w:hAnsiTheme="minorEastAsia"/>
          <w:kern w:val="0"/>
          <w:sz w:val="22"/>
          <w:szCs w:val="22"/>
        </w:rPr>
        <w:t>http://www.hzairport.com/zbxx.aspx</w:t>
      </w:r>
      <w:r>
        <w:rPr>
          <w:rFonts w:cs="Arial" w:asciiTheme="minorEastAsia" w:hAnsiTheme="minorEastAsia"/>
          <w:kern w:val="0"/>
          <w:sz w:val="22"/>
          <w:szCs w:val="22"/>
        </w:rPr>
        <w:fldChar w:fldCharType="end"/>
      </w:r>
      <w:r>
        <w:rPr>
          <w:rFonts w:hint="eastAsia" w:cs="Arial" w:asciiTheme="minorEastAsia" w:hAnsiTheme="minorEastAsia"/>
          <w:kern w:val="0"/>
          <w:sz w:val="22"/>
          <w:szCs w:val="22"/>
        </w:rPr>
        <w:t>自行下载招标文件。</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招标文件下载</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四、投标文件的递交</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w:t>
      </w:r>
      <w:r>
        <w:rPr>
          <w:rFonts w:hint="eastAsia" w:ascii="宋体" w:hAnsi="宋体" w:cs="Arial"/>
          <w:kern w:val="0"/>
          <w:sz w:val="22"/>
        </w:rPr>
        <w:t>投标文件递交截止时间：2019年</w:t>
      </w:r>
      <w:r>
        <w:rPr>
          <w:rFonts w:ascii="宋体" w:hAnsi="宋体" w:cs="Arial"/>
          <w:kern w:val="0"/>
          <w:sz w:val="22"/>
        </w:rPr>
        <w:t>5</w:t>
      </w:r>
      <w:r>
        <w:rPr>
          <w:rFonts w:hint="eastAsia" w:ascii="宋体" w:hAnsi="宋体" w:cs="Arial"/>
          <w:kern w:val="0"/>
          <w:sz w:val="22"/>
        </w:rPr>
        <w:t>月</w:t>
      </w:r>
      <w:r>
        <w:rPr>
          <w:rFonts w:ascii="宋体" w:hAnsi="宋体" w:cs="Arial"/>
          <w:kern w:val="0"/>
          <w:sz w:val="22"/>
        </w:rPr>
        <w:t>20</w:t>
      </w:r>
      <w:r>
        <w:rPr>
          <w:rFonts w:hint="eastAsia" w:ascii="宋体" w:hAnsi="宋体" w:cs="Arial"/>
          <w:kern w:val="0"/>
          <w:sz w:val="22"/>
        </w:rPr>
        <w:t>日上午9时00分（北京时间）。投标文件在封口处加盖公章，并派专人于2019年</w:t>
      </w:r>
      <w:r>
        <w:rPr>
          <w:rFonts w:ascii="宋体" w:hAnsi="宋体" w:cs="Arial"/>
          <w:kern w:val="0"/>
          <w:sz w:val="22"/>
        </w:rPr>
        <w:t>5</w:t>
      </w:r>
      <w:r>
        <w:rPr>
          <w:rFonts w:hint="eastAsia" w:ascii="宋体" w:hAnsi="宋体" w:cs="Arial"/>
          <w:kern w:val="0"/>
          <w:sz w:val="22"/>
        </w:rPr>
        <w:t>月</w:t>
      </w:r>
      <w:r>
        <w:rPr>
          <w:rFonts w:ascii="宋体" w:hAnsi="宋体" w:cs="Arial"/>
          <w:kern w:val="0"/>
          <w:sz w:val="22"/>
        </w:rPr>
        <w:t>20</w:t>
      </w:r>
      <w:r>
        <w:rPr>
          <w:rFonts w:hint="eastAsia" w:ascii="宋体" w:hAnsi="宋体" w:cs="Arial"/>
          <w:kern w:val="0"/>
          <w:sz w:val="22"/>
        </w:rPr>
        <w:t>日上午9时00分（北京时间）前送至杭州萧山国际机场翔越路综合服务楼园区招标中心，逾期无效；若采用投递方式的，请于2019年</w:t>
      </w:r>
      <w:r>
        <w:rPr>
          <w:rFonts w:ascii="宋体" w:hAnsi="宋体" w:cs="Arial"/>
          <w:kern w:val="0"/>
          <w:sz w:val="22"/>
        </w:rPr>
        <w:t>5</w:t>
      </w:r>
      <w:r>
        <w:rPr>
          <w:rFonts w:hint="eastAsia" w:ascii="宋体" w:hAnsi="宋体" w:cs="Arial"/>
          <w:kern w:val="0"/>
          <w:sz w:val="22"/>
        </w:rPr>
        <w:t>月</w:t>
      </w:r>
      <w:r>
        <w:rPr>
          <w:rFonts w:ascii="宋体" w:hAnsi="宋体" w:cs="Arial"/>
          <w:kern w:val="0"/>
          <w:sz w:val="22"/>
        </w:rPr>
        <w:t>20</w:t>
      </w:r>
      <w:r>
        <w:rPr>
          <w:rFonts w:hint="eastAsia" w:ascii="宋体" w:hAnsi="宋体" w:cs="Arial"/>
          <w:kern w:val="0"/>
          <w:sz w:val="22"/>
        </w:rPr>
        <w:t>日上午9时00分（北京时间）前投递至杭州萧山国际机场综合楼213室，逾期无效。</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w:t>
      </w:r>
      <w:r>
        <w:rPr>
          <w:rFonts w:hint="eastAsia" w:asciiTheme="minorEastAsia" w:hAnsiTheme="minorEastAsia"/>
          <w:sz w:val="22"/>
          <w:szCs w:val="22"/>
        </w:rPr>
        <w:t>逾期送达或者未送达指定地点的投标文件，招标人不予受理。</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五、发布公告的媒介</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本次招标公告在</w:t>
      </w:r>
      <w:r>
        <w:rPr>
          <w:rFonts w:hint="eastAsia" w:cs="Arial" w:asciiTheme="minorEastAsia" w:hAnsiTheme="minorEastAsia"/>
          <w:b/>
          <w:kern w:val="0"/>
          <w:sz w:val="22"/>
          <w:szCs w:val="22"/>
        </w:rPr>
        <w:t>中国采购与招标网和杭州萧山机场有限公司</w:t>
      </w:r>
      <w:r>
        <w:rPr>
          <w:rFonts w:hint="eastAsia" w:cs="Arial" w:asciiTheme="minorEastAsia" w:hAnsiTheme="minorEastAsia"/>
          <w:kern w:val="0"/>
          <w:sz w:val="22"/>
          <w:szCs w:val="22"/>
        </w:rPr>
        <w:t>主页上发布</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asciiTheme="minorEastAsia" w:hAnsiTheme="minorEastAsia"/>
          <w:sz w:val="22"/>
          <w:szCs w:val="22"/>
        </w:rPr>
        <w:t>中国采购与招标网</w:t>
      </w:r>
      <w:r>
        <w:rPr>
          <w:rFonts w:asciiTheme="minorEastAsia" w:hAnsiTheme="minorEastAsia"/>
          <w:sz w:val="22"/>
          <w:szCs w:val="22"/>
        </w:rPr>
        <w:t xml:space="preserve">  </w:t>
      </w:r>
      <w:r>
        <w:fldChar w:fldCharType="begin"/>
      </w:r>
      <w:r>
        <w:instrText xml:space="preserve"> HYPERLINK "http://www.chinabidding.com.cn" </w:instrText>
      </w:r>
      <w:r>
        <w:fldChar w:fldCharType="separate"/>
      </w:r>
      <w:r>
        <w:rPr>
          <w:rFonts w:asciiTheme="minorEastAsia" w:hAnsiTheme="minorEastAsia"/>
          <w:sz w:val="22"/>
          <w:szCs w:val="22"/>
        </w:rPr>
        <w:t>http://www.chinabidding.com.cn</w:t>
      </w:r>
      <w:r>
        <w:rPr>
          <w:rFonts w:asciiTheme="minorEastAsia" w:hAnsiTheme="minorEastAsia"/>
          <w:sz w:val="22"/>
          <w:szCs w:val="22"/>
        </w:rPr>
        <w:fldChar w:fldCharType="end"/>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杭州萧山机场有限公司主页http://www.hzairport.com</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六、联系方式</w:t>
      </w:r>
    </w:p>
    <w:p>
      <w:pPr>
        <w:widowControl/>
        <w:adjustRightInd w:val="0"/>
        <w:snapToGrid w:val="0"/>
        <w:spacing w:line="340" w:lineRule="exact"/>
        <w:ind w:firstLine="440" w:firstLineChars="200"/>
        <w:rPr>
          <w:rFonts w:asciiTheme="minorEastAsia" w:hAnsiTheme="minorEastAsia"/>
          <w:sz w:val="22"/>
          <w:szCs w:val="22"/>
        </w:rPr>
      </w:pPr>
      <w:r>
        <w:rPr>
          <w:rFonts w:hint="eastAsia" w:asciiTheme="minorEastAsia" w:hAnsiTheme="minorEastAsia"/>
          <w:sz w:val="22"/>
          <w:szCs w:val="22"/>
        </w:rPr>
        <w:t>投标联系人：贾思勰        联系电话：0571-86662723</w:t>
      </w:r>
    </w:p>
    <w:p>
      <w:pPr>
        <w:widowControl/>
        <w:adjustRightInd w:val="0"/>
        <w:snapToGrid w:val="0"/>
        <w:spacing w:line="340" w:lineRule="exact"/>
        <w:ind w:firstLine="440" w:firstLineChars="200"/>
        <w:rPr>
          <w:rFonts w:asciiTheme="minorEastAsia" w:hAnsiTheme="minorEastAsia"/>
          <w:bCs/>
          <w:sz w:val="22"/>
          <w:szCs w:val="22"/>
        </w:rPr>
      </w:pPr>
      <w:r>
        <w:rPr>
          <w:rFonts w:hint="eastAsia" w:asciiTheme="minorEastAsia" w:hAnsiTheme="minorEastAsia"/>
          <w:bCs/>
          <w:sz w:val="22"/>
          <w:szCs w:val="22"/>
        </w:rPr>
        <w:t>招标监督人：阮周长         联系电话：0571-86662133</w:t>
      </w:r>
    </w:p>
    <w:p>
      <w:pPr>
        <w:pStyle w:val="51"/>
      </w:pPr>
      <w:r>
        <w:rPr>
          <w:rFonts w:hint="eastAsia" w:asciiTheme="minorEastAsia" w:hAnsiTheme="minorEastAsia"/>
          <w:bCs w:val="0"/>
          <w:sz w:val="22"/>
          <w:szCs w:val="22"/>
        </w:rPr>
        <w:t xml:space="preserve"> </w:t>
      </w:r>
      <w:r>
        <w:rPr>
          <w:rFonts w:asciiTheme="minorEastAsia" w:hAnsiTheme="minorEastAsia"/>
          <w:bCs w:val="0"/>
          <w:sz w:val="22"/>
          <w:szCs w:val="22"/>
        </w:rPr>
        <w:br w:type="page"/>
      </w:r>
      <w:bookmarkStart w:id="1" w:name="_Toc321925452"/>
      <w:r>
        <w:t>第</w:t>
      </w:r>
      <w:r>
        <w:rPr>
          <w:rFonts w:hint="eastAsia"/>
        </w:rPr>
        <w:t>二</w:t>
      </w:r>
      <w:r>
        <w:t>章  投标</w:t>
      </w:r>
      <w:r>
        <w:rPr>
          <w:rFonts w:hint="eastAsia"/>
        </w:rPr>
        <w:t>人须知</w:t>
      </w:r>
      <w:bookmarkEnd w:id="1"/>
    </w:p>
    <w:p>
      <w:pPr>
        <w:pStyle w:val="34"/>
        <w:spacing w:line="240" w:lineRule="auto"/>
        <w:ind w:left="480"/>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Arial"/>
                <w:kern w:val="0"/>
                <w:sz w:val="22"/>
              </w:rPr>
              <w:t>杭州萧山国际机场</w:t>
            </w:r>
            <w:r>
              <w:rPr>
                <w:rFonts w:hint="eastAsia" w:ascii="宋体" w:hAnsi="宋体" w:cs="Arial"/>
                <w:kern w:val="0"/>
                <w:sz w:val="22"/>
              </w:rPr>
              <w:t>防暑降温</w:t>
            </w:r>
            <w:r>
              <w:rPr>
                <w:rFonts w:hint="eastAsia" w:ascii="宋体" w:hAnsi="宋体" w:cs="Arial"/>
                <w:kern w:val="0"/>
                <w:sz w:val="22"/>
                <w:lang w:eastAsia="zh-CN"/>
              </w:rPr>
              <w:t>物</w:t>
            </w:r>
            <w:r>
              <w:rPr>
                <w:rFonts w:hint="eastAsia" w:ascii="宋体" w:hAnsi="宋体" w:cs="Arial"/>
                <w:kern w:val="0"/>
                <w:sz w:val="22"/>
              </w:rPr>
              <w:t>品</w:t>
            </w:r>
            <w:r>
              <w:rPr>
                <w:rFonts w:ascii="宋体" w:hAnsi="宋体" w:cs="Arial"/>
                <w:kern w:val="0"/>
                <w:sz w:val="22"/>
              </w:rPr>
              <w:t>采购项</w:t>
            </w:r>
            <w:r>
              <w:rPr>
                <w:rFonts w:hint="eastAsia" w:ascii="宋体" w:hAnsi="宋体" w:cs="Arial"/>
                <w:kern w:val="0"/>
                <w:sz w:val="22"/>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交货</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82"/>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cs="Calibri" w:asciiTheme="minorEastAsia" w:hAnsiTheme="minorEastAsia"/>
                <w:kern w:val="0"/>
                <w:sz w:val="22"/>
              </w:rPr>
              <w:t>见招标公告，具体要求详见</w:t>
            </w:r>
            <w:r>
              <w:rPr>
                <w:rFonts w:ascii="宋体" w:hAnsi="宋体" w:cs="Calibri"/>
                <w:kern w:val="0"/>
                <w:sz w:val="22"/>
              </w:rPr>
              <w:t>第</w:t>
            </w:r>
            <w:r>
              <w:rPr>
                <w:rFonts w:hint="eastAsia" w:ascii="宋体" w:hAnsi="宋体" w:cs="Calibri"/>
                <w:kern w:val="0"/>
                <w:sz w:val="22"/>
              </w:rPr>
              <w:t>三</w:t>
            </w:r>
            <w:r>
              <w:rPr>
                <w:rFonts w:ascii="宋体" w:hAnsi="宋体" w:cs="Calibri"/>
                <w:kern w:val="0"/>
                <w:sz w:val="22"/>
              </w:rPr>
              <w:t>章“货物需求一览表及技术规格”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cs="Calibri" w:asciiTheme="minorEastAsia" w:hAnsiTheme="minorEastAsia"/>
                <w:kern w:val="0"/>
                <w:sz w:val="22"/>
              </w:rPr>
              <w:t>详见招标公告</w:t>
            </w:r>
            <w:r>
              <w:rPr>
                <w:rFonts w:hint="eastAsia" w:cs="Calibri" w:asciiTheme="minorEastAsia" w:hAnsiTheme="minorEastAsia"/>
                <w:kern w:val="0"/>
                <w:sz w:val="22"/>
              </w:rPr>
              <w:t>“</w:t>
            </w:r>
            <w:r>
              <w:rPr>
                <w:rFonts w:hint="eastAsia" w:cs="黑体" w:asciiTheme="minorEastAsia" w:hAnsiTheme="minorEastAsia"/>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供货期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合同签订后</w:t>
            </w:r>
            <w:r>
              <w:rPr>
                <w:rFonts w:hint="eastAsia" w:ascii="宋体" w:hAnsi="宋体"/>
                <w:sz w:val="22"/>
                <w:u w:val="single"/>
              </w:rPr>
              <w:t>45</w:t>
            </w:r>
            <w:r>
              <w:rPr>
                <w:rFonts w:hint="eastAsia"/>
                <w:sz w:val="22"/>
              </w:rPr>
              <w:t>日历天</w:t>
            </w:r>
            <w:r>
              <w:rPr>
                <w:rFonts w:hint="eastAsia" w:ascii="宋体" w:hAnsi="宋体" w:cs="Calibri"/>
                <w:kern w:val="0"/>
                <w:sz w:val="22"/>
              </w:rPr>
              <w:t>内。</w:t>
            </w:r>
          </w:p>
          <w:p>
            <w:pPr>
              <w:autoSpaceDE w:val="0"/>
              <w:autoSpaceDN w:val="0"/>
              <w:adjustRightInd w:val="0"/>
              <w:snapToGrid w:val="0"/>
              <w:rPr>
                <w:rFonts w:ascii="宋体" w:hAnsi="宋体" w:cs="Calibri"/>
                <w:kern w:val="0"/>
                <w:sz w:val="22"/>
              </w:rPr>
            </w:pPr>
            <w:r>
              <w:rPr>
                <w:rFonts w:hint="eastAsia" w:ascii="宋体" w:hAnsi="宋体" w:cs="Calibri"/>
                <w:kern w:val="0"/>
                <w:sz w:val="22"/>
              </w:rPr>
              <w:t>投标人须在投标文件中提供最快交货时间和详细的供货计划。投标人可根据自身经验、技术水平及管理能力自报竞争性</w:t>
            </w:r>
            <w:r>
              <w:rPr>
                <w:rFonts w:ascii="宋体" w:hAnsi="宋体" w:cs="Calibri"/>
                <w:kern w:val="0"/>
                <w:sz w:val="22"/>
              </w:rPr>
              <w:t>供货期</w:t>
            </w:r>
            <w:r>
              <w:rPr>
                <w:rFonts w:hint="eastAsia" w:ascii="宋体" w:hAnsi="宋体" w:cs="Calibri"/>
                <w:kern w:val="0"/>
                <w:sz w:val="22"/>
              </w:rPr>
              <w:t>，但不得超过招标人明确的计划</w:t>
            </w:r>
            <w:r>
              <w:rPr>
                <w:rFonts w:ascii="宋体" w:hAnsi="宋体" w:cs="Calibri"/>
                <w:kern w:val="0"/>
                <w:sz w:val="22"/>
              </w:rPr>
              <w:t>供货期</w:t>
            </w:r>
            <w:r>
              <w:rPr>
                <w:rFonts w:hint="eastAsia" w:ascii="宋体" w:hAnsi="宋体" w:cs="Calibri"/>
                <w:kern w:val="0"/>
                <w:sz w:val="22"/>
              </w:rPr>
              <w:t>。一旦中标，该</w:t>
            </w:r>
            <w:r>
              <w:rPr>
                <w:rFonts w:ascii="宋体" w:hAnsi="宋体" w:cs="Calibri"/>
                <w:kern w:val="0"/>
                <w:sz w:val="22"/>
              </w:rPr>
              <w:t>供货期</w:t>
            </w:r>
            <w:r>
              <w:rPr>
                <w:rFonts w:hint="eastAsia" w:ascii="宋体" w:hAnsi="宋体" w:cs="Calibri"/>
                <w:kern w:val="0"/>
                <w:sz w:val="22"/>
              </w:rPr>
              <w:t>即为合同</w:t>
            </w:r>
            <w:r>
              <w:rPr>
                <w:rFonts w:ascii="宋体" w:hAnsi="宋体" w:cs="Calibri"/>
                <w:kern w:val="0"/>
                <w:sz w:val="22"/>
              </w:rPr>
              <w:t>供货期</w:t>
            </w:r>
            <w:r>
              <w:rPr>
                <w:rFonts w:hint="eastAsia" w:ascii="宋体" w:hAnsi="宋体" w:cs="Calibri"/>
                <w:kern w:val="0"/>
                <w:sz w:val="22"/>
              </w:rPr>
              <w:t>。整个项目</w:t>
            </w:r>
            <w:r>
              <w:rPr>
                <w:rFonts w:ascii="宋体" w:hAnsi="宋体" w:cs="Calibri"/>
                <w:kern w:val="0"/>
                <w:sz w:val="22"/>
              </w:rPr>
              <w:t>供货期</w:t>
            </w:r>
            <w:r>
              <w:rPr>
                <w:rFonts w:hint="eastAsia" w:ascii="宋体" w:hAnsi="宋体" w:cs="Calibri"/>
                <w:kern w:val="0"/>
                <w:sz w:val="22"/>
              </w:rPr>
              <w:t>安排应服从招标人要求。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hint="eastAsia" w:cs="Calibri" w:asciiTheme="minorEastAsia" w:hAnsiTheme="minorEastAsia"/>
                <w:kern w:val="0"/>
                <w:sz w:val="22"/>
              </w:rPr>
              <w:t>质量要求</w:t>
            </w:r>
          </w:p>
        </w:tc>
        <w:tc>
          <w:tcPr>
            <w:tcW w:w="6487" w:type="dxa"/>
            <w:vAlign w:val="center"/>
          </w:tcPr>
          <w:p>
            <w:pPr>
              <w:rPr>
                <w:rFonts w:asciiTheme="minorEastAsia" w:hAnsiTheme="minorEastAsia"/>
                <w:color w:val="000000"/>
                <w:sz w:val="22"/>
              </w:rPr>
            </w:pPr>
            <w:r>
              <w:rPr>
                <w:rFonts w:hint="eastAsia" w:asciiTheme="minorEastAsia" w:hAnsiTheme="minorEastAsia"/>
                <w:iCs/>
                <w:sz w:val="22"/>
              </w:rPr>
              <w:t>符</w:t>
            </w:r>
            <w:r>
              <w:rPr>
                <w:rFonts w:hint="eastAsia" w:asciiTheme="minorEastAsia" w:hAnsiTheme="minorEastAsia"/>
                <w:sz w:val="22"/>
              </w:rPr>
              <w:t>合国家现行标准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1.</w:t>
            </w:r>
            <w:r>
              <w:rPr>
                <w:rFonts w:hint="eastAsia" w:cs="Calibri" w:asciiTheme="minorEastAsia" w:hAnsiTheme="minorEastAsia"/>
                <w:kern w:val="0"/>
                <w:sz w:val="22"/>
              </w:rPr>
              <w:t>9</w:t>
            </w:r>
            <w:r>
              <w:rPr>
                <w:rFonts w:cs="Calibri" w:asciiTheme="minorEastAsia" w:hAnsiTheme="minorEastAsia"/>
                <w:kern w:val="0"/>
                <w:sz w:val="22"/>
              </w:rPr>
              <w:t>.1</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踏勘现场</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sym w:font="Wingdings" w:char="F0FE"/>
            </w:r>
            <w:r>
              <w:rPr>
                <w:rFonts w:cs="Calibri" w:asciiTheme="minorEastAsia" w:hAnsiTheme="minorEastAsia"/>
                <w:kern w:val="0"/>
                <w:sz w:val="22"/>
              </w:rPr>
              <w:t>不组织</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□组织，踏勘时间：</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1.</w:t>
            </w:r>
            <w:r>
              <w:rPr>
                <w:rFonts w:hint="eastAsia" w:cs="Calibri" w:asciiTheme="minorEastAsia" w:hAnsiTheme="minorEastAsia"/>
                <w:kern w:val="0"/>
                <w:sz w:val="22"/>
              </w:rPr>
              <w:t>10</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投标预备会</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sym w:font="Wingdings" w:char="F0FE"/>
            </w:r>
            <w:r>
              <w:rPr>
                <w:rFonts w:cs="Calibri" w:asciiTheme="minorEastAsia" w:hAnsiTheme="minorEastAsia"/>
                <w:kern w:val="0"/>
                <w:sz w:val="22"/>
              </w:rPr>
              <w:t>不召开</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□召开，召开时间：</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cs="Calibri" w:asciiTheme="minorEastAsia" w:hAnsiTheme="minorEastAsia"/>
                <w:kern w:val="0"/>
                <w:sz w:val="22"/>
              </w:rPr>
            </w:pPr>
            <w:r>
              <w:rPr>
                <w:rFonts w:hint="eastAsia" w:ascii="宋体" w:hAnsi="宋体" w:cs="Calibri"/>
                <w:kern w:val="0"/>
                <w:sz w:val="22"/>
              </w:rPr>
              <w:t>2019年</w:t>
            </w:r>
            <w:r>
              <w:rPr>
                <w:rFonts w:ascii="宋体" w:hAnsi="宋体" w:cs="Calibri"/>
                <w:kern w:val="0"/>
                <w:sz w:val="22"/>
              </w:rPr>
              <w:t>5</w:t>
            </w:r>
            <w:r>
              <w:rPr>
                <w:rFonts w:hint="eastAsia" w:ascii="宋体" w:hAnsi="宋体" w:cs="Calibri"/>
                <w:kern w:val="0"/>
                <w:sz w:val="22"/>
              </w:rPr>
              <w:t>月10日11：30前，以书面加盖公章的形式通过E-mail或传真提交给招标人（投标联系人:贾思勰，电话0571-866627</w:t>
            </w:r>
            <w:r>
              <w:rPr>
                <w:rFonts w:ascii="宋体" w:hAnsi="宋体" w:cs="Calibri"/>
                <w:kern w:val="0"/>
                <w:sz w:val="22"/>
              </w:rPr>
              <w:t>23</w:t>
            </w:r>
            <w:r>
              <w:rPr>
                <w:rFonts w:hint="eastAsia" w:ascii="宋体" w:hAnsi="宋体" w:cs="Calibri"/>
                <w:kern w:val="0"/>
                <w:sz w:val="22"/>
              </w:rPr>
              <w:t>；传真：0571-86662736；电子邮箱：zbzx@hzairport.com）投标人必须在规定时间前提出对招标文件的疑问，否则招标人有权拒绝接收和拒绝回答未在截止时间前提出的疑问。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cs="Calibri" w:asciiTheme="minorEastAsia" w:hAnsiTheme="minorEastAsia"/>
                <w:b/>
                <w:kern w:val="0"/>
                <w:sz w:val="22"/>
              </w:rPr>
            </w:pPr>
            <w:r>
              <w:rPr>
                <w:rFonts w:hint="eastAsia" w:cs="Calibri" w:asciiTheme="minorEastAsia" w:hAnsiTheme="minorEastAsia"/>
                <w:b/>
                <w:kern w:val="0"/>
                <w:sz w:val="22"/>
              </w:rPr>
              <w:t>2019年5月20日上午9时00分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widowControl/>
              <w:jc w:val="left"/>
              <w:rPr>
                <w:rFonts w:ascii="宋体" w:hAnsi="宋体" w:eastAsia="宋体" w:cs="Times New Roman"/>
                <w:sz w:val="22"/>
              </w:rPr>
            </w:pPr>
            <w:r>
              <w:rPr>
                <w:rFonts w:ascii="宋体" w:hAnsi="宋体" w:eastAsia="宋体" w:cs="Times New Roman"/>
                <w:sz w:val="22"/>
              </w:rPr>
              <w:t>投标保证金的形式：以转账支票、电汇、银行汇票形式，从投标人基本帐户缴纳，应在投标截止时间前向指定的帐户递交：</w:t>
            </w:r>
          </w:p>
          <w:p>
            <w:pPr>
              <w:snapToGrid w:val="0"/>
              <w:rPr>
                <w:rFonts w:ascii="宋体" w:hAnsi="宋体" w:eastAsia="宋体" w:cs="Times New Roman"/>
                <w:sz w:val="22"/>
              </w:rPr>
            </w:pPr>
            <w:r>
              <w:rPr>
                <w:rFonts w:hint="eastAsia" w:ascii="宋体" w:hAnsi="宋体" w:eastAsia="宋体" w:cs="Times New Roman"/>
                <w:sz w:val="22"/>
              </w:rPr>
              <w:t>投标保证金的金额：人民币</w:t>
            </w:r>
            <w:r>
              <w:rPr>
                <w:rFonts w:hint="eastAsia" w:ascii="宋体" w:hAnsi="宋体" w:eastAsia="宋体"/>
                <w:color w:val="FF0000"/>
                <w:sz w:val="22"/>
                <w:highlight w:val="yellow"/>
              </w:rPr>
              <w:t>伍万</w:t>
            </w:r>
            <w:r>
              <w:rPr>
                <w:rFonts w:hint="eastAsia" w:ascii="宋体" w:hAnsi="宋体" w:eastAsia="宋体" w:cs="Times New Roman"/>
                <w:sz w:val="22"/>
              </w:rPr>
              <w:t>元整</w:t>
            </w:r>
          </w:p>
          <w:p>
            <w:pPr>
              <w:snapToGrid w:val="0"/>
              <w:rPr>
                <w:rFonts w:ascii="宋体" w:hAnsi="宋体" w:eastAsia="宋体" w:cs="Times New Roman"/>
                <w:sz w:val="22"/>
              </w:rPr>
            </w:pPr>
            <w:r>
              <w:rPr>
                <w:rFonts w:hint="eastAsia" w:ascii="宋体" w:hAnsi="宋体" w:eastAsia="宋体" w:cs="Times New Roman"/>
                <w:sz w:val="22"/>
              </w:rPr>
              <w:t>投标保证金应在投标截止时间前汇入以下帐户：</w:t>
            </w:r>
          </w:p>
          <w:p>
            <w:pPr>
              <w:snapToGrid w:val="0"/>
              <w:rPr>
                <w:rFonts w:ascii="宋体" w:hAnsi="宋体" w:eastAsia="宋体" w:cs="Times New Roman"/>
                <w:sz w:val="22"/>
              </w:rPr>
            </w:pPr>
            <w:r>
              <w:rPr>
                <w:rFonts w:hint="eastAsia" w:ascii="宋体" w:hAnsi="宋体" w:eastAsia="宋体" w:cs="Times New Roman"/>
                <w:sz w:val="22"/>
              </w:rPr>
              <w:t>开户名：杭州萧山国际机场有限公司</w:t>
            </w:r>
          </w:p>
          <w:p>
            <w:pPr>
              <w:snapToGrid w:val="0"/>
              <w:rPr>
                <w:rFonts w:hint="eastAsia" w:ascii="宋体" w:hAnsi="宋体" w:eastAsia="宋体" w:cs="Times New Roman"/>
                <w:sz w:val="22"/>
              </w:rPr>
            </w:pPr>
            <w:r>
              <w:rPr>
                <w:rFonts w:hint="eastAsia" w:ascii="宋体" w:hAnsi="宋体" w:eastAsia="宋体" w:cs="Times New Roman"/>
                <w:sz w:val="22"/>
              </w:rPr>
              <w:t xml:space="preserve">开户银行：工行杭州市空港城支行 </w:t>
            </w:r>
          </w:p>
          <w:p>
            <w:pPr>
              <w:snapToGrid w:val="0"/>
              <w:spacing w:line="360" w:lineRule="auto"/>
              <w:rPr>
                <w:rFonts w:hint="eastAsia" w:ascii="宋体" w:hAnsi="宋体" w:eastAsia="宋体" w:cs="Times New Roman"/>
                <w:sz w:val="22"/>
              </w:rPr>
            </w:pPr>
            <w:r>
              <w:rPr>
                <w:rFonts w:hint="eastAsia" w:asciiTheme="minorEastAsia" w:hAnsiTheme="minorEastAsia"/>
                <w:sz w:val="22"/>
              </w:rPr>
              <w:t>帐号：</w:t>
            </w:r>
            <w:r>
              <w:rPr>
                <w:rFonts w:hint="eastAsia" w:asciiTheme="minorEastAsia" w:hAnsiTheme="minorEastAsia"/>
                <w:sz w:val="22"/>
                <w:lang w:val="zh-CN"/>
              </w:rPr>
              <w:t>1202050209904601740</w:t>
            </w:r>
            <w:bookmarkStart w:id="91" w:name="_GoBack"/>
            <w:bookmarkEnd w:id="91"/>
          </w:p>
          <w:p>
            <w:pPr>
              <w:snapToGrid w:val="0"/>
              <w:rPr>
                <w:rFonts w:ascii="宋体" w:hAnsi="宋体"/>
                <w:b/>
                <w:sz w:val="22"/>
              </w:rPr>
            </w:pPr>
            <w:r>
              <w:rPr>
                <w:rFonts w:hint="eastAsia" w:ascii="宋体" w:hAnsi="宋体"/>
                <w:b/>
                <w:sz w:val="22"/>
                <w:highlight w:val="yellow"/>
              </w:rPr>
              <w:t>投标人提交投标保证金时需注明“防暑降温物品采购项目投标保证金”，基本账户开户许可证和银行回单复印件等信息随投标函单独封装，随投标文件一同递交。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b/>
                <w:kern w:val="0"/>
                <w:sz w:val="22"/>
              </w:rPr>
              <w:t>投标文件封面（或扉页）、投标函以及各类报价表</w:t>
            </w:r>
            <w:r>
              <w:rPr>
                <w:rFonts w:cs="Calibri" w:asciiTheme="minorEastAsia" w:hAnsiTheme="minorEastAsia"/>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 xml:space="preserve">份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招标人的地址：</w:t>
            </w:r>
            <w:r>
              <w:rPr>
                <w:rFonts w:hint="eastAsia" w:asciiTheme="minorEastAsia" w:hAnsiTheme="minorEastAsia"/>
                <w:sz w:val="22"/>
                <w:u w:val="single"/>
              </w:rPr>
              <w:t>杭州萧山国际机场内</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招标人名称：</w:t>
            </w:r>
            <w:r>
              <w:rPr>
                <w:rFonts w:cs="Calibri" w:asciiTheme="minorEastAsia" w:hAnsiTheme="minorEastAsia"/>
                <w:kern w:val="0"/>
                <w:sz w:val="22"/>
                <w:u w:val="single"/>
              </w:rPr>
              <w:t>杭州萧山国际机场有限公司</w:t>
            </w:r>
          </w:p>
          <w:p>
            <w:pPr>
              <w:autoSpaceDE w:val="0"/>
              <w:autoSpaceDN w:val="0"/>
              <w:adjustRightInd w:val="0"/>
              <w:snapToGrid w:val="0"/>
              <w:rPr>
                <w:rFonts w:cs="Calibri" w:asciiTheme="minorEastAsia" w:hAnsiTheme="minorEastAsia"/>
                <w:kern w:val="0"/>
                <w:sz w:val="22"/>
              </w:rPr>
            </w:pPr>
            <w:r>
              <w:rPr>
                <w:rFonts w:hint="eastAsia" w:cs="宋体" w:asciiTheme="minorEastAsia" w:hAnsiTheme="minorEastAsia"/>
                <w:sz w:val="22"/>
              </w:rPr>
              <w:t>项目名称：</w:t>
            </w:r>
            <w:r>
              <w:rPr>
                <w:rFonts w:hint="eastAsia" w:cs="Calibri" w:asciiTheme="minorEastAsia" w:hAnsiTheme="minorEastAsia"/>
                <w:kern w:val="0"/>
                <w:sz w:val="22"/>
                <w:u w:val="single"/>
              </w:rPr>
              <w:t>杭州萧山国际机场2019年防暑降温物品采购</w:t>
            </w:r>
            <w:r>
              <w:rPr>
                <w:rFonts w:cs="Calibri" w:asciiTheme="minorEastAsia" w:hAnsiTheme="minorEastAsia"/>
                <w:kern w:val="0"/>
                <w:sz w:val="22"/>
                <w:u w:val="single"/>
              </w:rPr>
              <w:t>项目</w:t>
            </w:r>
            <w:r>
              <w:rPr>
                <w:rFonts w:hint="eastAsia" w:cs="宋体" w:asciiTheme="minorEastAsia" w:hAnsiTheme="minorEastAsia"/>
                <w:sz w:val="22"/>
              </w:rPr>
              <w:t>投标文件</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在</w:t>
            </w:r>
            <w:r>
              <w:rPr>
                <w:rFonts w:cs="Calibri" w:asciiTheme="minorEastAsia" w:hAnsiTheme="minorEastAsia"/>
                <w:kern w:val="0"/>
                <w:sz w:val="22"/>
                <w:u w:val="single"/>
              </w:rPr>
              <w:t xml:space="preserve"> </w:t>
            </w:r>
            <w:r>
              <w:rPr>
                <w:rFonts w:hint="eastAsia" w:cs="Calibri" w:asciiTheme="minorEastAsia" w:hAnsiTheme="minorEastAsia"/>
                <w:kern w:val="0"/>
                <w:sz w:val="22"/>
                <w:u w:val="single"/>
              </w:rPr>
              <w:t>2019年5月20日上午9时00分</w:t>
            </w:r>
            <w:r>
              <w:rPr>
                <w:rFonts w:cs="Calibri" w:asciiTheme="minorEastAsia" w:hAnsiTheme="minorEastAsia"/>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cs="Calibri" w:asciiTheme="minorEastAsia" w:hAnsiTheme="minorEastAsia"/>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的金额：</w:t>
            </w:r>
            <w:r>
              <w:rPr>
                <w:rFonts w:hint="eastAsia" w:ascii="宋体" w:hAnsi="宋体"/>
                <w:sz w:val="22"/>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50"/>
              <w:rPr>
                <w:rFonts w:cs="Calibri" w:asciiTheme="minorEastAsia" w:hAnsiTheme="minorEastAsia" w:eastAsiaTheme="minorEastAsia"/>
                <w:sz w:val="22"/>
                <w:szCs w:val="22"/>
              </w:rPr>
            </w:pPr>
            <w:r>
              <w:rPr>
                <w:rFonts w:cs="Calibri" w:asciiTheme="minorEastAsia" w:hAnsiTheme="minorEastAsia" w:eastAsiaTheme="minorEastAsia"/>
                <w:sz w:val="22"/>
                <w:szCs w:val="22"/>
              </w:rPr>
              <w:t>其他</w:t>
            </w:r>
          </w:p>
        </w:tc>
        <w:tc>
          <w:tcPr>
            <w:tcW w:w="6487" w:type="dxa"/>
            <w:shd w:val="clear" w:color="auto" w:fill="FFFFFF"/>
            <w:vAlign w:val="center"/>
          </w:tcPr>
          <w:p>
            <w:pPr>
              <w:adjustRightInd w:val="0"/>
              <w:snapToGrid w:val="0"/>
              <w:rPr>
                <w:rFonts w:cs="Calibri" w:asciiTheme="minorEastAsia" w:hAnsiTheme="minorEastAsia"/>
                <w:snapToGrid w:val="0"/>
                <w:kern w:val="0"/>
                <w:sz w:val="22"/>
              </w:rPr>
            </w:pPr>
            <w:r>
              <w:rPr>
                <w:rFonts w:cs="Calibri" w:asciiTheme="minorEastAsia" w:hAnsiTheme="minorEastAsia"/>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cs="Calibri" w:asciiTheme="minorEastAsia" w:hAnsiTheme="minorEastAsia"/>
                <w:snapToGrid w:val="0"/>
                <w:kern w:val="0"/>
                <w:sz w:val="22"/>
              </w:rPr>
            </w:pPr>
            <w:r>
              <w:rPr>
                <w:rFonts w:cs="Calibri" w:asciiTheme="minorEastAsia" w:hAnsiTheme="minorEastAsia"/>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bookmarkStart w:id="2" w:name="_Toc26216"/>
    </w:p>
    <w:p>
      <w:pPr>
        <w:autoSpaceDE w:val="0"/>
        <w:autoSpaceDN w:val="0"/>
        <w:adjustRightInd w:val="0"/>
        <w:snapToGrid w:val="0"/>
        <w:spacing w:line="360" w:lineRule="exact"/>
        <w:rPr>
          <w:rFonts w:cs="Calibri" w:asciiTheme="minorEastAsia" w:hAnsiTheme="minorEastAsia"/>
          <w:b/>
          <w:bCs/>
          <w:kern w:val="0"/>
          <w:sz w:val="22"/>
        </w:rPr>
      </w:pPr>
      <w:r>
        <w:rPr>
          <w:b/>
        </w:rPr>
        <w:br w:type="page"/>
      </w:r>
      <w:bookmarkEnd w:id="2"/>
      <w:r>
        <w:rPr>
          <w:rFonts w:cs="Calibri" w:asciiTheme="minorEastAsia" w:hAnsiTheme="minorEastAsia"/>
          <w:b/>
          <w:bCs/>
          <w:kern w:val="0"/>
          <w:sz w:val="22"/>
        </w:rPr>
        <w:t>1.</w:t>
      </w:r>
      <w:r>
        <w:rPr>
          <w:rFonts w:hint="eastAsia" w:cs="Calibri" w:asciiTheme="minorEastAsia" w:hAnsiTheme="minorEastAsia"/>
          <w:b/>
          <w:bCs/>
          <w:kern w:val="0"/>
          <w:sz w:val="22"/>
        </w:rPr>
        <w:t xml:space="preserve"> </w:t>
      </w:r>
      <w:r>
        <w:rPr>
          <w:rFonts w:cs="Calibri" w:asciiTheme="minorEastAsia" w:hAnsiTheme="minorEastAsia"/>
          <w:b/>
          <w:bCs/>
          <w:kern w:val="0"/>
          <w:sz w:val="22"/>
        </w:rPr>
        <w:t>总则</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1.1 项目概况</w:t>
      </w:r>
    </w:p>
    <w:p>
      <w:pPr>
        <w:adjustRightInd w:val="0"/>
        <w:snapToGrid w:val="0"/>
        <w:spacing w:line="360" w:lineRule="exact"/>
        <w:ind w:firstLine="440"/>
        <w:rPr>
          <w:rFonts w:cs="Calibri" w:asciiTheme="minorEastAsia" w:hAnsiTheme="minorEastAsia"/>
          <w:color w:val="000000"/>
          <w:kern w:val="0"/>
          <w:sz w:val="22"/>
        </w:rPr>
      </w:pPr>
      <w:r>
        <w:rPr>
          <w:rFonts w:cs="Calibri" w:asciiTheme="minorEastAsia" w:hAnsiTheme="minorEastAsia"/>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1.1.2项目</w:t>
      </w:r>
      <w:r>
        <w:rPr>
          <w:rFonts w:hint="eastAsia" w:cs="Calibri" w:asciiTheme="minorEastAsia" w:hAnsiTheme="minorEastAsia"/>
          <w:color w:val="000000"/>
          <w:kern w:val="0"/>
          <w:sz w:val="22"/>
        </w:rPr>
        <w:t>交货</w:t>
      </w:r>
      <w:r>
        <w:rPr>
          <w:rFonts w:cs="Calibri" w:asciiTheme="minorEastAsia" w:hAnsiTheme="minorEastAsia"/>
          <w:color w:val="000000"/>
          <w:kern w:val="0"/>
          <w:sz w:val="22"/>
        </w:rPr>
        <w:t>地点见投标人须知前附表</w:t>
      </w:r>
      <w:r>
        <w:rPr>
          <w:rFonts w:cs="Calibri" w:asciiTheme="minorEastAsia" w:hAnsiTheme="minorEastAsia"/>
          <w:color w:val="000000"/>
          <w:sz w:val="22"/>
        </w:rPr>
        <w:t>。</w:t>
      </w:r>
    </w:p>
    <w:p>
      <w:pPr>
        <w:autoSpaceDE w:val="0"/>
        <w:autoSpaceDN w:val="0"/>
        <w:adjustRightInd w:val="0"/>
        <w:snapToGrid w:val="0"/>
        <w:spacing w:line="360" w:lineRule="exact"/>
        <w:rPr>
          <w:rFonts w:cs="Calibri" w:asciiTheme="minorEastAsia" w:hAnsiTheme="minorEastAsia"/>
          <w:b/>
          <w:bCs/>
          <w:kern w:val="0"/>
          <w:sz w:val="22"/>
        </w:rPr>
      </w:pPr>
      <w:bookmarkStart w:id="3" w:name="_Toc9136"/>
      <w:r>
        <w:rPr>
          <w:rFonts w:cs="Calibri" w:asciiTheme="minorEastAsia" w:hAnsiTheme="minorEastAsia"/>
          <w:b/>
          <w:bCs/>
          <w:kern w:val="0"/>
          <w:sz w:val="22"/>
        </w:rPr>
        <w:t>1.</w:t>
      </w:r>
      <w:r>
        <w:rPr>
          <w:rFonts w:hint="eastAsia" w:cs="Calibri" w:asciiTheme="minorEastAsia" w:hAnsiTheme="minorEastAsia"/>
          <w:b/>
          <w:bCs/>
          <w:kern w:val="0"/>
          <w:sz w:val="22"/>
        </w:rPr>
        <w:t>2</w:t>
      </w:r>
      <w:r>
        <w:rPr>
          <w:rFonts w:cs="Calibri" w:asciiTheme="minorEastAsia" w:hAnsiTheme="minorEastAsia"/>
          <w:b/>
          <w:bCs/>
          <w:kern w:val="0"/>
          <w:sz w:val="22"/>
        </w:rPr>
        <w:t xml:space="preserve"> 资金来源</w:t>
      </w:r>
      <w:bookmarkEnd w:id="3"/>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4" w:name="_Toc10673"/>
      <w:r>
        <w:rPr>
          <w:rFonts w:cs="Calibri" w:asciiTheme="minorEastAsia" w:hAnsiTheme="minorEastAsia"/>
          <w:b/>
          <w:bCs/>
          <w:kern w:val="0"/>
          <w:sz w:val="22"/>
        </w:rPr>
        <w:t>1.</w:t>
      </w:r>
      <w:r>
        <w:rPr>
          <w:rFonts w:hint="eastAsia" w:cs="Calibri" w:asciiTheme="minorEastAsia" w:hAnsiTheme="minorEastAsia"/>
          <w:b/>
          <w:bCs/>
          <w:kern w:val="0"/>
          <w:sz w:val="22"/>
        </w:rPr>
        <w:t>3</w:t>
      </w:r>
      <w:r>
        <w:rPr>
          <w:rFonts w:cs="Calibri" w:asciiTheme="minorEastAsia" w:hAnsiTheme="minorEastAsia"/>
          <w:b/>
          <w:bCs/>
          <w:kern w:val="0"/>
          <w:sz w:val="22"/>
        </w:rPr>
        <w:t xml:space="preserve"> 招标</w:t>
      </w:r>
      <w:bookmarkEnd w:id="4"/>
      <w:r>
        <w:rPr>
          <w:rFonts w:hint="eastAsia" w:cs="Calibri" w:asciiTheme="minorEastAsia" w:hAnsiTheme="minorEastAsia"/>
          <w:b/>
          <w:bCs/>
          <w:kern w:val="0"/>
          <w:sz w:val="22"/>
        </w:rPr>
        <w:t>内容</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5" w:name="_Toc718"/>
      <w:r>
        <w:rPr>
          <w:rFonts w:cs="Calibri" w:asciiTheme="minorEastAsia" w:hAnsiTheme="minorEastAsia"/>
          <w:b/>
          <w:bCs/>
          <w:kern w:val="0"/>
          <w:sz w:val="22"/>
        </w:rPr>
        <w:t>1.</w:t>
      </w:r>
      <w:r>
        <w:rPr>
          <w:rFonts w:hint="eastAsia" w:cs="Calibri" w:asciiTheme="minorEastAsia" w:hAnsiTheme="minorEastAsia"/>
          <w:b/>
          <w:bCs/>
          <w:kern w:val="0"/>
          <w:sz w:val="22"/>
        </w:rPr>
        <w:t>4</w:t>
      </w:r>
      <w:r>
        <w:rPr>
          <w:rFonts w:cs="Calibri" w:asciiTheme="minorEastAsia" w:hAnsiTheme="minorEastAsia"/>
          <w:b/>
          <w:bCs/>
          <w:kern w:val="0"/>
          <w:sz w:val="22"/>
        </w:rPr>
        <w:t xml:space="preserve"> 招标方式</w:t>
      </w:r>
      <w:bookmarkEnd w:id="5"/>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6" w:name="_Toc9161"/>
      <w:r>
        <w:rPr>
          <w:rFonts w:cs="Calibri" w:asciiTheme="minorEastAsia" w:hAnsiTheme="minorEastAsia"/>
          <w:b/>
          <w:bCs/>
          <w:kern w:val="0"/>
          <w:sz w:val="22"/>
        </w:rPr>
        <w:t>1.</w:t>
      </w:r>
      <w:r>
        <w:rPr>
          <w:rFonts w:hint="eastAsia" w:cs="Calibri" w:asciiTheme="minorEastAsia" w:hAnsiTheme="minorEastAsia"/>
          <w:b/>
          <w:bCs/>
          <w:kern w:val="0"/>
          <w:sz w:val="22"/>
        </w:rPr>
        <w:t xml:space="preserve">5 </w:t>
      </w:r>
      <w:r>
        <w:rPr>
          <w:rFonts w:cs="Calibri" w:asciiTheme="minorEastAsia" w:hAnsiTheme="minorEastAsia"/>
          <w:b/>
          <w:bCs/>
          <w:kern w:val="0"/>
          <w:sz w:val="22"/>
        </w:rPr>
        <w:t>资格审查</w:t>
      </w:r>
      <w:bookmarkEnd w:id="6"/>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7" w:name="_Toc13012"/>
      <w:r>
        <w:rPr>
          <w:rFonts w:cs="Calibri" w:asciiTheme="minorEastAsia" w:hAnsiTheme="minorEastAsia"/>
          <w:b/>
          <w:bCs/>
          <w:kern w:val="0"/>
          <w:sz w:val="22"/>
        </w:rPr>
        <w:t>1.</w:t>
      </w:r>
      <w:r>
        <w:rPr>
          <w:rFonts w:hint="eastAsia" w:cs="Calibri" w:asciiTheme="minorEastAsia" w:hAnsiTheme="minorEastAsia"/>
          <w:b/>
          <w:bCs/>
          <w:kern w:val="0"/>
          <w:sz w:val="22"/>
        </w:rPr>
        <w:t>6</w:t>
      </w:r>
      <w:r>
        <w:rPr>
          <w:rFonts w:cs="Calibri" w:asciiTheme="minorEastAsia" w:hAnsiTheme="minorEastAsia"/>
          <w:b/>
          <w:bCs/>
          <w:kern w:val="0"/>
          <w:sz w:val="22"/>
        </w:rPr>
        <w:t xml:space="preserve"> 投标人资质条件、能力和信誉</w:t>
      </w:r>
      <w:bookmarkEnd w:id="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8" w:name="_Toc2796"/>
      <w:r>
        <w:rPr>
          <w:rFonts w:cs="Calibri" w:asciiTheme="minorEastAsia" w:hAnsiTheme="minorEastAsia"/>
          <w:b/>
          <w:bCs/>
          <w:kern w:val="0"/>
          <w:sz w:val="22"/>
        </w:rPr>
        <w:t>1.</w:t>
      </w:r>
      <w:r>
        <w:rPr>
          <w:rFonts w:hint="eastAsia" w:cs="Calibri" w:asciiTheme="minorEastAsia" w:hAnsiTheme="minorEastAsia"/>
          <w:b/>
          <w:bCs/>
          <w:kern w:val="0"/>
          <w:sz w:val="22"/>
        </w:rPr>
        <w:t>7</w:t>
      </w:r>
      <w:r>
        <w:rPr>
          <w:rFonts w:cs="Calibri" w:asciiTheme="minorEastAsia" w:hAnsiTheme="minorEastAsia"/>
          <w:b/>
          <w:bCs/>
          <w:kern w:val="0"/>
          <w:sz w:val="22"/>
        </w:rPr>
        <w:t xml:space="preserve"> </w:t>
      </w:r>
      <w:r>
        <w:rPr>
          <w:rFonts w:hint="eastAsia" w:cs="Calibri" w:asciiTheme="minorEastAsia" w:hAnsiTheme="minorEastAsia"/>
          <w:b/>
          <w:bCs/>
          <w:kern w:val="0"/>
          <w:sz w:val="22"/>
        </w:rPr>
        <w:t>供货</w:t>
      </w:r>
      <w:r>
        <w:rPr>
          <w:rFonts w:cs="Calibri" w:asciiTheme="minorEastAsia" w:hAnsiTheme="minorEastAsia"/>
          <w:b/>
          <w:bCs/>
          <w:kern w:val="0"/>
          <w:sz w:val="22"/>
        </w:rPr>
        <w:t>期</w:t>
      </w:r>
      <w:bookmarkEnd w:id="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r>
        <w:rPr>
          <w:rFonts w:hint="eastAsia" w:cs="Calibri" w:asciiTheme="minorEastAsia" w:hAnsiTheme="minorEastAsia"/>
          <w:b/>
          <w:bCs/>
          <w:kern w:val="0"/>
          <w:sz w:val="22"/>
        </w:rPr>
        <w:t>1.8 质量要求</w:t>
      </w:r>
    </w:p>
    <w:p>
      <w:pPr>
        <w:adjustRightInd w:val="0"/>
        <w:snapToGrid w:val="0"/>
        <w:spacing w:line="360" w:lineRule="exact"/>
        <w:ind w:firstLine="440"/>
        <w:rPr>
          <w:rFonts w:cs="Calibri" w:asciiTheme="minorEastAsia" w:hAnsiTheme="minorEastAsia"/>
          <w:color w:val="000000"/>
          <w:sz w:val="22"/>
        </w:rPr>
      </w:pPr>
      <w:bookmarkStart w:id="9" w:name="_Toc13907"/>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w:t>
      </w:r>
      <w:r>
        <w:rPr>
          <w:rFonts w:hint="eastAsia" w:cs="Calibri" w:asciiTheme="minorEastAsia" w:hAnsiTheme="minorEastAsia"/>
          <w:b/>
          <w:bCs/>
          <w:kern w:val="0"/>
          <w:sz w:val="22"/>
        </w:rPr>
        <w:t>9</w:t>
      </w:r>
      <w:r>
        <w:rPr>
          <w:rFonts w:cs="Calibri" w:asciiTheme="minorEastAsia" w:hAnsiTheme="minorEastAsia"/>
          <w:b/>
          <w:bCs/>
          <w:kern w:val="0"/>
          <w:sz w:val="22"/>
        </w:rPr>
        <w:t xml:space="preserve"> 踏勘现场</w:t>
      </w:r>
      <w:bookmarkEnd w:id="9"/>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sz w:val="22"/>
        </w:rPr>
        <w:t>1.</w:t>
      </w:r>
      <w:r>
        <w:rPr>
          <w:rFonts w:hint="eastAsia" w:cs="Calibri" w:asciiTheme="minorEastAsia" w:hAnsiTheme="minorEastAsia"/>
          <w:sz w:val="22"/>
        </w:rPr>
        <w:t>9</w:t>
      </w:r>
      <w:r>
        <w:rPr>
          <w:rFonts w:cs="Calibri" w:asciiTheme="minorEastAsia" w:hAnsiTheme="minorEastAsia"/>
          <w:sz w:val="22"/>
        </w:rPr>
        <w:t>.1</w:t>
      </w:r>
      <w:r>
        <w:rPr>
          <w:rFonts w:cs="Calibri" w:asciiTheme="minorEastAsia" w:hAnsiTheme="minorEastAsia"/>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.2 投标人踏勘现场发生的费用自理。</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.3 投标人自行负责在踏勘现场中所发生的人员伤亡和财产损失。</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cs="Calibri" w:asciiTheme="minorEastAsia" w:hAnsiTheme="minorEastAsia"/>
          <w:b/>
          <w:bCs/>
          <w:kern w:val="0"/>
          <w:sz w:val="22"/>
        </w:rPr>
      </w:pPr>
      <w:bookmarkStart w:id="10" w:name="_Toc4199"/>
      <w:r>
        <w:rPr>
          <w:rFonts w:cs="Calibri" w:asciiTheme="minorEastAsia" w:hAnsiTheme="minorEastAsia"/>
          <w:b/>
          <w:bCs/>
          <w:kern w:val="0"/>
          <w:sz w:val="22"/>
        </w:rPr>
        <w:t>1.</w:t>
      </w:r>
      <w:r>
        <w:rPr>
          <w:rFonts w:hint="eastAsia" w:cs="Calibri" w:asciiTheme="minorEastAsia" w:hAnsiTheme="minorEastAsia"/>
          <w:b/>
          <w:bCs/>
          <w:kern w:val="0"/>
          <w:sz w:val="22"/>
        </w:rPr>
        <w:t>10</w:t>
      </w:r>
      <w:r>
        <w:rPr>
          <w:rFonts w:cs="Calibri" w:asciiTheme="minorEastAsia" w:hAnsiTheme="minorEastAsia"/>
          <w:b/>
          <w:bCs/>
          <w:kern w:val="0"/>
          <w:sz w:val="22"/>
        </w:rPr>
        <w:t xml:space="preserve"> 投标预备会</w:t>
      </w:r>
      <w:bookmarkEnd w:id="10"/>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11" w:name="_Toc4584"/>
      <w:r>
        <w:rPr>
          <w:rFonts w:cs="Calibri" w:asciiTheme="minorEastAsia" w:hAnsiTheme="minorEastAsia"/>
          <w:b/>
          <w:bCs/>
          <w:kern w:val="0"/>
          <w:sz w:val="22"/>
        </w:rPr>
        <w:t>1.1</w:t>
      </w:r>
      <w:r>
        <w:rPr>
          <w:rFonts w:hint="eastAsia" w:cs="Calibri" w:asciiTheme="minorEastAsia" w:hAnsiTheme="minorEastAsia"/>
          <w:b/>
          <w:bCs/>
          <w:kern w:val="0"/>
          <w:sz w:val="22"/>
        </w:rPr>
        <w:t>1</w:t>
      </w:r>
      <w:r>
        <w:rPr>
          <w:rFonts w:cs="Calibri" w:asciiTheme="minorEastAsia" w:hAnsiTheme="minorEastAsia"/>
          <w:b/>
          <w:bCs/>
          <w:kern w:val="0"/>
          <w:sz w:val="22"/>
        </w:rPr>
        <w:t xml:space="preserve"> 分包</w:t>
      </w:r>
      <w:bookmarkEnd w:id="11"/>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本项目</w:t>
      </w:r>
      <w:r>
        <w:rPr>
          <w:rFonts w:hint="eastAsia" w:cs="Calibri" w:asciiTheme="minorEastAsia" w:hAnsiTheme="minorEastAsia"/>
          <w:color w:val="000000"/>
          <w:sz w:val="22"/>
        </w:rPr>
        <w:t>涉及到其它专业的部分分项工作</w:t>
      </w:r>
      <w:r>
        <w:rPr>
          <w:rFonts w:cs="Calibri" w:asciiTheme="minorEastAsia" w:hAnsiTheme="minorEastAsia"/>
          <w:color w:val="000000"/>
          <w:sz w:val="22"/>
        </w:rPr>
        <w:t>允许分包。</w:t>
      </w:r>
    </w:p>
    <w:p>
      <w:pPr>
        <w:autoSpaceDE w:val="0"/>
        <w:autoSpaceDN w:val="0"/>
        <w:adjustRightInd w:val="0"/>
        <w:snapToGrid w:val="0"/>
        <w:spacing w:line="360" w:lineRule="exact"/>
        <w:rPr>
          <w:rFonts w:cs="Calibri" w:asciiTheme="minorEastAsia" w:hAnsiTheme="minorEastAsia"/>
          <w:b/>
          <w:bCs/>
          <w:kern w:val="0"/>
          <w:sz w:val="22"/>
        </w:rPr>
      </w:pPr>
      <w:bookmarkStart w:id="12" w:name="_Toc3996"/>
      <w:r>
        <w:rPr>
          <w:rFonts w:cs="Calibri" w:asciiTheme="minorEastAsia" w:hAnsiTheme="minorEastAsia"/>
          <w:b/>
          <w:bCs/>
          <w:kern w:val="0"/>
          <w:sz w:val="22"/>
        </w:rPr>
        <w:t>1.1</w:t>
      </w:r>
      <w:r>
        <w:rPr>
          <w:rFonts w:hint="eastAsia" w:cs="Calibri" w:asciiTheme="minorEastAsia" w:hAnsiTheme="minorEastAsia"/>
          <w:b/>
          <w:bCs/>
          <w:kern w:val="0"/>
          <w:sz w:val="22"/>
        </w:rPr>
        <w:t>2</w:t>
      </w:r>
      <w:r>
        <w:rPr>
          <w:rFonts w:cs="Calibri" w:asciiTheme="minorEastAsia" w:hAnsiTheme="minorEastAsia"/>
          <w:b/>
          <w:bCs/>
          <w:kern w:val="0"/>
          <w:sz w:val="22"/>
        </w:rPr>
        <w:t xml:space="preserve"> 投标费用</w:t>
      </w:r>
      <w:bookmarkEnd w:id="12"/>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投标人在投标过程中的一切费用，不论中标与否，均由投标人自理。</w:t>
      </w:r>
    </w:p>
    <w:p>
      <w:pPr>
        <w:autoSpaceDE w:val="0"/>
        <w:autoSpaceDN w:val="0"/>
        <w:adjustRightInd w:val="0"/>
        <w:snapToGrid w:val="0"/>
        <w:spacing w:line="360" w:lineRule="exact"/>
        <w:rPr>
          <w:rFonts w:cs="Calibri" w:asciiTheme="minorEastAsia" w:hAnsiTheme="minorEastAsia"/>
          <w:b/>
          <w:bCs/>
          <w:kern w:val="0"/>
          <w:sz w:val="22"/>
        </w:rPr>
      </w:pPr>
      <w:bookmarkStart w:id="13" w:name="_Toc143421657"/>
      <w:bookmarkStart w:id="14" w:name="_Toc15241"/>
      <w:r>
        <w:rPr>
          <w:rFonts w:cs="Calibri" w:asciiTheme="minorEastAsia" w:hAnsiTheme="minorEastAsia"/>
          <w:b/>
          <w:bCs/>
          <w:kern w:val="0"/>
          <w:sz w:val="22"/>
        </w:rPr>
        <w:t>2.招标文件</w:t>
      </w:r>
      <w:bookmarkEnd w:id="13"/>
      <w:bookmarkEnd w:id="14"/>
    </w:p>
    <w:p>
      <w:pPr>
        <w:autoSpaceDE w:val="0"/>
        <w:autoSpaceDN w:val="0"/>
        <w:adjustRightInd w:val="0"/>
        <w:snapToGrid w:val="0"/>
        <w:spacing w:line="360" w:lineRule="exact"/>
        <w:rPr>
          <w:rFonts w:cs="Calibri" w:asciiTheme="minorEastAsia" w:hAnsiTheme="minorEastAsia"/>
          <w:b/>
          <w:bCs/>
          <w:kern w:val="0"/>
          <w:sz w:val="22"/>
        </w:rPr>
      </w:pPr>
      <w:bookmarkStart w:id="15" w:name="_Toc1426"/>
      <w:r>
        <w:rPr>
          <w:rFonts w:cs="Calibri" w:asciiTheme="minorEastAsia" w:hAnsiTheme="minorEastAsia"/>
          <w:b/>
          <w:bCs/>
          <w:kern w:val="0"/>
          <w:sz w:val="22"/>
        </w:rPr>
        <w:t>2.1 招标文件的组成</w:t>
      </w:r>
      <w:bookmarkEnd w:id="15"/>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p>
    <w:p>
      <w:pPr>
        <w:adjustRightInd w:val="0"/>
        <w:snapToGrid w:val="0"/>
        <w:spacing w:line="360" w:lineRule="exact"/>
        <w:ind w:firstLine="440"/>
        <w:rPr>
          <w:rFonts w:ascii="宋体" w:hAnsi="宋体" w:cs="Calibri"/>
          <w:kern w:val="0"/>
          <w:sz w:val="22"/>
        </w:rPr>
      </w:pPr>
      <w:r>
        <w:rPr>
          <w:rFonts w:ascii="宋体" w:hAnsi="宋体" w:cs="Calibri"/>
          <w:kern w:val="0"/>
          <w:sz w:val="22"/>
        </w:rPr>
        <w:t>（3）货物需求一览表及技术规格</w:t>
      </w:r>
    </w:p>
    <w:p>
      <w:pPr>
        <w:adjustRightInd w:val="0"/>
        <w:snapToGrid w:val="0"/>
        <w:spacing w:line="360" w:lineRule="exact"/>
        <w:ind w:firstLine="440"/>
        <w:rPr>
          <w:rFonts w:ascii="宋体" w:hAnsi="宋体" w:cs="Calibri"/>
          <w:kern w:val="0"/>
          <w:sz w:val="22"/>
        </w:rPr>
      </w:pPr>
      <w:r>
        <w:rPr>
          <w:rFonts w:ascii="宋体" w:hAnsi="宋体" w:cs="Calibri"/>
          <w:kern w:val="0"/>
          <w:sz w:val="22"/>
        </w:rPr>
        <w:t>（4）合同条款</w:t>
      </w:r>
    </w:p>
    <w:p>
      <w:pPr>
        <w:adjustRightInd w:val="0"/>
        <w:snapToGrid w:val="0"/>
        <w:spacing w:line="360" w:lineRule="exact"/>
        <w:ind w:firstLine="440"/>
        <w:rPr>
          <w:rFonts w:ascii="宋体" w:hAnsi="宋体" w:cs="Calibri"/>
          <w:kern w:val="0"/>
          <w:sz w:val="22"/>
        </w:rPr>
      </w:pPr>
      <w:r>
        <w:rPr>
          <w:rFonts w:ascii="宋体" w:hAnsi="宋体" w:cs="Calibri"/>
          <w:kern w:val="0"/>
          <w:sz w:val="22"/>
        </w:rPr>
        <w:t>（5）评标办法</w:t>
      </w:r>
      <w:r>
        <w:rPr>
          <w:rFonts w:hint="eastAsia" w:ascii="宋体" w:hAnsi="宋体" w:cs="Calibri"/>
          <w:kern w:val="0"/>
          <w:sz w:val="22"/>
        </w:rPr>
        <w:t>及标准</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cs="Calibri" w:asciiTheme="minorEastAsia" w:hAnsiTheme="minorEastAsia"/>
          <w:b/>
          <w:bCs/>
          <w:kern w:val="0"/>
          <w:sz w:val="22"/>
        </w:rPr>
      </w:pPr>
      <w:bookmarkStart w:id="16" w:name="_Toc18230"/>
      <w:r>
        <w:rPr>
          <w:rFonts w:cs="Calibri" w:asciiTheme="minorEastAsia" w:hAnsiTheme="minorEastAsia"/>
          <w:b/>
          <w:bCs/>
          <w:kern w:val="0"/>
          <w:sz w:val="22"/>
        </w:rPr>
        <w:t>2.2 招标文件的澄清</w:t>
      </w:r>
      <w:bookmarkEnd w:id="16"/>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2.2.2</w:t>
      </w:r>
      <w:r>
        <w:rPr>
          <w:rFonts w:hint="eastAsia" w:ascii="Calibri" w:hAnsi="Calibri" w:cs="Calibri"/>
          <w:color w:val="000000"/>
          <w:sz w:val="21"/>
          <w:szCs w:val="21"/>
        </w:rPr>
        <w:t>招标人将视情况采用补充公告的方式予以澄清。</w:t>
      </w:r>
    </w:p>
    <w:p>
      <w:pPr>
        <w:autoSpaceDE w:val="0"/>
        <w:autoSpaceDN w:val="0"/>
        <w:adjustRightInd w:val="0"/>
        <w:snapToGrid w:val="0"/>
        <w:spacing w:line="360" w:lineRule="exact"/>
        <w:rPr>
          <w:rFonts w:cs="Calibri" w:asciiTheme="minorEastAsia" w:hAnsiTheme="minorEastAsia"/>
          <w:b/>
          <w:bCs/>
          <w:kern w:val="0"/>
          <w:sz w:val="22"/>
        </w:rPr>
      </w:pPr>
      <w:bookmarkStart w:id="17" w:name="_Toc18303"/>
      <w:r>
        <w:rPr>
          <w:rFonts w:cs="Calibri" w:asciiTheme="minorEastAsia" w:hAnsiTheme="minorEastAsia"/>
          <w:b/>
          <w:bCs/>
          <w:kern w:val="0"/>
          <w:sz w:val="22"/>
        </w:rPr>
        <w:t>2.3 招标文件的修改</w:t>
      </w:r>
      <w:bookmarkEnd w:id="17"/>
    </w:p>
    <w:p>
      <w:pPr>
        <w:adjustRightInd w:val="0"/>
        <w:snapToGrid w:val="0"/>
        <w:spacing w:line="360" w:lineRule="exact"/>
        <w:ind w:firstLine="440"/>
        <w:rPr>
          <w:rFonts w:ascii="宋体" w:hAnsi="宋体" w:cs="Calibri"/>
          <w:sz w:val="22"/>
        </w:rPr>
      </w:pPr>
      <w:r>
        <w:rPr>
          <w:rFonts w:cs="Calibri" w:asciiTheme="minorEastAsia" w:hAnsiTheme="minorEastAsia"/>
          <w:color w:val="000000"/>
          <w:kern w:val="0"/>
          <w:sz w:val="22"/>
        </w:rPr>
        <w:t>2.3.1</w:t>
      </w:r>
      <w:r>
        <w:rPr>
          <w:rFonts w:hint="eastAsia" w:cs="Calibri" w:asciiTheme="minorEastAsia" w:hAnsiTheme="minor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utoSpaceDE w:val="0"/>
        <w:autoSpaceDN w:val="0"/>
        <w:adjustRightInd w:val="0"/>
        <w:snapToGrid w:val="0"/>
        <w:spacing w:line="360" w:lineRule="exact"/>
        <w:rPr>
          <w:rFonts w:ascii="宋体" w:hAnsi="宋体" w:cs="Calibri"/>
          <w:b/>
          <w:bCs/>
          <w:kern w:val="0"/>
          <w:sz w:val="22"/>
        </w:rPr>
      </w:pPr>
      <w:bookmarkStart w:id="18" w:name="_Toc143421658"/>
      <w:bookmarkStart w:id="19" w:name="_Toc18870"/>
      <w:r>
        <w:rPr>
          <w:rFonts w:ascii="宋体" w:hAnsi="宋体" w:cs="Calibri"/>
          <w:b/>
          <w:bCs/>
          <w:kern w:val="0"/>
          <w:sz w:val="22"/>
        </w:rPr>
        <w:t>3.投标文件</w:t>
      </w:r>
      <w:bookmarkEnd w:id="18"/>
      <w:bookmarkEnd w:id="19"/>
    </w:p>
    <w:p>
      <w:pPr>
        <w:autoSpaceDE w:val="0"/>
        <w:autoSpaceDN w:val="0"/>
        <w:adjustRightInd w:val="0"/>
        <w:snapToGrid w:val="0"/>
        <w:spacing w:line="360" w:lineRule="exact"/>
        <w:rPr>
          <w:rFonts w:ascii="宋体" w:hAnsi="宋体" w:cs="Calibri"/>
          <w:b/>
          <w:bCs/>
          <w:kern w:val="0"/>
          <w:sz w:val="22"/>
        </w:rPr>
      </w:pPr>
      <w:bookmarkStart w:id="20" w:name="_Toc461"/>
      <w:r>
        <w:rPr>
          <w:rFonts w:ascii="宋体" w:hAnsi="宋体" w:cs="Calibri"/>
          <w:b/>
          <w:bCs/>
          <w:kern w:val="0"/>
          <w:sz w:val="22"/>
        </w:rPr>
        <w:t>3.1 投标文件的语言和计量单位</w:t>
      </w:r>
      <w:bookmarkEnd w:id="20"/>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“销售</w:t>
      </w:r>
      <w:r>
        <w:rPr>
          <w:rFonts w:hint="eastAsia" w:ascii="宋体" w:hAnsi="宋体" w:cs="Calibri"/>
          <w:kern w:val="0"/>
          <w:sz w:val="22"/>
        </w:rPr>
        <w:t>（供货）</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21" w:name="_Toc1411"/>
      <w:r>
        <w:rPr>
          <w:rFonts w:ascii="宋体" w:hAnsi="宋体" w:cs="Calibri"/>
          <w:b/>
          <w:bCs/>
          <w:kern w:val="0"/>
          <w:sz w:val="22"/>
        </w:rPr>
        <w:t>3.2 投标文件的组成</w:t>
      </w:r>
      <w:bookmarkEnd w:id="21"/>
    </w:p>
    <w:p>
      <w:pPr>
        <w:adjustRightInd w:val="0"/>
        <w:snapToGrid w:val="0"/>
        <w:spacing w:line="360" w:lineRule="exact"/>
        <w:ind w:firstLine="440"/>
        <w:rPr>
          <w:rFonts w:ascii="宋体" w:hAnsi="宋体" w:cs="Calibri"/>
          <w:sz w:val="22"/>
        </w:rPr>
      </w:pPr>
      <w:bookmarkStart w:id="22" w:name="_Toc32225"/>
      <w:r>
        <w:rPr>
          <w:rFonts w:ascii="宋体" w:hAnsi="宋体" w:cs="Calibri"/>
          <w:sz w:val="22"/>
        </w:rPr>
        <w:t>3.2.1投标函；</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2</w:t>
      </w:r>
      <w:r>
        <w:rPr>
          <w:rFonts w:cs="Calibri" w:asciiTheme="minorEastAsia" w:hAnsiTheme="minorEastAsia"/>
          <w:color w:val="000000"/>
          <w:sz w:val="22"/>
        </w:rPr>
        <w:t>法定代表人资格证明书；</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3</w:t>
      </w:r>
      <w:r>
        <w:rPr>
          <w:rFonts w:cs="Calibri" w:asciiTheme="minorEastAsia" w:hAnsiTheme="minorEastAsia"/>
          <w:color w:val="000000"/>
          <w:sz w:val="22"/>
        </w:rPr>
        <w:t>授权委托书；</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4</w:t>
      </w:r>
      <w:r>
        <w:rPr>
          <w:rFonts w:cs="Calibri" w:asciiTheme="minorEastAsia" w:hAnsiTheme="minorEastAsia"/>
          <w:color w:val="000000"/>
          <w:sz w:val="22"/>
        </w:rPr>
        <w:t xml:space="preserve"> 投标报价表；</w:t>
      </w:r>
    </w:p>
    <w:p>
      <w:pPr>
        <w:adjustRightInd w:val="0"/>
        <w:snapToGrid w:val="0"/>
        <w:spacing w:line="360" w:lineRule="exact"/>
        <w:ind w:firstLine="440"/>
        <w:rPr>
          <w:rFonts w:ascii="宋体" w:hAnsi="宋体" w:cs="Calibri"/>
          <w:sz w:val="22"/>
        </w:rPr>
      </w:pPr>
      <w:r>
        <w:rPr>
          <w:rFonts w:ascii="宋体" w:hAnsi="宋体" w:cs="Calibri"/>
          <w:sz w:val="22"/>
        </w:rPr>
        <w:t>3.2.5投标人资格证明文件：</w:t>
      </w:r>
    </w:p>
    <w:p>
      <w:pPr>
        <w:adjustRightInd w:val="0"/>
        <w:snapToGrid w:val="0"/>
        <w:spacing w:line="360" w:lineRule="exact"/>
        <w:ind w:firstLine="440"/>
        <w:rPr>
          <w:rFonts w:ascii="宋体" w:hAnsi="宋体" w:cs="Calibri"/>
          <w:sz w:val="22"/>
        </w:rPr>
      </w:pPr>
      <w:r>
        <w:rPr>
          <w:rFonts w:ascii="宋体" w:hAnsi="宋体" w:cs="Calibri"/>
          <w:sz w:val="22"/>
        </w:rPr>
        <w:t>（1）</w:t>
      </w:r>
      <w:r>
        <w:rPr>
          <w:rFonts w:cs="Calibri" w:asciiTheme="minorEastAsia" w:hAnsiTheme="minorEastAsia"/>
          <w:color w:val="000000"/>
          <w:sz w:val="22"/>
        </w:rPr>
        <w:t>投标人一般情况</w:t>
      </w:r>
      <w:r>
        <w:rPr>
          <w:rFonts w:hint="eastAsia" w:cs="Calibri" w:asciiTheme="minorEastAsia" w:hAnsiTheme="minorEastAsia"/>
          <w:color w:val="000000"/>
          <w:sz w:val="22"/>
        </w:rPr>
        <w:t>及</w:t>
      </w:r>
      <w:r>
        <w:rPr>
          <w:rFonts w:cs="Calibri" w:asciiTheme="minorEastAsia" w:hAnsiTheme="minorEastAsia"/>
          <w:color w:val="000000"/>
          <w:sz w:val="22"/>
        </w:rPr>
        <w:t>有关证明投标人法律地位的文件</w:t>
      </w: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djustRightInd w:val="0"/>
        <w:snapToGrid w:val="0"/>
        <w:spacing w:line="360" w:lineRule="exact"/>
        <w:ind w:firstLine="440"/>
        <w:rPr>
          <w:rFonts w:ascii="宋体" w:hAnsi="宋体" w:cs="Calibri"/>
          <w:sz w:val="22"/>
        </w:rPr>
      </w:pPr>
      <w:r>
        <w:rPr>
          <w:rFonts w:hint="eastAsia" w:ascii="宋体" w:hAnsi="宋体" w:cs="Calibri"/>
          <w:sz w:val="22"/>
        </w:rPr>
        <w:t>（2）</w:t>
      </w:r>
      <w:r>
        <w:rPr>
          <w:rFonts w:hint="eastAsia" w:ascii="宋体" w:hAnsi="宋体" w:cs="Arial"/>
          <w:kern w:val="0"/>
          <w:sz w:val="22"/>
        </w:rPr>
        <w:t>制造商出具的授权书（3）</w:t>
      </w:r>
      <w:r>
        <w:rPr>
          <w:rFonts w:hint="eastAsia" w:ascii="宋体" w:hAnsi="宋体" w:cs="Calibri"/>
          <w:sz w:val="22"/>
        </w:rPr>
        <w:t>投标产品近三年的销售业绩一览表（附业绩的合同）。</w:t>
      </w:r>
    </w:p>
    <w:p>
      <w:pPr>
        <w:adjustRightInd w:val="0"/>
        <w:snapToGrid w:val="0"/>
        <w:spacing w:line="360" w:lineRule="exact"/>
        <w:ind w:firstLine="440"/>
        <w:rPr>
          <w:rFonts w:ascii="宋体" w:hAnsi="宋体" w:cs="宋体"/>
          <w:sz w:val="22"/>
        </w:rPr>
      </w:pPr>
      <w:r>
        <w:rPr>
          <w:rFonts w:ascii="宋体" w:hAnsi="宋体" w:cs="Calibri"/>
          <w:sz w:val="22"/>
        </w:rPr>
        <w:t>3.2.6</w:t>
      </w:r>
      <w:r>
        <w:rPr>
          <w:rFonts w:hint="eastAsia" w:ascii="宋体" w:hAnsi="宋体" w:cs="宋体"/>
          <w:sz w:val="22"/>
        </w:rPr>
        <w:t>技术规格偏离表；</w:t>
      </w:r>
    </w:p>
    <w:p>
      <w:pPr>
        <w:adjustRightInd w:val="0"/>
        <w:snapToGrid w:val="0"/>
        <w:spacing w:line="360" w:lineRule="exact"/>
        <w:ind w:firstLine="440"/>
        <w:rPr>
          <w:rFonts w:ascii="宋体" w:hAnsi="宋体" w:cs="Calibri"/>
          <w:sz w:val="22"/>
        </w:rPr>
      </w:pPr>
      <w:r>
        <w:rPr>
          <w:rFonts w:hint="eastAsia" w:ascii="宋体" w:hAnsi="宋体" w:cs="宋体"/>
          <w:sz w:val="22"/>
        </w:rPr>
        <w:t>3.2.7 商务条款响应偏离表；</w:t>
      </w:r>
    </w:p>
    <w:p>
      <w:pPr>
        <w:adjustRightInd w:val="0"/>
        <w:snapToGrid w:val="0"/>
        <w:spacing w:line="360" w:lineRule="exact"/>
        <w:ind w:firstLine="440"/>
        <w:rPr>
          <w:rFonts w:ascii="宋体" w:hAnsi="宋体" w:cs="宋体"/>
          <w:sz w:val="22"/>
        </w:rPr>
      </w:pPr>
      <w:r>
        <w:rPr>
          <w:rFonts w:hint="eastAsia" w:ascii="宋体" w:hAnsi="宋体" w:cs="宋体"/>
          <w:sz w:val="22"/>
        </w:rPr>
        <w:t>3.2.8 技术参数、结构及性能特点等产品技术规格书；</w:t>
      </w:r>
    </w:p>
    <w:p>
      <w:pPr>
        <w:adjustRightInd w:val="0"/>
        <w:snapToGrid w:val="0"/>
        <w:spacing w:line="360" w:lineRule="exact"/>
        <w:ind w:firstLine="440"/>
        <w:rPr>
          <w:rFonts w:ascii="宋体" w:hAnsi="宋体" w:cs="宋体"/>
          <w:sz w:val="22"/>
        </w:rPr>
      </w:pPr>
      <w:r>
        <w:rPr>
          <w:rFonts w:hint="eastAsia" w:ascii="宋体" w:hAnsi="宋体" w:cs="宋体"/>
          <w:sz w:val="22"/>
        </w:rPr>
        <w:t>3.2.9主要原材料生产厂家；</w:t>
      </w:r>
    </w:p>
    <w:p>
      <w:pPr>
        <w:adjustRightInd w:val="0"/>
        <w:snapToGrid w:val="0"/>
        <w:spacing w:line="360" w:lineRule="exact"/>
        <w:ind w:firstLine="440"/>
        <w:rPr>
          <w:rFonts w:ascii="宋体" w:hAnsi="宋体" w:cs="宋体"/>
          <w:sz w:val="22"/>
        </w:rPr>
      </w:pPr>
      <w:r>
        <w:rPr>
          <w:rFonts w:hint="eastAsia" w:ascii="宋体" w:hAnsi="宋体" w:cs="宋体"/>
          <w:sz w:val="22"/>
        </w:rPr>
        <w:t>3.2.10产品制作、验收标准和验收方法；</w:t>
      </w:r>
    </w:p>
    <w:p>
      <w:pPr>
        <w:adjustRightInd w:val="0"/>
        <w:snapToGrid w:val="0"/>
        <w:spacing w:line="360" w:lineRule="exact"/>
        <w:ind w:firstLine="440"/>
        <w:rPr>
          <w:rFonts w:ascii="宋体" w:hAnsi="宋体" w:cs="宋体"/>
          <w:sz w:val="22"/>
        </w:rPr>
      </w:pPr>
      <w:r>
        <w:rPr>
          <w:rFonts w:hint="eastAsia" w:ascii="宋体" w:hAnsi="宋体" w:cs="宋体"/>
          <w:sz w:val="22"/>
        </w:rPr>
        <w:t>3.2.11</w:t>
      </w:r>
      <w:r>
        <w:rPr>
          <w:rFonts w:ascii="宋体" w:hAnsi="宋体" w:cs="宋体"/>
          <w:sz w:val="22"/>
        </w:rPr>
        <w:t>产品的技术服务和售后服务的内容、措施、承诺</w:t>
      </w:r>
      <w:r>
        <w:rPr>
          <w:rFonts w:hint="eastAsia" w:ascii="宋体" w:hAnsi="宋体" w:cs="宋体"/>
          <w:sz w:val="22"/>
        </w:rPr>
        <w:t>；</w:t>
      </w:r>
    </w:p>
    <w:p>
      <w:pPr>
        <w:adjustRightInd w:val="0"/>
        <w:snapToGrid w:val="0"/>
        <w:spacing w:line="360" w:lineRule="exact"/>
        <w:ind w:firstLine="440"/>
        <w:rPr>
          <w:rFonts w:ascii="宋体" w:hAnsi="宋体" w:cs="宋体"/>
          <w:sz w:val="22"/>
        </w:rPr>
      </w:pPr>
      <w:r>
        <w:rPr>
          <w:rFonts w:hint="eastAsia" w:ascii="宋体" w:hAnsi="宋体" w:cs="宋体"/>
          <w:sz w:val="22"/>
        </w:rPr>
        <w:t>3.2.12关于质量保证期的说明；</w:t>
      </w:r>
    </w:p>
    <w:p>
      <w:pPr>
        <w:adjustRightInd w:val="0"/>
        <w:snapToGrid w:val="0"/>
        <w:spacing w:line="360" w:lineRule="exact"/>
        <w:ind w:firstLine="440"/>
        <w:rPr>
          <w:rFonts w:ascii="宋体" w:hAnsi="宋体" w:cs="宋体"/>
          <w:sz w:val="22"/>
        </w:rPr>
      </w:pPr>
      <w:r>
        <w:rPr>
          <w:rFonts w:hint="eastAsia" w:ascii="宋体" w:hAnsi="宋体" w:cs="宋体"/>
          <w:sz w:val="22"/>
        </w:rPr>
        <w:t>3.2.13优惠条件：投标人承诺给予用户的其他优惠条款，包括付款条件、质量保证期等方面的优惠；</w:t>
      </w:r>
    </w:p>
    <w:p>
      <w:pPr>
        <w:adjustRightInd w:val="0"/>
        <w:snapToGrid w:val="0"/>
        <w:spacing w:line="360" w:lineRule="exact"/>
        <w:ind w:firstLine="440"/>
        <w:rPr>
          <w:rFonts w:ascii="宋体" w:hAnsi="宋体" w:cs="宋体"/>
          <w:sz w:val="22"/>
        </w:rPr>
      </w:pPr>
      <w:r>
        <w:rPr>
          <w:rFonts w:hint="eastAsia" w:ascii="宋体" w:hAnsi="宋体" w:cs="宋体"/>
          <w:sz w:val="22"/>
        </w:rPr>
        <w:t>3.2.14</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2"/>
    </w:p>
    <w:p>
      <w:pPr>
        <w:adjustRightInd w:val="0"/>
        <w:snapToGrid w:val="0"/>
        <w:spacing w:line="360" w:lineRule="exact"/>
        <w:ind w:firstLine="440"/>
        <w:rPr>
          <w:rFonts w:ascii="宋体" w:hAnsi="宋体" w:cs="Calibri"/>
          <w:sz w:val="22"/>
        </w:rPr>
      </w:pPr>
      <w:bookmarkStart w:id="23" w:name="_Toc13307"/>
      <w:r>
        <w:rPr>
          <w:rFonts w:ascii="宋体" w:hAnsi="宋体" w:cs="Calibri"/>
          <w:sz w:val="22"/>
        </w:rPr>
        <w:t>3.3.1</w:t>
      </w:r>
      <w:r>
        <w:rPr>
          <w:rFonts w:hint="eastAsia" w:ascii="宋体" w:hAnsi="宋体" w:cs="宋体"/>
          <w:sz w:val="22"/>
        </w:rPr>
        <w:t>投标人递交的投标函及投标报价表中的投标总价必须一致。</w:t>
      </w:r>
      <w:r>
        <w:rPr>
          <w:rFonts w:ascii="宋体" w:hAnsi="宋体" w:cs="Calibri"/>
          <w:sz w:val="22"/>
        </w:rPr>
        <w:t>投标人对该项目只允许有一个总报价，招标人不接受任何有选择的报价及修正报价；</w:t>
      </w:r>
    </w:p>
    <w:p>
      <w:pPr>
        <w:adjustRightInd w:val="0"/>
        <w:snapToGrid w:val="0"/>
        <w:spacing w:line="360" w:lineRule="exact"/>
        <w:ind w:firstLine="440"/>
        <w:rPr>
          <w:rFonts w:ascii="宋体" w:hAnsi="宋体" w:cs="宋体"/>
          <w:bCs/>
          <w:sz w:val="22"/>
        </w:rPr>
      </w:pPr>
      <w:r>
        <w:rPr>
          <w:rFonts w:ascii="宋体" w:hAnsi="宋体" w:cs="Calibri"/>
          <w:sz w:val="22"/>
        </w:rPr>
        <w:t>3.3.</w:t>
      </w:r>
      <w:r>
        <w:rPr>
          <w:rFonts w:hint="eastAsia" w:ascii="宋体" w:hAnsi="宋体" w:cs="Calibri"/>
          <w:sz w:val="22"/>
        </w:rPr>
        <w:t>2</w:t>
      </w:r>
      <w:r>
        <w:rPr>
          <w:rFonts w:hint="eastAsia" w:ascii="宋体" w:hAnsi="宋体" w:cs="宋体"/>
          <w:sz w:val="22"/>
        </w:rPr>
        <w:t>投标人所报投标总价应为投标人为完成本项目所发生的一切费用（包含并不限于货物</w:t>
      </w:r>
      <w:r>
        <w:rPr>
          <w:rFonts w:ascii="宋体" w:hAnsi="宋体" w:cs="宋体"/>
          <w:sz w:val="22"/>
        </w:rPr>
        <w:t>的</w:t>
      </w:r>
      <w:r>
        <w:rPr>
          <w:rFonts w:hint="eastAsia" w:ascii="宋体" w:hAnsi="宋体" w:cs="宋体"/>
          <w:sz w:val="22"/>
        </w:rPr>
        <w:t>供货、运输（包括送至招标人指定地点卸车）、包装费、保险费、税费、验收、技术培训及售后服务等）</w:t>
      </w:r>
      <w:r>
        <w:rPr>
          <w:rFonts w:ascii="宋体" w:hAnsi="宋体" w:cs="宋体"/>
          <w:sz w:val="22"/>
        </w:rPr>
        <w:t>，包括</w:t>
      </w:r>
      <w:r>
        <w:rPr>
          <w:rFonts w:hint="eastAsia" w:ascii="宋体" w:hAnsi="宋体" w:cs="宋体"/>
          <w:sz w:val="22"/>
        </w:rPr>
        <w:t>货物供货</w:t>
      </w:r>
      <w:r>
        <w:rPr>
          <w:rFonts w:ascii="宋体" w:hAnsi="宋体" w:cs="宋体"/>
          <w:sz w:val="22"/>
        </w:rPr>
        <w:t>及相关服务等全过程产生的所有成本和费用以及一切税费</w:t>
      </w:r>
      <w:r>
        <w:rPr>
          <w:rFonts w:ascii="宋体" w:hAnsi="宋体" w:cs="Calibri"/>
          <w:sz w:val="22"/>
        </w:rPr>
        <w:t>；</w:t>
      </w:r>
      <w:r>
        <w:rPr>
          <w:rFonts w:ascii="宋体" w:hAnsi="宋体" w:cs="宋体"/>
          <w:bCs/>
          <w:sz w:val="22"/>
        </w:rPr>
        <w:t xml:space="preserve"> </w:t>
      </w:r>
    </w:p>
    <w:p>
      <w:pPr>
        <w:adjustRightInd w:val="0"/>
        <w:snapToGrid w:val="0"/>
        <w:spacing w:line="360" w:lineRule="exact"/>
        <w:ind w:firstLine="440"/>
        <w:rPr>
          <w:rFonts w:ascii="宋体" w:hAnsi="宋体" w:cs="宋体"/>
          <w:sz w:val="22"/>
        </w:rPr>
      </w:pPr>
      <w:r>
        <w:rPr>
          <w:rFonts w:ascii="宋体" w:hAnsi="宋体" w:cs="Calibri"/>
          <w:sz w:val="22"/>
        </w:rPr>
        <w:t>3.3.</w:t>
      </w:r>
      <w:r>
        <w:rPr>
          <w:rFonts w:hint="eastAsia" w:ascii="宋体" w:hAnsi="宋体" w:cs="Calibri"/>
          <w:sz w:val="22"/>
        </w:rPr>
        <w:t>3</w:t>
      </w:r>
      <w:r>
        <w:rPr>
          <w:rFonts w:hint="eastAsia" w:ascii="宋体" w:hAnsi="宋体" w:cs="宋体"/>
          <w:sz w:val="22"/>
        </w:rPr>
        <w:t>投标人应按“投标报价表”的要求报价，在投标报价表上写明拟提供货物的单价和总价；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4</w:t>
      </w:r>
      <w:r>
        <w:rPr>
          <w:rFonts w:hint="eastAsia" w:ascii="宋体" w:hAnsi="宋体" w:cs="宋体"/>
          <w:sz w:val="22"/>
        </w:rPr>
        <w:t>如果投标人认为为圆满完成本项目还有其他需要单独计价的配合工作，则应列明具体的细目和金额。所有与本项目有关的未列入“投标报价表”的工作内容，均被认为已经包含在其他细目及投标总价中。</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5投标人(如中标)在投标文件中提供的货物清单和报价将是签订合同的唯一依据，其报价在本次投标有效期内不能发生改变（</w:t>
      </w:r>
      <w:r>
        <w:rPr>
          <w:rFonts w:hint="eastAsia" w:ascii="宋体" w:hAnsi="宋体" w:cs="宋体"/>
          <w:sz w:val="22"/>
        </w:rPr>
        <w:t>招标人变更除外）</w:t>
      </w:r>
      <w:r>
        <w:rPr>
          <w:rFonts w:hint="eastAsia" w:ascii="宋体" w:hAnsi="宋体" w:cs="Calibri"/>
          <w:sz w:val="22"/>
        </w:rPr>
        <w:t>。如有改变，招标人将拒绝与其签订合同。</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6投标人对每种货物只允许有一个报价。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7招标人不接受任何折扣优惠报价，不接受任何赠送和选择性报价。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8所有根据合同或其它原因应由投标人支付的税款和其它应交纳的费用都要包括在投标人提交的投标价格中。</w:t>
      </w:r>
    </w:p>
    <w:p>
      <w:pPr>
        <w:adjustRightInd w:val="0"/>
        <w:snapToGrid w:val="0"/>
        <w:spacing w:line="360" w:lineRule="exact"/>
        <w:ind w:firstLine="440"/>
        <w:rPr>
          <w:rFonts w:ascii="宋体" w:hAnsi="宋体" w:cs="Calibri"/>
          <w:sz w:val="22"/>
        </w:rPr>
      </w:pPr>
      <w:r>
        <w:rPr>
          <w:rFonts w:hint="eastAsia" w:ascii="宋体" w:hAnsi="宋体" w:cs="Calibri"/>
          <w:sz w:val="22"/>
        </w:rPr>
        <w:t>3.3.9其它须在报价中考虑的因素：</w:t>
      </w:r>
    </w:p>
    <w:p>
      <w:pPr>
        <w:adjustRightInd w:val="0"/>
        <w:snapToGrid w:val="0"/>
        <w:spacing w:line="360" w:lineRule="exact"/>
        <w:ind w:firstLine="440"/>
        <w:rPr>
          <w:rFonts w:ascii="宋体" w:hAnsi="宋体" w:cs="Calibri"/>
          <w:sz w:val="22"/>
        </w:rPr>
      </w:pPr>
      <w:r>
        <w:rPr>
          <w:rFonts w:hint="eastAsia" w:ascii="宋体" w:hAnsi="宋体" w:cs="Calibri"/>
          <w:sz w:val="22"/>
        </w:rPr>
        <w:t>（1）本项目在安装期间，应注意保护好招标人现有成品，如有损坏，须无条件修复至招标人满意，各投标人须自行考虑相关费用并计入投标总价且一次性包干。</w:t>
      </w:r>
    </w:p>
    <w:p>
      <w:pPr>
        <w:adjustRightInd w:val="0"/>
        <w:snapToGrid w:val="0"/>
        <w:spacing w:line="360" w:lineRule="exact"/>
        <w:ind w:firstLine="440"/>
        <w:rPr>
          <w:rFonts w:ascii="宋体" w:hAnsi="宋体" w:cs="Calibri"/>
          <w:sz w:val="22"/>
        </w:rPr>
      </w:pPr>
      <w:r>
        <w:rPr>
          <w:rFonts w:hint="eastAsia" w:ascii="宋体" w:hAnsi="宋体" w:cs="Calibri"/>
          <w:sz w:val="22"/>
        </w:rPr>
        <w:t>（2）交付验收前产品的保护费由投标人自行考虑并计入总价。</w:t>
      </w:r>
    </w:p>
    <w:p>
      <w:pPr>
        <w:adjustRightInd w:val="0"/>
        <w:snapToGrid w:val="0"/>
        <w:spacing w:line="360" w:lineRule="exact"/>
        <w:ind w:firstLine="440"/>
        <w:rPr>
          <w:rFonts w:ascii="宋体" w:hAnsi="宋体" w:cs="Calibri"/>
          <w:sz w:val="22"/>
        </w:rPr>
      </w:pPr>
      <w:r>
        <w:rPr>
          <w:rFonts w:hint="eastAsia" w:ascii="宋体" w:hAnsi="宋体" w:cs="Calibri"/>
          <w:sz w:val="22"/>
        </w:rPr>
        <w:t>（3）投标人安装过程中需自行负责现场人员生命、财产安全，自行解决与现场人员的劳务关系纠纷，可能产生的费用计入投标总价。</w:t>
      </w:r>
    </w:p>
    <w:p>
      <w:pPr>
        <w:adjustRightInd w:val="0"/>
        <w:snapToGrid w:val="0"/>
        <w:spacing w:line="360" w:lineRule="exact"/>
        <w:ind w:firstLine="440"/>
        <w:rPr>
          <w:rFonts w:ascii="宋体" w:hAnsi="宋体" w:cs="Calibri"/>
          <w:sz w:val="22"/>
        </w:rPr>
      </w:pPr>
      <w:r>
        <w:rPr>
          <w:rFonts w:hint="eastAsia" w:ascii="宋体" w:hAnsi="宋体" w:cs="Calibri"/>
          <w:sz w:val="22"/>
        </w:rPr>
        <w:t>3.3.10</w:t>
      </w:r>
      <w:r>
        <w:rPr>
          <w:rFonts w:hint="eastAsia" w:cs="Calibri" w:asciiTheme="minorEastAsia" w:hAnsiTheme="minorEastAsia"/>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cs="Calibri" w:asciiTheme="minorEastAsia" w:hAnsiTheme="minorEastAsia"/>
          <w:b/>
          <w:color w:val="000000"/>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3"/>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4" w:name="_Toc30464"/>
      <w:r>
        <w:rPr>
          <w:rFonts w:ascii="宋体" w:hAnsi="宋体" w:cs="Calibri"/>
          <w:b/>
          <w:bCs/>
          <w:kern w:val="0"/>
          <w:sz w:val="22"/>
        </w:rPr>
        <w:t>3.5 投标保证金</w:t>
      </w:r>
      <w:bookmarkEnd w:id="24"/>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3.5.2招标人与中标人签订合同书后5个工作日内，应当向未中标的投标人和中标人</w:t>
      </w:r>
      <w:r>
        <w:rPr>
          <w:rFonts w:hint="eastAsia" w:ascii="宋体" w:hAnsi="宋体"/>
          <w:sz w:val="22"/>
        </w:rPr>
        <w:t>附息</w:t>
      </w:r>
      <w:r>
        <w:rPr>
          <w:rFonts w:ascii="宋体" w:hAnsi="宋体" w:cs="Calibri"/>
          <w:kern w:val="0"/>
          <w:sz w:val="22"/>
        </w:rPr>
        <w:t>退还投标保证金。</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cs="Calibri" w:asciiTheme="minorEastAsia" w:hAnsiTheme="minorEastAsia"/>
          <w:color w:val="000000"/>
          <w:kern w:val="0"/>
          <w:sz w:val="22"/>
        </w:rPr>
        <w:t>中标人在收到中标通知书后，</w:t>
      </w:r>
      <w:r>
        <w:rPr>
          <w:rFonts w:cs="Calibri" w:asciiTheme="minorEastAsia" w:hAnsiTheme="minorEastAsia"/>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5" w:name="_Toc29989"/>
      <w:r>
        <w:rPr>
          <w:rFonts w:ascii="宋体" w:hAnsi="宋体" w:cs="Calibri"/>
          <w:b/>
          <w:bCs/>
          <w:kern w:val="0"/>
          <w:sz w:val="22"/>
        </w:rPr>
        <w:t>3.6 投标文件的编制</w:t>
      </w:r>
      <w:bookmarkEnd w:id="25"/>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六</w:t>
      </w:r>
      <w:r>
        <w:rPr>
          <w:rFonts w:ascii="宋体" w:hAnsi="宋体" w:cs="Calibri"/>
          <w:sz w:val="22"/>
        </w:rPr>
        <w:t>章“投标文件格式”进行编写，如有必要，可以增加附页，作为投标文件的组成部分，“投标文件格式”中没有规定的可自行编制格式。其中，</w:t>
      </w:r>
      <w:r>
        <w:rPr>
          <w:rFonts w:hint="eastAsia" w:ascii="宋体" w:hAnsi="宋体" w:cs="Calibri"/>
          <w:sz w:val="22"/>
        </w:rPr>
        <w:t>供货期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w:t>
      </w:r>
      <w:r>
        <w:rPr>
          <w:rFonts w:hint="eastAsia" w:ascii="宋体" w:hAnsi="宋体" w:cs="Calibri"/>
          <w:kern w:val="0"/>
          <w:sz w:val="22"/>
        </w:rPr>
        <w:t>供货期</w:t>
      </w:r>
      <w:r>
        <w:rPr>
          <w:rFonts w:ascii="宋体" w:hAnsi="宋体" w:cs="Calibri"/>
          <w:kern w:val="0"/>
          <w:sz w:val="22"/>
        </w:rPr>
        <w:t>、投标有效期、招标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6" w:name="_Toc143421659"/>
    </w:p>
    <w:p>
      <w:pPr>
        <w:autoSpaceDE w:val="0"/>
        <w:autoSpaceDN w:val="0"/>
        <w:adjustRightInd w:val="0"/>
        <w:snapToGrid w:val="0"/>
        <w:spacing w:line="360" w:lineRule="exact"/>
        <w:rPr>
          <w:rFonts w:ascii="宋体" w:hAnsi="宋体" w:cs="Calibri"/>
          <w:b/>
          <w:bCs/>
          <w:kern w:val="0"/>
          <w:sz w:val="22"/>
        </w:rPr>
      </w:pPr>
      <w:bookmarkStart w:id="27" w:name="_Toc32652"/>
      <w:r>
        <w:rPr>
          <w:rFonts w:ascii="宋体" w:hAnsi="宋体" w:cs="Calibri"/>
          <w:b/>
          <w:bCs/>
          <w:kern w:val="0"/>
          <w:sz w:val="22"/>
        </w:rPr>
        <w:t>4.投标</w:t>
      </w:r>
      <w:bookmarkEnd w:id="26"/>
      <w:bookmarkEnd w:id="27"/>
    </w:p>
    <w:p>
      <w:pPr>
        <w:autoSpaceDE w:val="0"/>
        <w:autoSpaceDN w:val="0"/>
        <w:adjustRightInd w:val="0"/>
        <w:snapToGrid w:val="0"/>
        <w:spacing w:line="360" w:lineRule="exact"/>
        <w:rPr>
          <w:rFonts w:ascii="宋体" w:hAnsi="宋体" w:cs="Calibri"/>
          <w:b/>
          <w:bCs/>
          <w:kern w:val="0"/>
          <w:sz w:val="22"/>
        </w:rPr>
      </w:pPr>
      <w:bookmarkStart w:id="28" w:name="_Toc649"/>
      <w:r>
        <w:rPr>
          <w:rFonts w:ascii="宋体" w:hAnsi="宋体" w:cs="Calibri"/>
          <w:b/>
          <w:bCs/>
          <w:kern w:val="0"/>
          <w:sz w:val="22"/>
        </w:rPr>
        <w:t>4.1 投标文件的密封和标识</w:t>
      </w:r>
      <w:bookmarkEnd w:id="28"/>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29" w:name="_Toc16616"/>
      <w:r>
        <w:rPr>
          <w:rFonts w:ascii="宋体" w:hAnsi="宋体" w:cs="Calibri"/>
          <w:b/>
          <w:bCs/>
          <w:kern w:val="0"/>
          <w:sz w:val="22"/>
        </w:rPr>
        <w:t xml:space="preserve">4.2 投标文件的递交 </w:t>
      </w:r>
      <w:bookmarkEnd w:id="29"/>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30" w:name="_Toc26099"/>
      <w:r>
        <w:rPr>
          <w:rFonts w:ascii="宋体" w:hAnsi="宋体" w:cs="Calibri"/>
          <w:b/>
          <w:bCs/>
          <w:kern w:val="0"/>
          <w:sz w:val="22"/>
        </w:rPr>
        <w:t>4.3 投标文件的修改和撤回</w:t>
      </w:r>
      <w:bookmarkEnd w:id="30"/>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31" w:name="_Toc29641"/>
      <w:r>
        <w:rPr>
          <w:rFonts w:ascii="宋体" w:hAnsi="宋体" w:cs="Calibri"/>
          <w:b/>
          <w:bCs/>
          <w:kern w:val="0"/>
          <w:sz w:val="22"/>
        </w:rPr>
        <w:t>5.开标</w:t>
      </w:r>
      <w:bookmarkEnd w:id="31"/>
    </w:p>
    <w:p>
      <w:pPr>
        <w:autoSpaceDE w:val="0"/>
        <w:autoSpaceDN w:val="0"/>
        <w:adjustRightInd w:val="0"/>
        <w:snapToGrid w:val="0"/>
        <w:spacing w:line="360" w:lineRule="exact"/>
        <w:rPr>
          <w:rFonts w:ascii="宋体" w:hAnsi="宋体" w:cs="Calibri"/>
          <w:b/>
          <w:bCs/>
          <w:kern w:val="0"/>
          <w:sz w:val="22"/>
        </w:rPr>
      </w:pPr>
      <w:bookmarkStart w:id="32" w:name="_Toc15123"/>
      <w:r>
        <w:rPr>
          <w:rFonts w:ascii="宋体" w:hAnsi="宋体" w:cs="Calibri"/>
          <w:b/>
          <w:bCs/>
          <w:kern w:val="0"/>
          <w:sz w:val="22"/>
        </w:rPr>
        <w:t>5.1 开标时间和地点</w:t>
      </w:r>
      <w:bookmarkEnd w:id="32"/>
    </w:p>
    <w:p>
      <w:pPr>
        <w:adjustRightInd w:val="0"/>
        <w:snapToGrid w:val="0"/>
        <w:spacing w:line="360" w:lineRule="exact"/>
        <w:ind w:firstLine="440"/>
        <w:rPr>
          <w:rFonts w:ascii="宋体" w:hAnsi="宋体" w:cs="Calibri"/>
          <w:sz w:val="22"/>
        </w:rPr>
      </w:pPr>
      <w:r>
        <w:rPr>
          <w:rFonts w:ascii="宋体" w:hAnsi="宋体" w:cs="Calibri"/>
          <w:sz w:val="22"/>
        </w:rPr>
        <w:t>5.1.1招标人在投标人须知规定的投标截止时间（开标时间）和地点公开开标，并邀请所有投标人的法定代表人或其委托代理人准时参加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3" w:name="_Toc7101"/>
      <w:r>
        <w:rPr>
          <w:rFonts w:ascii="宋体" w:hAnsi="宋体" w:cs="Calibri"/>
          <w:b/>
          <w:bCs/>
          <w:kern w:val="0"/>
          <w:sz w:val="22"/>
        </w:rPr>
        <w:t>5.2 开标程序</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w:t>
      </w:r>
      <w:r>
        <w:rPr>
          <w:rFonts w:hint="eastAsia" w:ascii="宋体" w:hAnsi="宋体" w:cs="Calibri"/>
          <w:sz w:val="22"/>
        </w:rPr>
        <w:t>供货期</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4" w:name="_Toc31578"/>
      <w:r>
        <w:rPr>
          <w:rFonts w:ascii="宋体" w:hAnsi="宋体" w:cs="Calibri"/>
          <w:b/>
          <w:bCs/>
          <w:kern w:val="0"/>
          <w:sz w:val="22"/>
        </w:rPr>
        <w:t>6.评标</w:t>
      </w:r>
      <w:bookmarkEnd w:id="34"/>
    </w:p>
    <w:p>
      <w:pPr>
        <w:autoSpaceDE w:val="0"/>
        <w:autoSpaceDN w:val="0"/>
        <w:adjustRightInd w:val="0"/>
        <w:snapToGrid w:val="0"/>
        <w:spacing w:line="360" w:lineRule="exact"/>
        <w:rPr>
          <w:rFonts w:ascii="宋体" w:hAnsi="宋体" w:cs="Calibri"/>
          <w:b/>
          <w:bCs/>
          <w:kern w:val="0"/>
          <w:sz w:val="22"/>
        </w:rPr>
      </w:pPr>
      <w:bookmarkStart w:id="35" w:name="_Toc10279"/>
      <w:r>
        <w:rPr>
          <w:rFonts w:ascii="宋体" w:hAnsi="宋体" w:cs="Calibri"/>
          <w:b/>
          <w:bCs/>
          <w:kern w:val="0"/>
          <w:sz w:val="22"/>
        </w:rPr>
        <w:t>6.1 评标委员会</w:t>
      </w:r>
      <w:bookmarkEnd w:id="35"/>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6" w:name="_Toc3460"/>
      <w:r>
        <w:rPr>
          <w:rFonts w:ascii="宋体" w:hAnsi="宋体" w:cs="Calibri"/>
          <w:b/>
          <w:bCs/>
          <w:kern w:val="0"/>
          <w:sz w:val="22"/>
        </w:rPr>
        <w:t>6.2 评标原则</w:t>
      </w:r>
      <w:bookmarkEnd w:id="36"/>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37" w:name="_Toc28178"/>
      <w:r>
        <w:rPr>
          <w:rFonts w:ascii="宋体" w:hAnsi="宋体" w:cs="Calibri"/>
          <w:b/>
          <w:bCs/>
          <w:kern w:val="0"/>
          <w:sz w:val="22"/>
        </w:rPr>
        <w:t>6.3 评标</w:t>
      </w:r>
      <w:bookmarkEnd w:id="37"/>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五</w:t>
      </w:r>
      <w:r>
        <w:rPr>
          <w:rFonts w:ascii="宋体" w:hAnsi="宋体" w:cs="Calibri"/>
          <w:kern w:val="0"/>
          <w:sz w:val="22"/>
        </w:rPr>
        <w:t>章“</w:t>
      </w:r>
      <w:r>
        <w:rPr>
          <w:rFonts w:cs="Calibri" w:asciiTheme="minorEastAsia" w:hAnsiTheme="minorEastAsia"/>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五</w:t>
      </w:r>
      <w:r>
        <w:rPr>
          <w:rFonts w:ascii="宋体" w:hAnsi="宋体" w:cs="Calibri"/>
          <w:kern w:val="0"/>
          <w:sz w:val="22"/>
        </w:rPr>
        <w:t>章“</w:t>
      </w:r>
      <w:r>
        <w:rPr>
          <w:rFonts w:cs="Calibri" w:asciiTheme="minorEastAsia" w:hAnsiTheme="minorEastAsia"/>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38" w:name="_Toc24237"/>
      <w:r>
        <w:rPr>
          <w:rFonts w:ascii="宋体" w:hAnsi="宋体" w:cs="Calibri"/>
          <w:b/>
          <w:bCs/>
          <w:kern w:val="0"/>
          <w:sz w:val="22"/>
        </w:rPr>
        <w:t>7.合同授予</w:t>
      </w:r>
      <w:bookmarkEnd w:id="38"/>
    </w:p>
    <w:p>
      <w:pPr>
        <w:autoSpaceDE w:val="0"/>
        <w:autoSpaceDN w:val="0"/>
        <w:adjustRightInd w:val="0"/>
        <w:snapToGrid w:val="0"/>
        <w:spacing w:line="360" w:lineRule="exact"/>
        <w:rPr>
          <w:rFonts w:ascii="宋体" w:hAnsi="宋体" w:cs="Calibri"/>
          <w:b/>
          <w:bCs/>
          <w:kern w:val="0"/>
          <w:sz w:val="22"/>
        </w:rPr>
      </w:pPr>
      <w:bookmarkStart w:id="39" w:name="_Toc18809"/>
      <w:r>
        <w:rPr>
          <w:rFonts w:ascii="宋体" w:hAnsi="宋体" w:cs="Calibri"/>
          <w:b/>
          <w:bCs/>
          <w:kern w:val="0"/>
          <w:sz w:val="22"/>
        </w:rPr>
        <w:t>7.1 定标方式</w:t>
      </w:r>
      <w:bookmarkEnd w:id="39"/>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r>
        <w:rPr>
          <w:rFonts w:hint="eastAsia" w:ascii="宋体" w:hAnsi="宋体" w:cs="Calibri"/>
          <w:sz w:val="22"/>
        </w:rPr>
        <w:t>招标人对评标、定标结果不负责解释。</w:t>
      </w:r>
    </w:p>
    <w:p>
      <w:pPr>
        <w:autoSpaceDE w:val="0"/>
        <w:autoSpaceDN w:val="0"/>
        <w:adjustRightInd w:val="0"/>
        <w:snapToGrid w:val="0"/>
        <w:spacing w:line="360" w:lineRule="exact"/>
        <w:rPr>
          <w:rFonts w:ascii="宋体" w:hAnsi="宋体" w:cs="Calibri"/>
          <w:b/>
          <w:bCs/>
          <w:kern w:val="0"/>
          <w:sz w:val="22"/>
        </w:rPr>
      </w:pPr>
      <w:bookmarkStart w:id="40" w:name="_Toc14573"/>
      <w:r>
        <w:rPr>
          <w:rFonts w:ascii="宋体" w:hAnsi="宋体" w:cs="Calibri"/>
          <w:b/>
          <w:bCs/>
          <w:kern w:val="0"/>
          <w:sz w:val="22"/>
        </w:rPr>
        <w:t>7.2 中标通知</w:t>
      </w:r>
      <w:bookmarkEnd w:id="40"/>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41" w:name="_Toc27132"/>
      <w:r>
        <w:rPr>
          <w:rFonts w:ascii="宋体" w:hAnsi="宋体" w:cs="Calibri"/>
          <w:b/>
          <w:bCs/>
          <w:kern w:val="0"/>
          <w:sz w:val="22"/>
        </w:rPr>
        <w:t>7.3 履约</w:t>
      </w:r>
      <w:r>
        <w:rPr>
          <w:rFonts w:hint="eastAsia" w:ascii="宋体" w:hAnsi="宋体" w:cs="Calibri"/>
          <w:b/>
          <w:bCs/>
          <w:kern w:val="0"/>
          <w:sz w:val="22"/>
        </w:rPr>
        <w:t>保证金</w:t>
      </w:r>
      <w:bookmarkEnd w:id="41"/>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2" w:name="_Toc27581"/>
      <w:r>
        <w:rPr>
          <w:rFonts w:ascii="宋体" w:hAnsi="宋体" w:cs="Calibri"/>
          <w:b/>
          <w:bCs/>
          <w:kern w:val="0"/>
          <w:sz w:val="22"/>
        </w:rPr>
        <w:t>7.4 签订合同</w:t>
      </w:r>
      <w:bookmarkEnd w:id="42"/>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3" w:name="_Toc219809801"/>
      <w:bookmarkStart w:id="44" w:name="_Toc11806"/>
      <w:bookmarkStart w:id="45" w:name="_Toc220123241"/>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cs="Calibri" w:asciiTheme="minorEastAsia" w:hAnsiTheme="minorEastAsia"/>
          <w:b/>
          <w:color w:val="000000"/>
          <w:kern w:val="0"/>
          <w:sz w:val="22"/>
        </w:rPr>
      </w:pPr>
      <w:r>
        <w:rPr>
          <w:rFonts w:hint="eastAsia" w:cs="Calibri" w:asciiTheme="minorEastAsia" w:hAnsiTheme="minorEastAsia"/>
          <w:color w:val="000000"/>
          <w:kern w:val="0"/>
          <w:sz w:val="22"/>
        </w:rPr>
        <w:t xml:space="preserve">7.4.3 </w:t>
      </w:r>
      <w:r>
        <w:rPr>
          <w:rFonts w:hint="eastAsia" w:cs="Calibri" w:asciiTheme="minorEastAsia" w:hAnsiTheme="minorEastAsia"/>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rPr>
          <w:rFonts w:ascii="宋体" w:hAnsi="宋体" w:cs="Calibri"/>
          <w:kern w:val="0"/>
          <w:sz w:val="22"/>
        </w:rPr>
      </w:pPr>
      <w:r>
        <w:rPr>
          <w:rFonts w:hint="eastAsia" w:cs="Calibri" w:asciiTheme="minorEastAsia" w:hAnsiTheme="minorEastAsia"/>
          <w:color w:val="000000"/>
          <w:kern w:val="0"/>
          <w:sz w:val="22"/>
        </w:rPr>
        <w:t xml:space="preserve">7.4.4 </w:t>
      </w:r>
      <w:r>
        <w:rPr>
          <w:rFonts w:hint="eastAsia" w:cs="Calibri" w:asciiTheme="minorEastAsia" w:hAnsi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3"/>
      <w:bookmarkEnd w:id="44"/>
      <w:bookmarkEnd w:id="45"/>
    </w:p>
    <w:p>
      <w:pPr>
        <w:autoSpaceDE w:val="0"/>
        <w:autoSpaceDN w:val="0"/>
        <w:adjustRightInd w:val="0"/>
        <w:snapToGrid w:val="0"/>
        <w:spacing w:line="360" w:lineRule="exact"/>
        <w:rPr>
          <w:rFonts w:ascii="宋体" w:hAnsi="宋体" w:cs="Calibri"/>
          <w:b/>
          <w:bCs/>
          <w:kern w:val="0"/>
          <w:sz w:val="22"/>
        </w:rPr>
      </w:pPr>
      <w:bookmarkStart w:id="46" w:name="_Toc15553"/>
      <w:bookmarkStart w:id="47" w:name="_Toc220123242"/>
      <w:bookmarkStart w:id="48" w:name="_Toc219809802"/>
      <w:r>
        <w:rPr>
          <w:rFonts w:ascii="宋体" w:hAnsi="宋体" w:cs="Calibri"/>
          <w:b/>
          <w:bCs/>
          <w:kern w:val="0"/>
          <w:sz w:val="22"/>
        </w:rPr>
        <w:t>8.1 重新招标</w:t>
      </w:r>
      <w:bookmarkEnd w:id="46"/>
      <w:bookmarkEnd w:id="47"/>
      <w:bookmarkEnd w:id="48"/>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49" w:name="_Toc219809803"/>
      <w:bookmarkStart w:id="50" w:name="_Toc220123243"/>
      <w:bookmarkStart w:id="51" w:name="_Toc18806"/>
      <w:r>
        <w:rPr>
          <w:rFonts w:ascii="宋体" w:hAnsi="宋体" w:cs="Calibri"/>
          <w:b/>
          <w:bCs/>
          <w:kern w:val="0"/>
          <w:sz w:val="22"/>
        </w:rPr>
        <w:t>8.2 不再招标</w:t>
      </w:r>
      <w:bookmarkEnd w:id="49"/>
      <w:bookmarkEnd w:id="50"/>
      <w:bookmarkEnd w:id="51"/>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2" w:name="_Toc215941254"/>
      <w:bookmarkStart w:id="53" w:name="_Toc2986"/>
      <w:bookmarkStart w:id="54" w:name="_Toc220123244"/>
      <w:bookmarkStart w:id="55" w:name="_Toc219809804"/>
      <w:r>
        <w:rPr>
          <w:rFonts w:ascii="宋体" w:hAnsi="宋体" w:cs="Calibri"/>
          <w:b/>
          <w:bCs/>
          <w:kern w:val="0"/>
          <w:sz w:val="22"/>
        </w:rPr>
        <w:t>9.纪律和监督</w:t>
      </w:r>
      <w:bookmarkEnd w:id="52"/>
      <w:bookmarkEnd w:id="53"/>
      <w:bookmarkEnd w:id="54"/>
      <w:bookmarkEnd w:id="55"/>
    </w:p>
    <w:p>
      <w:pPr>
        <w:autoSpaceDE w:val="0"/>
        <w:autoSpaceDN w:val="0"/>
        <w:adjustRightInd w:val="0"/>
        <w:snapToGrid w:val="0"/>
        <w:spacing w:line="360" w:lineRule="exact"/>
        <w:rPr>
          <w:rFonts w:ascii="宋体" w:hAnsi="宋体" w:cs="Calibri"/>
          <w:b/>
          <w:bCs/>
          <w:kern w:val="0"/>
          <w:sz w:val="22"/>
        </w:rPr>
      </w:pPr>
      <w:bookmarkStart w:id="56" w:name="_Toc5509"/>
      <w:bookmarkStart w:id="57" w:name="_Toc220123245"/>
      <w:bookmarkStart w:id="58" w:name="_Toc219809805"/>
      <w:r>
        <w:rPr>
          <w:rFonts w:ascii="宋体" w:hAnsi="宋体" w:cs="Calibri"/>
          <w:b/>
          <w:bCs/>
          <w:kern w:val="0"/>
          <w:sz w:val="22"/>
        </w:rPr>
        <w:t>9.1 对招标人的纪律要求</w:t>
      </w:r>
      <w:bookmarkEnd w:id="56"/>
      <w:bookmarkEnd w:id="57"/>
      <w:bookmarkEnd w:id="5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59" w:name="_Toc219809806"/>
      <w:bookmarkStart w:id="60" w:name="_Toc220123246"/>
      <w:bookmarkStart w:id="61" w:name="_Toc10820"/>
      <w:r>
        <w:rPr>
          <w:rFonts w:ascii="宋体" w:hAnsi="宋体" w:cs="Calibri"/>
          <w:b/>
          <w:bCs/>
          <w:kern w:val="0"/>
          <w:sz w:val="22"/>
        </w:rPr>
        <w:t>9.2 对投标人的纪律要求</w:t>
      </w:r>
      <w:bookmarkEnd w:id="59"/>
      <w:bookmarkEnd w:id="60"/>
      <w:bookmarkEnd w:id="61"/>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cs="Calibri" w:asciiTheme="minorEastAsia" w:hAnsiTheme="minorEastAsia"/>
          <w:b/>
          <w:color w:val="000000"/>
          <w:sz w:val="22"/>
        </w:rPr>
      </w:pPr>
      <w:r>
        <w:rPr>
          <w:rFonts w:hint="eastAsia" w:cs="Calibri" w:asciiTheme="minorEastAsia" w:hAnsiTheme="minorEastAsia"/>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2" w:name="_Toc219809807"/>
      <w:bookmarkStart w:id="63" w:name="_Toc220123247"/>
      <w:bookmarkStart w:id="64" w:name="_Toc10756"/>
      <w:r>
        <w:rPr>
          <w:rFonts w:ascii="宋体" w:hAnsi="宋体" w:cs="Calibri"/>
          <w:b/>
          <w:bCs/>
          <w:kern w:val="0"/>
          <w:sz w:val="22"/>
        </w:rPr>
        <w:t>9.3 对评标委员会成员的纪律要求</w:t>
      </w:r>
      <w:bookmarkEnd w:id="62"/>
      <w:bookmarkEnd w:id="63"/>
      <w:bookmarkEnd w:id="64"/>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cs="Calibri" w:asciiTheme="minorEastAsia" w:hAnsiTheme="minorEastAsia"/>
          <w:color w:val="000000"/>
          <w:sz w:val="22"/>
        </w:rPr>
        <w:t>五</w:t>
      </w:r>
      <w:r>
        <w:rPr>
          <w:rFonts w:cs="Calibri" w:asciiTheme="minorEastAsia" w:hAnsiTheme="minorEastAsia"/>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5" w:name="_Toc12792"/>
      <w:bookmarkStart w:id="66" w:name="_Toc220123248"/>
      <w:bookmarkStart w:id="67" w:name="_Toc219809808"/>
      <w:r>
        <w:rPr>
          <w:rFonts w:ascii="宋体" w:hAnsi="宋体" w:cs="Calibri"/>
          <w:b/>
          <w:bCs/>
          <w:kern w:val="0"/>
          <w:sz w:val="22"/>
        </w:rPr>
        <w:t>9.4 对评标活动有关的工作人员的纪律要求</w:t>
      </w:r>
      <w:bookmarkEnd w:id="65"/>
      <w:bookmarkEnd w:id="66"/>
      <w:bookmarkEnd w:id="6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68" w:name="_Toc239"/>
      <w:bookmarkStart w:id="69" w:name="_Toc220123249"/>
      <w:bookmarkStart w:id="70" w:name="_Toc219809809"/>
      <w:r>
        <w:rPr>
          <w:rFonts w:ascii="宋体" w:hAnsi="宋体" w:cs="Calibri"/>
          <w:b/>
          <w:bCs/>
          <w:kern w:val="0"/>
          <w:sz w:val="22"/>
        </w:rPr>
        <w:t>9.5 投诉</w:t>
      </w:r>
      <w:bookmarkEnd w:id="68"/>
      <w:bookmarkEnd w:id="69"/>
      <w:bookmarkEnd w:id="70"/>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71" w:name="_Toc10817"/>
      <w:r>
        <w:rPr>
          <w:rFonts w:ascii="宋体" w:hAnsi="宋体" w:cs="Calibri"/>
          <w:b/>
          <w:bCs/>
          <w:kern w:val="0"/>
          <w:sz w:val="22"/>
        </w:rPr>
        <w:t>10. 需要补充的其他内容</w:t>
      </w:r>
      <w:bookmarkEnd w:id="71"/>
    </w:p>
    <w:p>
      <w:pPr>
        <w:autoSpaceDE w:val="0"/>
        <w:autoSpaceDN w:val="0"/>
        <w:adjustRightInd w:val="0"/>
        <w:snapToGrid w:val="0"/>
        <w:spacing w:line="360" w:lineRule="exact"/>
        <w:ind w:firstLine="440"/>
        <w:jc w:val="left"/>
        <w:rPr>
          <w:rFonts w:cs="Calibri" w:asciiTheme="minorEastAsia" w:hAnsiTheme="minorEastAsia"/>
          <w:color w:val="000000"/>
          <w:sz w:val="22"/>
        </w:rPr>
      </w:pPr>
      <w:r>
        <w:rPr>
          <w:rFonts w:cs="Calibri" w:asciiTheme="minorEastAsia" w:hAnsiTheme="minorEastAsia"/>
          <w:color w:val="000000"/>
          <w:sz w:val="22"/>
        </w:rPr>
        <w:t>需要补充的其他内容：见投标人须知前附表。</w:t>
      </w: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ind w:firstLine="440"/>
        <w:jc w:val="left"/>
        <w:rPr>
          <w:rFonts w:cs="Calibri" w:asciiTheme="minorEastAsia" w:hAnsiTheme="minorEastAsia"/>
          <w:color w:val="000000"/>
          <w:sz w:val="22"/>
        </w:rPr>
      </w:pPr>
    </w:p>
    <w:p>
      <w:pPr>
        <w:autoSpaceDE w:val="0"/>
        <w:autoSpaceDN w:val="0"/>
        <w:adjustRightInd w:val="0"/>
        <w:snapToGrid w:val="0"/>
        <w:spacing w:line="360" w:lineRule="exact"/>
        <w:jc w:val="left"/>
        <w:rPr>
          <w:rFonts w:cs="Calibri" w:asciiTheme="minorEastAsia" w:hAnsiTheme="minorEastAsia"/>
          <w:color w:val="000000"/>
          <w:sz w:val="22"/>
        </w:rPr>
      </w:pPr>
    </w:p>
    <w:p>
      <w:pPr>
        <w:spacing w:line="560" w:lineRule="exact"/>
      </w:pPr>
    </w:p>
    <w:p>
      <w:pPr>
        <w:spacing w:line="560" w:lineRule="exact"/>
        <w:jc w:val="center"/>
      </w:pPr>
    </w:p>
    <w:p>
      <w:pPr>
        <w:snapToGrid w:val="0"/>
        <w:spacing w:line="560" w:lineRule="exact"/>
      </w:pPr>
    </w:p>
    <w:p>
      <w:pPr>
        <w:pStyle w:val="51"/>
      </w:pPr>
      <w:r>
        <w:rPr>
          <w:sz w:val="24"/>
        </w:rPr>
        <w:br w:type="page"/>
      </w:r>
      <w:bookmarkStart w:id="72" w:name="_Toc321925453"/>
      <w:r>
        <w:t>第</w:t>
      </w:r>
      <w:r>
        <w:rPr>
          <w:rFonts w:hint="eastAsia"/>
        </w:rPr>
        <w:t>三</w:t>
      </w:r>
      <w:r>
        <w:t>章  货物需求一览表及技术规格</w:t>
      </w:r>
      <w:bookmarkEnd w:id="72"/>
    </w:p>
    <w:p/>
    <w:p>
      <w:pPr>
        <w:adjustRightInd w:val="0"/>
        <w:snapToGrid w:val="0"/>
        <w:spacing w:line="360" w:lineRule="auto"/>
        <w:ind w:firstLine="470" w:firstLineChars="196"/>
        <w:rPr>
          <w:rFonts w:ascii="宋体" w:hAnsi="宋体" w:cs="宋体"/>
          <w:snapToGrid w:val="0"/>
          <w:kern w:val="0"/>
          <w:szCs w:val="21"/>
        </w:rPr>
      </w:pPr>
      <w:r>
        <w:rPr>
          <w:rFonts w:hint="eastAsia" w:ascii="宋体" w:hAnsi="宋体" w:cs="宋体"/>
          <w:snapToGrid w:val="0"/>
          <w:kern w:val="0"/>
          <w:szCs w:val="21"/>
        </w:rPr>
        <w:t>本项目主要采购商品：</w:t>
      </w:r>
    </w:p>
    <w:tbl>
      <w:tblPr>
        <w:tblStyle w:val="58"/>
        <w:tblpPr w:leftFromText="180" w:rightFromText="180" w:vertAnchor="text" w:horzAnchor="page" w:tblpX="1612" w:tblpY="213"/>
        <w:tblOverlap w:val="never"/>
        <w:tblW w:w="8800" w:type="dxa"/>
        <w:tblInd w:w="0" w:type="dxa"/>
        <w:tblLayout w:type="fixed"/>
        <w:tblCellMar>
          <w:top w:w="0" w:type="dxa"/>
          <w:left w:w="108" w:type="dxa"/>
          <w:bottom w:w="0" w:type="dxa"/>
          <w:right w:w="108" w:type="dxa"/>
        </w:tblCellMar>
      </w:tblPr>
      <w:tblGrid>
        <w:gridCol w:w="746"/>
        <w:gridCol w:w="1440"/>
        <w:gridCol w:w="1575"/>
        <w:gridCol w:w="1459"/>
        <w:gridCol w:w="2280"/>
        <w:gridCol w:w="1300"/>
      </w:tblGrid>
      <w:tr>
        <w:tblPrEx>
          <w:tblLayout w:type="fixed"/>
          <w:tblCellMar>
            <w:top w:w="0" w:type="dxa"/>
            <w:left w:w="108" w:type="dxa"/>
            <w:bottom w:w="0" w:type="dxa"/>
            <w:right w:w="108" w:type="dxa"/>
          </w:tblCellMar>
        </w:tblPrEx>
        <w:trPr>
          <w:trHeight w:val="375" w:hRule="atLeast"/>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lang w:eastAsia="zh-CN"/>
              </w:rPr>
              <w:t>物</w:t>
            </w:r>
            <w:r>
              <w:rPr>
                <w:rFonts w:hint="eastAsia" w:ascii="宋体" w:hAnsi="宋体" w:cs="宋体"/>
                <w:kern w:val="0"/>
                <w:szCs w:val="21"/>
              </w:rPr>
              <w:t>品名称</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推荐品牌</w:t>
            </w:r>
          </w:p>
        </w:tc>
        <w:tc>
          <w:tcPr>
            <w:tcW w:w="14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产地</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规格</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数量</w:t>
            </w:r>
          </w:p>
        </w:tc>
      </w:tr>
      <w:tr>
        <w:tblPrEx>
          <w:tblLayout w:type="fixed"/>
          <w:tblCellMar>
            <w:top w:w="0" w:type="dxa"/>
            <w:left w:w="108" w:type="dxa"/>
            <w:bottom w:w="0" w:type="dxa"/>
            <w:right w:w="108" w:type="dxa"/>
          </w:tblCellMar>
        </w:tblPrEx>
        <w:trPr>
          <w:trHeight w:val="375" w:hRule="atLeast"/>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铁皮枫斗晶</w:t>
            </w:r>
            <w:r>
              <w:rPr>
                <w:rFonts w:hint="eastAsia" w:ascii="宋体" w:hAnsi="宋体" w:cs="宋体"/>
                <w:kern w:val="0"/>
                <w:szCs w:val="21"/>
                <w:lang w:val="en-US" w:eastAsia="zh-CN"/>
              </w:rPr>
              <w:t>/铁皮枫斗颗粒</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立钻、寿仙谷、胡庆余堂等同档次知名品牌</w:t>
            </w:r>
          </w:p>
        </w:tc>
        <w:tc>
          <w:tcPr>
            <w:tcW w:w="14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浙江</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Theme="minorEastAsia" w:hAnsiTheme="minorEastAsia"/>
                <w:sz w:val="22"/>
                <w:szCs w:val="22"/>
              </w:rPr>
              <w:t>3克/袋，且不少于60袋/人份</w:t>
            </w:r>
            <w:r>
              <w:rPr>
                <w:rFonts w:hint="eastAsia" w:ascii="宋体" w:hAnsi="宋体" w:cs="宋体"/>
                <w:kern w:val="0"/>
                <w:szCs w:val="21"/>
              </w:rPr>
              <w:t>（每100克含粗多糖≥1000mg；人参皂苷Rb1≥60mg或总皂甙（苷）≥200mg）</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5706人份</w:t>
            </w:r>
          </w:p>
        </w:tc>
      </w:tr>
    </w:tbl>
    <w:p>
      <w:pPr>
        <w:autoSpaceDE w:val="0"/>
        <w:autoSpaceDN w:val="0"/>
        <w:spacing w:line="440" w:lineRule="exact"/>
        <w:rPr>
          <w:rFonts w:ascii="宋体" w:hAnsi="宋体"/>
          <w:bCs/>
        </w:rPr>
      </w:pPr>
      <w:r>
        <w:rPr>
          <w:rFonts w:hint="eastAsia" w:ascii="宋体" w:hAnsi="宋体"/>
          <w:bCs/>
        </w:rPr>
        <w:t xml:space="preserve">    1、推荐品牌目的是为了方便投标人直观和准确地把握相应</w:t>
      </w:r>
      <w:r>
        <w:rPr>
          <w:rFonts w:hint="eastAsia" w:ascii="宋体" w:hAnsi="宋体"/>
          <w:bCs/>
          <w:lang w:eastAsia="zh-CN"/>
        </w:rPr>
        <w:t>物</w:t>
      </w:r>
      <w:r>
        <w:rPr>
          <w:rFonts w:hint="eastAsia" w:ascii="宋体" w:hAnsi="宋体"/>
          <w:bCs/>
        </w:rPr>
        <w:t>品的技术标准，不具指定或唯一的意思表示，投标人应当参考所列品牌的规格及要求，按照招标文件要求采购相当于或高于所列品牌技术规格的</w:t>
      </w:r>
      <w:r>
        <w:rPr>
          <w:rFonts w:hint="eastAsia" w:ascii="宋体" w:hAnsi="宋体"/>
          <w:bCs/>
          <w:lang w:eastAsia="zh-CN"/>
        </w:rPr>
        <w:t>物</w:t>
      </w:r>
      <w:r>
        <w:rPr>
          <w:rFonts w:hint="eastAsia" w:ascii="宋体" w:hAnsi="宋体"/>
          <w:bCs/>
        </w:rPr>
        <w:t>品。若投标人选择其他品牌报价，则所选品牌档次应不低于上述所列品牌，并在投标文件中单独列出更换品牌一览表及提供相关材料（包括但不限于性能参数对比表、使用情况证明等）证明本品牌档次不低于推荐品牌。如不提供证明材料证明或者评标委员会认为所更换的品牌档次低于建议品牌，技术详细审查不予通过。</w:t>
      </w:r>
    </w:p>
    <w:p>
      <w:pPr>
        <w:autoSpaceDE w:val="0"/>
        <w:autoSpaceDN w:val="0"/>
        <w:spacing w:line="440" w:lineRule="exact"/>
        <w:rPr>
          <w:rFonts w:ascii="宋体" w:hAnsi="宋体"/>
          <w:bCs/>
        </w:rPr>
      </w:pPr>
      <w:r>
        <w:rPr>
          <w:rFonts w:hint="eastAsia" w:ascii="宋体" w:hAnsi="宋体"/>
          <w:bCs/>
        </w:rPr>
        <w:t xml:space="preserve">    </w:t>
      </w:r>
      <w:r>
        <w:rPr>
          <w:rStyle w:val="81"/>
          <w:rFonts w:hint="default"/>
          <w:color w:val="auto"/>
        </w:rPr>
        <w:t>★</w:t>
      </w:r>
      <w:r>
        <w:rPr>
          <w:rFonts w:hint="eastAsia" w:ascii="宋体" w:hAnsi="宋体"/>
          <w:bCs/>
        </w:rPr>
        <w:t>2、所投产品必须是2019年1月1日以后生产的。</w:t>
      </w:r>
    </w:p>
    <w:p>
      <w:pPr>
        <w:autoSpaceDE w:val="0"/>
        <w:autoSpaceDN w:val="0"/>
        <w:spacing w:line="440" w:lineRule="exact"/>
        <w:ind w:firstLine="480"/>
        <w:rPr>
          <w:rFonts w:ascii="宋体" w:hAnsi="宋体"/>
          <w:bCs/>
        </w:rPr>
      </w:pPr>
      <w:r>
        <w:rPr>
          <w:rStyle w:val="81"/>
          <w:rFonts w:hint="default"/>
          <w:color w:val="auto"/>
        </w:rPr>
        <w:t>★</w:t>
      </w:r>
      <w:r>
        <w:rPr>
          <w:rFonts w:hint="eastAsia" w:ascii="宋体" w:hAnsi="宋体"/>
          <w:bCs/>
        </w:rPr>
        <w:t>3、所投产品包装应为3克/袋，至少服用30天的量，即总数≥60袋/人份。</w:t>
      </w:r>
    </w:p>
    <w:p>
      <w:pPr>
        <w:autoSpaceDE w:val="0"/>
        <w:autoSpaceDN w:val="0"/>
        <w:spacing w:line="440" w:lineRule="exact"/>
        <w:ind w:firstLine="480"/>
        <w:rPr>
          <w:rFonts w:ascii="宋体" w:hAnsi="宋体" w:cs="宋体"/>
          <w:kern w:val="0"/>
          <w:szCs w:val="21"/>
        </w:rPr>
      </w:pPr>
      <w:r>
        <w:rPr>
          <w:rStyle w:val="81"/>
          <w:rFonts w:hint="default"/>
          <w:color w:val="auto"/>
        </w:rPr>
        <w:t>★</w:t>
      </w:r>
      <w:r>
        <w:rPr>
          <w:rFonts w:hint="eastAsia" w:ascii="宋体" w:hAnsi="宋体"/>
          <w:bCs/>
        </w:rPr>
        <w:t>4、所投产品必须达到每100克含</w:t>
      </w:r>
      <w:r>
        <w:rPr>
          <w:rFonts w:hint="eastAsia" w:ascii="宋体" w:hAnsi="宋体" w:cs="宋体"/>
          <w:kern w:val="0"/>
          <w:szCs w:val="21"/>
        </w:rPr>
        <w:t>粗多糖≥1000mg，人参皂苷Rb1≥60mg或总皂甙（苷）≥200mg。</w:t>
      </w:r>
    </w:p>
    <w:p>
      <w:pPr>
        <w:autoSpaceDE w:val="0"/>
        <w:autoSpaceDN w:val="0"/>
        <w:spacing w:line="440" w:lineRule="exact"/>
        <w:ind w:firstLine="480"/>
        <w:rPr>
          <w:rFonts w:ascii="宋体" w:hAnsi="宋体" w:cs="宋体"/>
          <w:kern w:val="0"/>
          <w:szCs w:val="21"/>
        </w:rPr>
      </w:pPr>
      <w:r>
        <w:rPr>
          <w:rFonts w:hint="eastAsia" w:ascii="宋体" w:hAnsi="宋体" w:cs="宋体"/>
          <w:kern w:val="0"/>
          <w:szCs w:val="21"/>
        </w:rPr>
        <w:t>带</w:t>
      </w:r>
      <w:r>
        <w:rPr>
          <w:rStyle w:val="81"/>
          <w:rFonts w:hint="default"/>
          <w:color w:val="auto"/>
        </w:rPr>
        <w:t>★为必须满足的要求。</w:t>
      </w:r>
    </w:p>
    <w:p/>
    <w:p>
      <w:pPr>
        <w:spacing w:line="360" w:lineRule="auto"/>
        <w:ind w:firstLine="480" w:firstLineChars="200"/>
        <w:rPr>
          <w:rFonts w:asciiTheme="minorEastAsia" w:hAnsiTheme="minorEastAsia"/>
          <w:szCs w:val="21"/>
        </w:rPr>
      </w:pPr>
    </w:p>
    <w:p>
      <w:pPr>
        <w:widowControl/>
        <w:jc w:val="left"/>
        <w:rPr>
          <w:rFonts w:ascii="Cambria" w:hAnsi="Cambria" w:eastAsia="黑体" w:cs="Times New Roman"/>
          <w:b/>
          <w:bCs/>
          <w:kern w:val="0"/>
          <w:sz w:val="32"/>
          <w:szCs w:val="32"/>
        </w:rPr>
      </w:pPr>
    </w:p>
    <w:p>
      <w:pPr>
        <w:pStyle w:val="51"/>
      </w:pPr>
      <w:bookmarkStart w:id="73" w:name="_Toc321925454"/>
    </w:p>
    <w:p>
      <w:pPr>
        <w:pStyle w:val="51"/>
      </w:pPr>
    </w:p>
    <w:p>
      <w:pPr>
        <w:pStyle w:val="51"/>
      </w:pPr>
    </w:p>
    <w:p>
      <w:pPr>
        <w:pStyle w:val="51"/>
      </w:pPr>
    </w:p>
    <w:p>
      <w:pPr>
        <w:pStyle w:val="51"/>
      </w:pPr>
    </w:p>
    <w:p>
      <w:pPr>
        <w:pStyle w:val="51"/>
      </w:pPr>
    </w:p>
    <w:p>
      <w:pPr>
        <w:pStyle w:val="51"/>
      </w:pPr>
    </w:p>
    <w:p>
      <w:pPr>
        <w:pStyle w:val="51"/>
      </w:pPr>
    </w:p>
    <w:p>
      <w:pPr>
        <w:pStyle w:val="51"/>
      </w:pPr>
    </w:p>
    <w:p>
      <w:pPr>
        <w:pStyle w:val="51"/>
      </w:pPr>
    </w:p>
    <w:p>
      <w:pPr>
        <w:pStyle w:val="51"/>
      </w:pPr>
    </w:p>
    <w:p>
      <w:pPr>
        <w:pStyle w:val="51"/>
      </w:pPr>
    </w:p>
    <w:p>
      <w:pPr>
        <w:pStyle w:val="51"/>
      </w:pPr>
      <w:r>
        <w:rPr>
          <w:rFonts w:hint="eastAsia"/>
        </w:rPr>
        <w:t xml:space="preserve">第四章  </w:t>
      </w:r>
      <w:r>
        <w:t>合同条款</w:t>
      </w:r>
      <w:bookmarkEnd w:id="73"/>
    </w:p>
    <w:p>
      <w:pPr>
        <w:adjustRightInd w:val="0"/>
        <w:snapToGrid w:val="0"/>
        <w:spacing w:line="360" w:lineRule="exact"/>
        <w:ind w:firstLine="452"/>
        <w:jc w:val="left"/>
        <w:rPr>
          <w:rFonts w:ascii="宋体" w:hAnsi="宋体"/>
          <w:b/>
          <w:sz w:val="22"/>
        </w:rPr>
      </w:pPr>
    </w:p>
    <w:p>
      <w:pPr>
        <w:spacing w:line="560" w:lineRule="exact"/>
        <w:ind w:firstLine="562" w:firstLineChars="200"/>
        <w:jc w:val="center"/>
        <w:rPr>
          <w:rFonts w:asciiTheme="majorEastAsia" w:hAnsiTheme="majorEastAsia" w:eastAsiaTheme="majorEastAsia" w:cstheme="majorEastAsia"/>
          <w:b/>
          <w:sz w:val="28"/>
          <w:szCs w:val="28"/>
        </w:rPr>
      </w:pPr>
      <w:bookmarkStart w:id="74" w:name="_Toc206217401"/>
      <w:bookmarkStart w:id="75" w:name="_Toc90452722"/>
      <w:r>
        <w:rPr>
          <w:rFonts w:hint="eastAsia" w:asciiTheme="majorEastAsia" w:hAnsiTheme="majorEastAsia" w:eastAsiaTheme="majorEastAsia" w:cstheme="majorEastAsia"/>
          <w:b/>
          <w:sz w:val="28"/>
          <w:szCs w:val="28"/>
        </w:rPr>
        <w:t>杭州萧山国际机场【2019年防暑降温物品】</w:t>
      </w:r>
    </w:p>
    <w:p>
      <w:pPr>
        <w:spacing w:line="560" w:lineRule="exact"/>
        <w:ind w:firstLine="562" w:firstLineChars="200"/>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采购合同</w:t>
      </w:r>
    </w:p>
    <w:p>
      <w:pPr>
        <w:adjustRightInd w:val="0"/>
        <w:snapToGrid w:val="0"/>
        <w:spacing w:line="560" w:lineRule="exact"/>
        <w:rPr>
          <w:rFonts w:asciiTheme="minorEastAsia" w:hAnsiTheme="minorEastAsia" w:cstheme="minorEastAsia"/>
          <w:b/>
        </w:rPr>
      </w:pPr>
      <w:r>
        <w:rPr>
          <w:rFonts w:hint="eastAsia" w:asciiTheme="minorEastAsia" w:hAnsiTheme="minorEastAsia" w:cstheme="minorEastAsia"/>
          <w:b/>
        </w:rPr>
        <w:t xml:space="preserve">    甲方：杭州萧山国际机场有限公司</w:t>
      </w:r>
    </w:p>
    <w:p>
      <w:pPr>
        <w:adjustRightInd w:val="0"/>
        <w:snapToGrid w:val="0"/>
        <w:spacing w:line="560" w:lineRule="exact"/>
        <w:ind w:firstLine="452"/>
        <w:rPr>
          <w:rFonts w:asciiTheme="minorEastAsia" w:hAnsiTheme="minorEastAsia" w:cstheme="minorEastAsia"/>
          <w:b/>
        </w:rPr>
      </w:pPr>
      <w:r>
        <w:rPr>
          <w:rFonts w:hint="eastAsia" w:asciiTheme="minorEastAsia" w:hAnsiTheme="minorEastAsia" w:cstheme="minorEastAsia"/>
          <w:b/>
        </w:rPr>
        <w:t>住所地：杭州萧山国际机场内</w:t>
      </w:r>
    </w:p>
    <w:p>
      <w:pPr>
        <w:adjustRightInd w:val="0"/>
        <w:snapToGrid w:val="0"/>
        <w:spacing w:line="560" w:lineRule="exact"/>
        <w:rPr>
          <w:rFonts w:asciiTheme="minorEastAsia" w:hAnsiTheme="minorEastAsia" w:cstheme="minorEastAsia"/>
          <w:b/>
        </w:rPr>
      </w:pPr>
    </w:p>
    <w:p>
      <w:pPr>
        <w:adjustRightInd w:val="0"/>
        <w:snapToGrid w:val="0"/>
        <w:spacing w:line="560" w:lineRule="exact"/>
        <w:ind w:firstLine="452"/>
        <w:rPr>
          <w:rFonts w:asciiTheme="minorEastAsia" w:hAnsiTheme="minorEastAsia" w:cstheme="minorEastAsia"/>
          <w:b/>
        </w:rPr>
      </w:pPr>
      <w:r>
        <w:rPr>
          <w:rFonts w:hint="eastAsia" w:asciiTheme="minorEastAsia" w:hAnsiTheme="minorEastAsia" w:cstheme="minorEastAsia"/>
          <w:b/>
        </w:rPr>
        <w:t>乙方:</w:t>
      </w:r>
    </w:p>
    <w:p>
      <w:pPr>
        <w:adjustRightInd w:val="0"/>
        <w:snapToGrid w:val="0"/>
        <w:spacing w:line="560" w:lineRule="exact"/>
        <w:ind w:firstLine="452"/>
        <w:rPr>
          <w:rFonts w:asciiTheme="minorEastAsia" w:hAnsiTheme="minorEastAsia" w:cstheme="minorEastAsia"/>
        </w:rPr>
      </w:pPr>
      <w:r>
        <w:rPr>
          <w:rFonts w:hint="eastAsia" w:asciiTheme="minorEastAsia" w:hAnsiTheme="minorEastAsia" w:cstheme="minorEastAsia"/>
          <w:b/>
        </w:rPr>
        <w:t>住所地:</w:t>
      </w:r>
    </w:p>
    <w:p>
      <w:pPr>
        <w:adjustRightInd w:val="0"/>
        <w:snapToGrid w:val="0"/>
        <w:spacing w:line="560" w:lineRule="exact"/>
        <w:ind w:firstLine="450"/>
        <w:rPr>
          <w:rFonts w:asciiTheme="minorEastAsia" w:hAnsiTheme="minorEastAsia" w:cstheme="minorEastAsia"/>
        </w:rPr>
      </w:pP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甲、乙双方根据《中华人民共和国合同法》等相关法律法规，就相关货物采购事宜，在互利、平等的原则基础上，经协商一致，特签订本合同，以共同遵守。</w:t>
      </w:r>
    </w:p>
    <w:p>
      <w:pPr>
        <w:spacing w:line="560" w:lineRule="exact"/>
        <w:ind w:firstLine="593"/>
        <w:rPr>
          <w:rFonts w:asciiTheme="minorEastAsia" w:hAnsiTheme="minorEastAsia" w:cstheme="minorEastAsia"/>
          <w:b/>
          <w:bCs/>
        </w:rPr>
      </w:pPr>
      <w:r>
        <w:rPr>
          <w:rFonts w:hint="eastAsia" w:asciiTheme="minorEastAsia" w:hAnsiTheme="minorEastAsia" w:cstheme="minorEastAsia"/>
          <w:b/>
          <w:bCs/>
        </w:rPr>
        <w:t>一、货物规格型号及参数</w:t>
      </w:r>
    </w:p>
    <w:tbl>
      <w:tblPr>
        <w:tblStyle w:val="58"/>
        <w:tblW w:w="10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559"/>
        <w:gridCol w:w="1820"/>
        <w:gridCol w:w="2150"/>
        <w:gridCol w:w="1180"/>
        <w:gridCol w:w="113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71" w:type="dxa"/>
            <w:vAlign w:val="center"/>
          </w:tcPr>
          <w:p>
            <w:pPr>
              <w:pStyle w:val="132"/>
              <w:spacing w:line="56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559" w:type="dxa"/>
            <w:vAlign w:val="center"/>
          </w:tcPr>
          <w:p>
            <w:pPr>
              <w:pStyle w:val="132"/>
              <w:spacing w:line="56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货物名称</w:t>
            </w:r>
          </w:p>
        </w:tc>
        <w:tc>
          <w:tcPr>
            <w:tcW w:w="1820" w:type="dxa"/>
            <w:vAlign w:val="center"/>
          </w:tcPr>
          <w:p>
            <w:pPr>
              <w:pStyle w:val="132"/>
              <w:spacing w:line="56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品牌型号</w:t>
            </w:r>
          </w:p>
        </w:tc>
        <w:tc>
          <w:tcPr>
            <w:tcW w:w="2150" w:type="dxa"/>
            <w:vAlign w:val="center"/>
          </w:tcPr>
          <w:p>
            <w:pPr>
              <w:pStyle w:val="132"/>
              <w:spacing w:line="56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单位</w:t>
            </w:r>
          </w:p>
        </w:tc>
        <w:tc>
          <w:tcPr>
            <w:tcW w:w="1180" w:type="dxa"/>
            <w:vAlign w:val="center"/>
          </w:tcPr>
          <w:p>
            <w:pPr>
              <w:pStyle w:val="132"/>
              <w:spacing w:line="56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预估数量</w:t>
            </w:r>
          </w:p>
        </w:tc>
        <w:tc>
          <w:tcPr>
            <w:tcW w:w="1134" w:type="dxa"/>
            <w:vAlign w:val="center"/>
          </w:tcPr>
          <w:p>
            <w:pPr>
              <w:pStyle w:val="132"/>
              <w:spacing w:line="56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单价</w:t>
            </w:r>
          </w:p>
        </w:tc>
        <w:tc>
          <w:tcPr>
            <w:tcW w:w="1476" w:type="dxa"/>
            <w:vAlign w:val="center"/>
          </w:tcPr>
          <w:p>
            <w:pPr>
              <w:pStyle w:val="132"/>
              <w:spacing w:line="56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预估总价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871" w:type="dxa"/>
            <w:vAlign w:val="center"/>
          </w:tcPr>
          <w:p>
            <w:pPr>
              <w:pStyle w:val="132"/>
              <w:spacing w:line="560" w:lineRule="exact"/>
              <w:jc w:val="center"/>
              <w:rPr>
                <w:rFonts w:asciiTheme="minorEastAsia" w:hAnsiTheme="minorEastAsia" w:eastAsiaTheme="minorEastAsia" w:cstheme="minorEastAsia"/>
                <w:sz w:val="24"/>
                <w:szCs w:val="24"/>
              </w:rPr>
            </w:pPr>
          </w:p>
        </w:tc>
        <w:tc>
          <w:tcPr>
            <w:tcW w:w="1559" w:type="dxa"/>
            <w:vAlign w:val="center"/>
          </w:tcPr>
          <w:p>
            <w:pPr>
              <w:pStyle w:val="132"/>
              <w:spacing w:line="5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铁皮枫斗晶</w:t>
            </w:r>
          </w:p>
        </w:tc>
        <w:tc>
          <w:tcPr>
            <w:tcW w:w="1820" w:type="dxa"/>
            <w:vAlign w:val="center"/>
          </w:tcPr>
          <w:p>
            <w:pPr>
              <w:pStyle w:val="132"/>
              <w:spacing w:line="560" w:lineRule="exact"/>
              <w:jc w:val="center"/>
              <w:rPr>
                <w:rFonts w:asciiTheme="minorEastAsia" w:hAnsiTheme="minorEastAsia" w:eastAsiaTheme="minorEastAsia" w:cstheme="minorEastAsia"/>
                <w:sz w:val="24"/>
                <w:szCs w:val="24"/>
              </w:rPr>
            </w:pPr>
          </w:p>
        </w:tc>
        <w:tc>
          <w:tcPr>
            <w:tcW w:w="2150" w:type="dxa"/>
            <w:vAlign w:val="center"/>
          </w:tcPr>
          <w:p>
            <w:pPr>
              <w:pStyle w:val="132"/>
              <w:spacing w:line="560" w:lineRule="exact"/>
              <w:jc w:val="center"/>
              <w:rPr>
                <w:rFonts w:asciiTheme="minorEastAsia" w:hAnsiTheme="minorEastAsia" w:eastAsiaTheme="minorEastAsia" w:cstheme="minorEastAsia"/>
                <w:sz w:val="24"/>
                <w:szCs w:val="24"/>
              </w:rPr>
            </w:pPr>
          </w:p>
        </w:tc>
        <w:tc>
          <w:tcPr>
            <w:tcW w:w="1180" w:type="dxa"/>
            <w:vAlign w:val="center"/>
          </w:tcPr>
          <w:p>
            <w:pPr>
              <w:pStyle w:val="132"/>
              <w:spacing w:line="560" w:lineRule="exact"/>
              <w:ind w:firstLine="120" w:firstLineChars="5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5706份</w:t>
            </w:r>
          </w:p>
        </w:tc>
        <w:tc>
          <w:tcPr>
            <w:tcW w:w="1134" w:type="dxa"/>
            <w:vAlign w:val="center"/>
          </w:tcPr>
          <w:p>
            <w:pPr>
              <w:pStyle w:val="132"/>
              <w:spacing w:line="560" w:lineRule="exact"/>
              <w:jc w:val="center"/>
              <w:rPr>
                <w:rFonts w:asciiTheme="minorEastAsia" w:hAnsiTheme="minorEastAsia" w:eastAsiaTheme="minorEastAsia" w:cstheme="minorEastAsia"/>
                <w:sz w:val="24"/>
                <w:szCs w:val="24"/>
              </w:rPr>
            </w:pPr>
          </w:p>
        </w:tc>
        <w:tc>
          <w:tcPr>
            <w:tcW w:w="1476" w:type="dxa"/>
            <w:vAlign w:val="center"/>
          </w:tcPr>
          <w:p>
            <w:pPr>
              <w:pStyle w:val="132"/>
              <w:spacing w:line="560" w:lineRule="exact"/>
              <w:ind w:firstLine="120" w:firstLineChars="50"/>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871" w:type="dxa"/>
            <w:vAlign w:val="center"/>
          </w:tcPr>
          <w:p>
            <w:pPr>
              <w:pStyle w:val="132"/>
              <w:spacing w:line="5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9319" w:type="dxa"/>
            <w:gridSpan w:val="6"/>
          </w:tcPr>
          <w:p>
            <w:pPr>
              <w:pStyle w:val="132"/>
              <w:spacing w:line="560" w:lineRule="exact"/>
              <w:jc w:val="right"/>
              <w:rPr>
                <w:rFonts w:asciiTheme="minorEastAsia" w:hAnsiTheme="minorEastAsia" w:eastAsiaTheme="minorEastAsia" w:cstheme="minorEastAsia"/>
                <w:sz w:val="24"/>
                <w:szCs w:val="24"/>
              </w:rPr>
            </w:pPr>
          </w:p>
        </w:tc>
      </w:tr>
    </w:tbl>
    <w:p>
      <w:pPr>
        <w:adjustRightInd w:val="0"/>
        <w:snapToGrid w:val="0"/>
        <w:spacing w:line="560" w:lineRule="exact"/>
        <w:ind w:firstLine="602"/>
        <w:rPr>
          <w:rFonts w:asciiTheme="minorEastAsia" w:hAnsiTheme="minorEastAsia" w:cstheme="minorEastAsia"/>
          <w:b/>
        </w:rPr>
      </w:pPr>
      <w:r>
        <w:rPr>
          <w:rFonts w:hint="eastAsia" w:asciiTheme="minorEastAsia" w:hAnsiTheme="minorEastAsia" w:cstheme="minorEastAsia"/>
          <w:b/>
        </w:rPr>
        <w:t>备注：</w:t>
      </w:r>
    </w:p>
    <w:p>
      <w:pPr>
        <w:adjustRightInd w:val="0"/>
        <w:snapToGrid w:val="0"/>
        <w:spacing w:line="560" w:lineRule="exact"/>
        <w:ind w:firstLine="602"/>
        <w:rPr>
          <w:rFonts w:asciiTheme="minorEastAsia" w:hAnsiTheme="minorEastAsia" w:cstheme="minorEastAsia"/>
        </w:rPr>
      </w:pPr>
      <w:r>
        <w:rPr>
          <w:rFonts w:hint="eastAsia" w:asciiTheme="minorEastAsia" w:hAnsiTheme="minorEastAsia" w:cstheme="minorEastAsia"/>
          <w:b/>
        </w:rPr>
        <w:t>1、</w:t>
      </w:r>
      <w:r>
        <w:rPr>
          <w:rFonts w:hint="eastAsia" w:asciiTheme="minorEastAsia" w:hAnsiTheme="minorEastAsia" w:cstheme="minorEastAsia"/>
        </w:rPr>
        <w:t>本合同金额为固定单价合同。本合同价为杭州萧山国际机场内交货价，含货物价格、运输费、包装费、保险费、税费等所有费用。甲方不再承担其他任何费用。同时乙方承诺，不因甲方采购数量的增加或者减少而变动固定单价。</w:t>
      </w:r>
    </w:p>
    <w:p>
      <w:pPr>
        <w:adjustRightInd w:val="0"/>
        <w:snapToGrid w:val="0"/>
        <w:spacing w:line="560" w:lineRule="exact"/>
        <w:ind w:firstLine="602"/>
        <w:rPr>
          <w:rFonts w:asciiTheme="minorEastAsia" w:hAnsiTheme="minorEastAsia" w:cstheme="minorEastAsia"/>
        </w:rPr>
      </w:pPr>
      <w:r>
        <w:rPr>
          <w:rFonts w:hint="eastAsia" w:asciiTheme="minorEastAsia" w:hAnsiTheme="minorEastAsia" w:cstheme="minorEastAsia"/>
        </w:rPr>
        <w:t>2、本合同采购的货物数量属于预估数量，甲方有权根据实际情况单方面予以调整采购的数量，具体以甲方向乙方发出的采购通知单为准，乙方承诺无条件按照甲方要求执行，双方最终结算价格按照甲方实际采购数量结算。</w:t>
      </w:r>
    </w:p>
    <w:p>
      <w:pPr>
        <w:adjustRightInd w:val="0"/>
        <w:snapToGrid w:val="0"/>
        <w:spacing w:line="560" w:lineRule="exact"/>
        <w:ind w:firstLine="602"/>
        <w:rPr>
          <w:rFonts w:asciiTheme="minorEastAsia" w:hAnsiTheme="minorEastAsia" w:cstheme="minorEastAsia"/>
          <w:b/>
        </w:rPr>
      </w:pPr>
      <w:r>
        <w:rPr>
          <w:rFonts w:hint="eastAsia" w:asciiTheme="minorEastAsia" w:hAnsiTheme="minorEastAsia" w:cstheme="minorEastAsia"/>
          <w:b/>
        </w:rPr>
        <w:t>三、技术资料</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1.乙方应在交付合同货物时同时向甲方提供使用货物的有关技术资料。</w:t>
      </w:r>
    </w:p>
    <w:p>
      <w:pPr>
        <w:adjustRightInd w:val="0"/>
        <w:snapToGrid w:val="0"/>
        <w:spacing w:line="560" w:lineRule="exact"/>
        <w:ind w:firstLine="482" w:firstLineChars="200"/>
        <w:rPr>
          <w:rFonts w:asciiTheme="minorEastAsia" w:hAnsiTheme="minorEastAsia" w:cstheme="minorEastAsia"/>
        </w:rPr>
      </w:pPr>
      <w:r>
        <w:rPr>
          <w:rFonts w:hint="eastAsia" w:asciiTheme="minorEastAsia" w:hAnsiTheme="minorEastAsia" w:cstheme="minorEastAsia"/>
          <w:b/>
        </w:rPr>
        <w:t>2.</w:t>
      </w:r>
      <w:r>
        <w:rPr>
          <w:rFonts w:hint="eastAsia" w:asciiTheme="minorEastAsia" w:hAnsiTheme="minorEastAsia" w:cstheme="minorEastAsia"/>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Theme="minorEastAsia" w:hAnsiTheme="minorEastAsia" w:cstheme="minorEastAsia"/>
          <w:b/>
        </w:rPr>
      </w:pPr>
      <w:r>
        <w:rPr>
          <w:rFonts w:hint="eastAsia" w:asciiTheme="minorEastAsia" w:hAnsiTheme="minorEastAsia" w:cstheme="minorEastAsia"/>
          <w:b/>
        </w:rPr>
        <w:t>四、知识产权</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Theme="minorEastAsia" w:hAnsiTheme="minorEastAsia" w:cstheme="minorEastAsia"/>
          <w:b/>
        </w:rPr>
      </w:pPr>
      <w:r>
        <w:rPr>
          <w:rFonts w:hint="eastAsia" w:asciiTheme="minorEastAsia" w:hAnsiTheme="minorEastAsia" w:cstheme="minorEastAsia"/>
          <w:b/>
        </w:rPr>
        <w:t>五、产权担保</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Theme="minorEastAsia" w:hAnsiTheme="minorEastAsia" w:cstheme="minorEastAsia"/>
          <w:b/>
        </w:rPr>
      </w:pPr>
      <w:r>
        <w:rPr>
          <w:rFonts w:hint="eastAsia" w:asciiTheme="minorEastAsia" w:hAnsiTheme="minorEastAsia" w:cstheme="minorEastAsia"/>
          <w:b/>
        </w:rPr>
        <w:t>六、转包或分包</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1.本合同项下甲方采购的货物，必须由乙方直接供应；除非得到甲方的书面同意，乙方不得将本合同项下的货物全部或部分分包给第三方供应，不得将本合同项下权利义务转让给第三方。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2.如有未经甲方书面同意的转让和分包行为，甲方有权解除合同，并有权要求乙方承担合同暂定总额【5%】的违约金。</w:t>
      </w:r>
    </w:p>
    <w:p>
      <w:pPr>
        <w:adjustRightInd w:val="0"/>
        <w:snapToGrid w:val="0"/>
        <w:spacing w:line="560" w:lineRule="exact"/>
        <w:ind w:firstLine="602"/>
        <w:outlineLvl w:val="0"/>
        <w:rPr>
          <w:rFonts w:asciiTheme="minorEastAsia" w:hAnsiTheme="minorEastAsia" w:cstheme="minorEastAsia"/>
          <w:b/>
        </w:rPr>
      </w:pPr>
      <w:r>
        <w:rPr>
          <w:rFonts w:hint="eastAsia" w:asciiTheme="minorEastAsia" w:hAnsiTheme="minorEastAsia" w:cstheme="minorEastAsia"/>
          <w:b/>
        </w:rPr>
        <w:t>七、货物包装、发货及运输</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1. 乙方应在货物发运前对其按满足运输距离、防潮、防震、防锈和防破损装卸等要求进行包装，以保证货物安全运达甲方指定地点。</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3. 乙方在货物发运手续办理完毕后【8】小时内必须书面通知甲方，以便甲方准备接货。</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4. 货物在本合同规定的交货地点交付甲方前发生的一切风险包括货物运输风险均由乙方负责。</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602"/>
        <w:outlineLvl w:val="0"/>
        <w:rPr>
          <w:rFonts w:asciiTheme="minorEastAsia" w:hAnsiTheme="minorEastAsia" w:cstheme="minorEastAsia"/>
          <w:b/>
        </w:rPr>
      </w:pPr>
      <w:r>
        <w:rPr>
          <w:rFonts w:hint="eastAsia" w:asciiTheme="minorEastAsia" w:hAnsiTheme="minorEastAsia" w:cstheme="minorEastAsia"/>
          <w:b/>
        </w:rPr>
        <w:t>八、交货期、交货方式及交货地点</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1. 交货期与交货方式：乙方每次在接到甲方根据本合同发出的采购通知单之日起【</w:t>
      </w:r>
      <w:r>
        <w:rPr>
          <w:rFonts w:hint="eastAsia" w:asciiTheme="minorEastAsia" w:hAnsiTheme="minorEastAsia" w:cstheme="minorEastAsia"/>
          <w:color w:val="FF0000"/>
        </w:rPr>
        <w:t>45</w:t>
      </w:r>
      <w:r>
        <w:rPr>
          <w:rFonts w:hint="eastAsia" w:asciiTheme="minorEastAsia" w:hAnsiTheme="minorEastAsia" w:cstheme="minorEastAsia"/>
        </w:rPr>
        <w:t>】日内将货物送到甲方指定地点。</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2. 交货地点：杭州萧山国际机场内</w:t>
      </w:r>
    </w:p>
    <w:p>
      <w:pPr>
        <w:adjustRightInd w:val="0"/>
        <w:snapToGrid w:val="0"/>
        <w:spacing w:line="560" w:lineRule="exact"/>
        <w:ind w:firstLine="602"/>
        <w:outlineLvl w:val="0"/>
        <w:rPr>
          <w:rFonts w:asciiTheme="minorEastAsia" w:hAnsiTheme="minorEastAsia" w:cstheme="minorEastAsia"/>
          <w:b/>
        </w:rPr>
      </w:pPr>
      <w:r>
        <w:rPr>
          <w:rFonts w:hint="eastAsia" w:asciiTheme="minorEastAsia" w:hAnsiTheme="minorEastAsia" w:cstheme="minorEastAsia"/>
          <w:b/>
        </w:rPr>
        <w:t>九、验收</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1.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2.乙方交货前应对货物作出全面检查和对验收文件进行整理，并列出清单，作为甲方收货验收和使用的技术条件依据，乙方质量检验证书应随货物交甲方。</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3.甲方签收货物后如发现货物的品种、型号、规格、数量或质量不符合合同约定或相关质量要求，甲方应在签收之日起【3】日内以书面或电话形式向乙方提出异议；乙方应当在收到甲方异议之日起【3】日内作出答复或与甲方协商处理，或在【3】日内直接按甲方要求进行无偿换货、补发短缺部分或降低货价，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3】日内签署验收合格确认书。验收合格确认书并不免除乙方在本合同项下应当承担的质量保证责任以及售后服务的义务。</w:t>
      </w:r>
    </w:p>
    <w:p>
      <w:pPr>
        <w:adjustRightInd w:val="0"/>
        <w:snapToGrid w:val="0"/>
        <w:spacing w:line="560" w:lineRule="exact"/>
        <w:ind w:firstLine="602"/>
        <w:outlineLvl w:val="0"/>
        <w:rPr>
          <w:rFonts w:asciiTheme="minorEastAsia" w:hAnsiTheme="minorEastAsia" w:cstheme="minorEastAsia"/>
          <w:b/>
        </w:rPr>
      </w:pPr>
      <w:r>
        <w:rPr>
          <w:rFonts w:hint="eastAsia" w:asciiTheme="minorEastAsia" w:hAnsiTheme="minorEastAsia" w:cstheme="minorEastAsia"/>
          <w:b/>
        </w:rPr>
        <w:t>十、货款支付</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1.双方根据每次由甲方签署的货物验收合格确认书支付该批次的货物价款。</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2.乙方于甲方签署货物验收合格确认书后【3】日内向甲方开具正式增值税专用发票。甲方于收到发票后【30】日内付款。</w:t>
      </w:r>
    </w:p>
    <w:p>
      <w:pPr>
        <w:adjustRightInd w:val="0"/>
        <w:snapToGrid w:val="0"/>
        <w:spacing w:line="560" w:lineRule="exact"/>
        <w:ind w:firstLine="482" w:firstLineChars="200"/>
        <w:rPr>
          <w:rFonts w:asciiTheme="minorEastAsia" w:hAnsiTheme="minorEastAsia" w:cstheme="minorEastAsia"/>
          <w:b/>
          <w:color w:val="444444"/>
          <w:lang w:val="zh-CN"/>
        </w:rPr>
      </w:pPr>
      <w:r>
        <w:rPr>
          <w:rFonts w:hint="eastAsia" w:asciiTheme="minorEastAsia" w:hAnsiTheme="minorEastAsia" w:cstheme="minorEastAsia"/>
          <w:b/>
          <w:color w:val="444444"/>
        </w:rPr>
        <w:t>十一、</w:t>
      </w:r>
      <w:r>
        <w:rPr>
          <w:rFonts w:hint="eastAsia" w:asciiTheme="minorEastAsia" w:hAnsiTheme="minorEastAsia" w:cstheme="minorEastAsia"/>
          <w:b/>
          <w:color w:val="444444"/>
          <w:lang w:val="zh-CN"/>
        </w:rPr>
        <w:t>履约保证金</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1．乙方应在收到甲方中标通知书后【5】日内，向甲方支付合同总价的【</w:t>
      </w:r>
      <w:r>
        <w:rPr>
          <w:rFonts w:hint="eastAsia" w:asciiTheme="minorEastAsia" w:hAnsiTheme="minorEastAsia" w:cstheme="minorEastAsia"/>
          <w:lang w:val="en-US" w:eastAsia="zh-CN"/>
        </w:rPr>
        <w:t>10</w:t>
      </w:r>
      <w:r>
        <w:rPr>
          <w:rFonts w:hint="eastAsia" w:asciiTheme="minorEastAsia" w:hAnsiTheme="minorEastAsia" w:cstheme="minorEastAsia"/>
        </w:rPr>
        <w:t>%】作为履约保证金。如果逾期未缴纳，甲方有权解除本合同，并要求乙方承担由此给甲方造成的损失。</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2．在合同履行期间，如果乙方存在违约情形，甲方有权优先从履约保证金中扣除相应款项，并书面通知乙方。乙方自收到书面通知之日起【5】日内补足履约保证金。如果乙方不及时补足履约保证金，视为乙方违约，甲方有权解除合同，并要求乙方承担相应的违约责任。待免费质保期满后经甲方确认，乙方不存在任何违约情形并收到甲方书面认可后【7】日内，甲方无息返还履约保证金。</w:t>
      </w:r>
    </w:p>
    <w:p>
      <w:pPr>
        <w:adjustRightInd w:val="0"/>
        <w:snapToGrid w:val="0"/>
        <w:spacing w:line="560" w:lineRule="exact"/>
        <w:ind w:firstLine="602"/>
        <w:outlineLvl w:val="0"/>
        <w:rPr>
          <w:rFonts w:asciiTheme="minorEastAsia" w:hAnsiTheme="minorEastAsia" w:cstheme="minorEastAsia"/>
          <w:b/>
        </w:rPr>
      </w:pPr>
      <w:r>
        <w:rPr>
          <w:rFonts w:hint="eastAsia" w:asciiTheme="minorEastAsia" w:hAnsiTheme="minorEastAsia" w:cstheme="minorEastAsia"/>
          <w:b/>
        </w:rPr>
        <w:t>十二、税费</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本合同执行中相关的一切税费均由乙方负担。</w:t>
      </w:r>
    </w:p>
    <w:p>
      <w:pPr>
        <w:adjustRightInd w:val="0"/>
        <w:snapToGrid w:val="0"/>
        <w:spacing w:line="560" w:lineRule="exact"/>
        <w:ind w:firstLine="602"/>
        <w:outlineLvl w:val="0"/>
        <w:rPr>
          <w:rFonts w:asciiTheme="minorEastAsia" w:hAnsiTheme="minorEastAsia" w:cstheme="minorEastAsia"/>
          <w:b/>
        </w:rPr>
      </w:pPr>
      <w:r>
        <w:rPr>
          <w:rFonts w:hint="eastAsia" w:asciiTheme="minorEastAsia" w:hAnsiTheme="minorEastAsia" w:cstheme="minorEastAsia"/>
          <w:b/>
        </w:rPr>
        <w:t>十三、免费质保期及服务内容</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1. 乙方保证其所供应的货物符合相关货物质量标准，不存在任何质量瑕疵或因质量瑕疵而导致的安全隐患，且为未经使用的全新货物，出厂日期为2019年1月1日以后。</w:t>
      </w:r>
    </w:p>
    <w:p>
      <w:pPr>
        <w:adjustRightInd w:val="0"/>
        <w:snapToGrid w:val="0"/>
        <w:spacing w:line="560" w:lineRule="exact"/>
        <w:ind w:firstLine="480" w:firstLineChars="200"/>
        <w:rPr>
          <w:rFonts w:hint="eastAsia" w:asciiTheme="minorEastAsia" w:hAnsiTheme="minorEastAsia" w:cstheme="minorEastAsia"/>
        </w:rPr>
      </w:pPr>
      <w:r>
        <w:rPr>
          <w:rFonts w:hint="eastAsia" w:asciiTheme="minorEastAsia" w:hAnsiTheme="minorEastAsia" w:cstheme="minorEastAsia"/>
        </w:rPr>
        <w:t>2. 乙方应为</w:t>
      </w:r>
      <w:r>
        <w:rPr>
          <w:rFonts w:hint="eastAsia" w:asciiTheme="minorEastAsia" w:hAnsiTheme="minorEastAsia" w:cstheme="minorEastAsia"/>
          <w:highlight w:val="none"/>
        </w:rPr>
        <w:t>货物提供</w:t>
      </w:r>
      <w:r>
        <w:rPr>
          <w:rFonts w:hint="eastAsia" w:asciiTheme="minorEastAsia" w:hAnsiTheme="minorEastAsia" w:cstheme="minorEastAsia"/>
          <w:highlight w:val="none"/>
          <w:lang w:val="en-US" w:eastAsia="zh-CN"/>
        </w:rPr>
        <w:t>6</w:t>
      </w:r>
      <w:r>
        <w:rPr>
          <w:rFonts w:hint="eastAsia" w:asciiTheme="minorEastAsia" w:hAnsiTheme="minorEastAsia" w:cstheme="minorEastAsia"/>
          <w:highlight w:val="none"/>
        </w:rPr>
        <w:t>个月</w:t>
      </w:r>
      <w:r>
        <w:rPr>
          <w:rFonts w:hint="eastAsia" w:asciiTheme="minorEastAsia" w:hAnsiTheme="minorEastAsia" w:cstheme="minorEastAsia"/>
          <w:highlight w:val="none"/>
          <w:lang w:eastAsia="zh-CN"/>
        </w:rPr>
        <w:t>及以上</w:t>
      </w:r>
      <w:r>
        <w:rPr>
          <w:rFonts w:hint="eastAsia" w:asciiTheme="minorEastAsia" w:hAnsiTheme="minorEastAsia" w:cstheme="minorEastAsia"/>
          <w:highlight w:val="none"/>
        </w:rPr>
        <w:t>的免费</w:t>
      </w:r>
      <w:r>
        <w:rPr>
          <w:rFonts w:hint="eastAsia" w:asciiTheme="minorEastAsia" w:hAnsiTheme="minorEastAsia" w:cstheme="minorEastAsia"/>
        </w:rPr>
        <w:t>质保期(含工时费和零部件费)，时间自甲方签署货物验收合格确认书之日起计算。</w:t>
      </w:r>
    </w:p>
    <w:p>
      <w:pPr>
        <w:adjustRightInd w:val="0"/>
        <w:snapToGrid w:val="0"/>
        <w:spacing w:line="560" w:lineRule="exact"/>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 xml:space="preserve">3. </w:t>
      </w:r>
      <w:r>
        <w:rPr>
          <w:rFonts w:hint="eastAsia" w:asciiTheme="minorEastAsia" w:hAnsiTheme="minorEastAsia" w:cstheme="minorEastAsia"/>
        </w:rPr>
        <w:t>乙方应为</w:t>
      </w:r>
      <w:r>
        <w:rPr>
          <w:rFonts w:hint="eastAsia" w:asciiTheme="minorEastAsia" w:hAnsiTheme="minorEastAsia" w:cstheme="minorEastAsia"/>
          <w:highlight w:val="none"/>
        </w:rPr>
        <w:t>货物提供</w:t>
      </w:r>
      <w:r>
        <w:rPr>
          <w:rFonts w:hint="eastAsia" w:asciiTheme="minorEastAsia" w:hAnsiTheme="minorEastAsia" w:cstheme="minorEastAsia"/>
          <w:lang w:val="en-US" w:eastAsia="zh-CN"/>
        </w:rPr>
        <w:t>24个月及以上的产品保质期。</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lang w:val="en-US" w:eastAsia="zh-CN"/>
        </w:rPr>
        <w:t>4</w:t>
      </w:r>
      <w:r>
        <w:rPr>
          <w:rFonts w:hint="eastAsia" w:asciiTheme="minorEastAsia" w:hAnsiTheme="minorEastAsia" w:cstheme="minorEastAsia"/>
        </w:rPr>
        <w:t>．乙方提供【 】小时售后服务，在接到通知后，乙方人员应在【  】小时内赶到杭州萧山国际机场，进行处理。</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lang w:val="en-US" w:eastAsia="zh-CN"/>
        </w:rPr>
        <w:t xml:space="preserve">5. </w:t>
      </w:r>
      <w:r>
        <w:rPr>
          <w:rFonts w:hint="eastAsia" w:asciiTheme="minorEastAsia" w:hAnsiTheme="minorEastAsia" w:cstheme="minorEastAsia"/>
        </w:rPr>
        <w:t>若乙方提供的货物属于伪劣货物或者假冒货物或者欺诈甲方，使得甲方遭受损失，乙方应向甲方承担违约责任，同时，甲方可依法寻求其他法律救济。</w:t>
      </w:r>
    </w:p>
    <w:p>
      <w:pPr>
        <w:adjustRightInd w:val="0"/>
        <w:snapToGrid w:val="0"/>
        <w:spacing w:line="560" w:lineRule="exact"/>
        <w:ind w:firstLine="602"/>
        <w:outlineLvl w:val="0"/>
        <w:rPr>
          <w:rFonts w:asciiTheme="minorEastAsia" w:hAnsiTheme="minorEastAsia" w:cstheme="minorEastAsia"/>
          <w:b/>
        </w:rPr>
      </w:pPr>
      <w:r>
        <w:rPr>
          <w:rFonts w:hint="eastAsia" w:asciiTheme="minorEastAsia" w:hAnsiTheme="minorEastAsia" w:cstheme="minorEastAsia"/>
          <w:b/>
        </w:rPr>
        <w:t>十四、违约责任</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1. 甲方无故逾期支付货款的,甲方应按逾期付款总额每日【0.1】%向乙方支付违约金。</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 xml:space="preserve">2. 乙方逾期交付货物和本合同规定的文件资料的，乙方应按合同暂定总额每日【0.1】%向甲方支付违约金，由甲方从货款中扣除。逾期超过约定日期【5 】个工作日的，甲方可解除本合同。乙方因逾期交货或因其他违约行为导致甲方解除合同的，乙方应向甲方支付合同暂定总额【5】%的违约金，且全额没收乙方的履约保证金，如造成甲方损失超过违约金的，超出部分由乙方继续承担赔偿责任。 </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4．因乙方提供货物质量问题中因乙方原因导致甲方或第三方人身、财产损害的，乙方须依法承担全部赔偿责任；如因该等损害导致甲方向第三方承担赔偿责任的，乙方须在甲方赔偿范围内全额向甲方作出赔偿。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5. 乙方不在约定期限内派人处理货物，则视为质量验收不合格的，甲方可以直接从履约保证金中扣除甲方重新采购的货物；履约保证金不足以抵扣的，继续向乙方追偿。</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7．对于本合同项下乙方应支付的赔偿款或违约金，甲方有权从应付乙方的货款及履约保证金中直接扣除，仍不足的部分，继续向乙方追偿。</w:t>
      </w:r>
    </w:p>
    <w:p>
      <w:pPr>
        <w:adjustRightInd w:val="0"/>
        <w:snapToGrid w:val="0"/>
        <w:spacing w:line="560" w:lineRule="exact"/>
        <w:ind w:firstLine="602"/>
        <w:outlineLvl w:val="0"/>
        <w:rPr>
          <w:rFonts w:asciiTheme="minorEastAsia" w:hAnsiTheme="minorEastAsia" w:cstheme="minorEastAsia"/>
          <w:b/>
        </w:rPr>
      </w:pPr>
      <w:r>
        <w:rPr>
          <w:rFonts w:hint="eastAsia" w:asciiTheme="minorEastAsia" w:hAnsiTheme="minorEastAsia" w:cstheme="minorEastAsia"/>
          <w:b/>
        </w:rPr>
        <w:t>十五、不可抗力事件处理</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1. 在合同有效期内，任何一方因不可抗力事件导致不能履行合同，则合同履行期可延长，其延长期与不可抗力影响期相同。</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2. 不可抗力事件发生后，遭遇不可抗力的一方应立即通知对方，并寄送有关官方权威机构出具的证明。</w:t>
      </w:r>
    </w:p>
    <w:p>
      <w:pPr>
        <w:spacing w:line="560" w:lineRule="exact"/>
        <w:ind w:firstLine="456" w:firstLineChars="190"/>
        <w:rPr>
          <w:rFonts w:asciiTheme="minorEastAsia" w:hAnsiTheme="minorEastAsia" w:cstheme="minorEastAsia"/>
        </w:rPr>
      </w:pPr>
      <w:r>
        <w:rPr>
          <w:rFonts w:hint="eastAsia" w:asciiTheme="minorEastAsia" w:hAnsiTheme="minorEastAsia" w:cstheme="minorEastAsia"/>
        </w:rPr>
        <w:t>3. 不可抗力事件延续【7】天以上，双方应通过友好协商，确定是否继续履行合同；协商无法达成一致的，本合同自动终止，双方互不承担赔偿或违约责任。</w:t>
      </w:r>
    </w:p>
    <w:p>
      <w:pPr>
        <w:adjustRightInd w:val="0"/>
        <w:snapToGrid w:val="0"/>
        <w:spacing w:line="560" w:lineRule="exact"/>
        <w:ind w:firstLine="602"/>
        <w:rPr>
          <w:rFonts w:asciiTheme="minorEastAsia" w:hAnsiTheme="minorEastAsia" w:cstheme="minorEastAsia"/>
          <w:b/>
        </w:rPr>
      </w:pPr>
      <w:r>
        <w:rPr>
          <w:rFonts w:hint="eastAsia" w:asciiTheme="minorEastAsia" w:hAnsiTheme="minorEastAsia" w:cstheme="minorEastAsia"/>
          <w:b/>
        </w:rPr>
        <w:t>十六、争议解决</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双方在执行合同中所发生的一切争议，应通过协商解决。如协商不成，由甲方所在地的人民法院管辖审理。</w:t>
      </w:r>
    </w:p>
    <w:p>
      <w:pPr>
        <w:adjustRightInd w:val="0"/>
        <w:snapToGrid w:val="0"/>
        <w:spacing w:line="560" w:lineRule="exact"/>
        <w:ind w:firstLine="482" w:firstLineChars="200"/>
        <w:rPr>
          <w:rFonts w:asciiTheme="minorEastAsia" w:hAnsiTheme="minorEastAsia" w:cstheme="minorEastAsia"/>
          <w:b/>
        </w:rPr>
      </w:pPr>
      <w:r>
        <w:rPr>
          <w:rFonts w:hint="eastAsia" w:asciiTheme="minorEastAsia" w:hAnsiTheme="minorEastAsia" w:cstheme="minorEastAsia"/>
          <w:b/>
        </w:rPr>
        <w:t>十七、合同组成文件包含下列内容，且解释顺序如下：</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1.本合同协议书</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2.中标通知书</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3.招标文件</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4.投标书及其附件</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5.标准、规范及有关技术文件</w:t>
      </w:r>
    </w:p>
    <w:p>
      <w:pPr>
        <w:adjustRightInd w:val="0"/>
        <w:snapToGrid w:val="0"/>
        <w:spacing w:line="560" w:lineRule="exact"/>
        <w:ind w:firstLine="602"/>
        <w:outlineLvl w:val="0"/>
        <w:rPr>
          <w:rFonts w:asciiTheme="minorEastAsia" w:hAnsiTheme="minorEastAsia" w:cstheme="minorEastAsia"/>
          <w:b/>
        </w:rPr>
      </w:pPr>
      <w:r>
        <w:rPr>
          <w:rFonts w:hint="eastAsia" w:asciiTheme="minorEastAsia" w:hAnsiTheme="minorEastAsia" w:cstheme="minorEastAsia"/>
          <w:b/>
        </w:rPr>
        <w:t>十八、合同生效及其它</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1. 合同经双方法定代表人或授权代表签字并加盖单位公章或者合同章之日起成立，且乙方缴纳履约保证金之日起生效。</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2.本合同有效期限为【六个月】，自【2019】年【6】月【】日起至【2019】年【12】月【31】日止。</w:t>
      </w:r>
    </w:p>
    <w:p>
      <w:pPr>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2.本合同未尽事宜，双方可签订补充协议予以执行；未达成补充协议的，遵照《合同法》及有关法律法规执行。</w:t>
      </w:r>
    </w:p>
    <w:p>
      <w:pPr>
        <w:tabs>
          <w:tab w:val="right" w:pos="8306"/>
        </w:tabs>
        <w:adjustRightInd w:val="0"/>
        <w:snapToGrid w:val="0"/>
        <w:spacing w:line="560" w:lineRule="exact"/>
        <w:ind w:firstLine="480" w:firstLineChars="200"/>
        <w:rPr>
          <w:rFonts w:asciiTheme="minorEastAsia" w:hAnsiTheme="minorEastAsia" w:cstheme="minorEastAsia"/>
        </w:rPr>
      </w:pPr>
      <w:r>
        <w:rPr>
          <w:rFonts w:hint="eastAsia" w:asciiTheme="minorEastAsia" w:hAnsiTheme="minorEastAsia" w:cstheme="minorEastAsia"/>
        </w:rPr>
        <w:t>3.本合同一式陆份，甲执四份，乙方持二份，具有同等法律效力。</w:t>
      </w:r>
    </w:p>
    <w:p>
      <w:pPr>
        <w:tabs>
          <w:tab w:val="right" w:pos="8306"/>
        </w:tabs>
        <w:adjustRightInd w:val="0"/>
        <w:snapToGrid w:val="0"/>
        <w:spacing w:line="560" w:lineRule="exact"/>
        <w:ind w:firstLine="480" w:firstLineChars="200"/>
        <w:rPr>
          <w:rFonts w:asciiTheme="minorEastAsia" w:hAnsiTheme="minorEastAsia" w:cstheme="minorEastAsia"/>
        </w:rPr>
      </w:pPr>
    </w:p>
    <w:p>
      <w:pPr>
        <w:tabs>
          <w:tab w:val="right" w:pos="8306"/>
        </w:tabs>
        <w:adjustRightInd w:val="0"/>
        <w:snapToGrid w:val="0"/>
        <w:spacing w:line="560" w:lineRule="exact"/>
        <w:ind w:firstLine="480" w:firstLineChars="200"/>
        <w:rPr>
          <w:rFonts w:asciiTheme="minorEastAsia" w:hAnsiTheme="minorEastAsia" w:cstheme="minorEastAsia"/>
        </w:rPr>
      </w:pPr>
    </w:p>
    <w:p>
      <w:pPr>
        <w:tabs>
          <w:tab w:val="right" w:pos="8306"/>
        </w:tabs>
        <w:adjustRightInd w:val="0"/>
        <w:snapToGrid w:val="0"/>
        <w:spacing w:line="560" w:lineRule="exact"/>
        <w:ind w:firstLine="480" w:firstLineChars="200"/>
        <w:rPr>
          <w:rFonts w:asciiTheme="minorEastAsia" w:hAnsiTheme="minorEastAsia" w:cstheme="minorEastAsia"/>
        </w:rPr>
      </w:pPr>
    </w:p>
    <w:p>
      <w:pPr>
        <w:tabs>
          <w:tab w:val="right" w:pos="8306"/>
        </w:tabs>
        <w:adjustRightInd w:val="0"/>
        <w:snapToGrid w:val="0"/>
        <w:spacing w:line="560" w:lineRule="exact"/>
        <w:ind w:firstLine="480" w:firstLineChars="200"/>
        <w:rPr>
          <w:rFonts w:asciiTheme="minorEastAsia" w:hAnsiTheme="minorEastAsia" w:cstheme="minorEastAsia"/>
        </w:rPr>
      </w:pPr>
    </w:p>
    <w:p>
      <w:pPr>
        <w:tabs>
          <w:tab w:val="right" w:pos="8306"/>
        </w:tabs>
        <w:adjustRightInd w:val="0"/>
        <w:snapToGrid w:val="0"/>
        <w:spacing w:line="560" w:lineRule="exact"/>
        <w:rPr>
          <w:rFonts w:asciiTheme="minorEastAsia" w:hAnsiTheme="minorEastAsia" w:cstheme="minorEastAsia"/>
        </w:rPr>
      </w:pPr>
    </w:p>
    <w:p>
      <w:pPr>
        <w:tabs>
          <w:tab w:val="right" w:pos="8306"/>
        </w:tabs>
        <w:adjustRightInd w:val="0"/>
        <w:snapToGrid w:val="0"/>
        <w:spacing w:line="560" w:lineRule="exact"/>
        <w:ind w:firstLine="480" w:firstLineChars="200"/>
        <w:rPr>
          <w:rFonts w:asciiTheme="minorEastAsia" w:hAnsiTheme="minorEastAsia" w:cstheme="minorEastAsia"/>
        </w:rPr>
      </w:pPr>
    </w:p>
    <w:p>
      <w:pPr>
        <w:adjustRightInd w:val="0"/>
        <w:snapToGrid w:val="0"/>
        <w:spacing w:line="560" w:lineRule="exact"/>
        <w:rPr>
          <w:rFonts w:asciiTheme="minorEastAsia" w:hAnsiTheme="minorEastAsia" w:cstheme="minorEastAsia"/>
        </w:rPr>
      </w:pPr>
      <w:r>
        <w:rPr>
          <w:rFonts w:hint="eastAsia" w:asciiTheme="minorEastAsia" w:hAnsiTheme="minorEastAsia" w:cstheme="minorEastAsia"/>
        </w:rPr>
        <w:t>（以下为签署页）</w:t>
      </w:r>
    </w:p>
    <w:p>
      <w:pPr>
        <w:adjustRightInd w:val="0"/>
        <w:snapToGrid w:val="0"/>
        <w:spacing w:line="560" w:lineRule="exact"/>
        <w:rPr>
          <w:rFonts w:asciiTheme="minorEastAsia" w:hAnsiTheme="minorEastAsia" w:cstheme="minorEastAsia"/>
        </w:rPr>
      </w:pPr>
    </w:p>
    <w:p>
      <w:pPr>
        <w:adjustRightInd w:val="0"/>
        <w:snapToGrid w:val="0"/>
        <w:spacing w:line="560" w:lineRule="exact"/>
        <w:rPr>
          <w:rFonts w:asciiTheme="minorEastAsia" w:hAnsiTheme="minorEastAsia" w:cstheme="minorEastAsia"/>
        </w:rPr>
      </w:pPr>
      <w:r>
        <w:rPr>
          <w:rFonts w:hint="eastAsia" w:asciiTheme="minorEastAsia" w:hAnsiTheme="minorEastAsia" w:cstheme="minorEastAsia"/>
        </w:rPr>
        <w:t>甲方：杭州萧山国际机场有限公司  乙方：</w:t>
      </w:r>
    </w:p>
    <w:p>
      <w:pPr>
        <w:adjustRightInd w:val="0"/>
        <w:snapToGrid w:val="0"/>
        <w:spacing w:line="560" w:lineRule="exact"/>
        <w:ind w:left="6750" w:hanging="6750"/>
        <w:rPr>
          <w:rFonts w:asciiTheme="minorEastAsia" w:hAnsiTheme="minorEastAsia" w:cstheme="minorEastAsia"/>
        </w:rPr>
      </w:pPr>
      <w:r>
        <w:rPr>
          <w:rFonts w:hint="eastAsia" w:asciiTheme="minorEastAsia" w:hAnsiTheme="minorEastAsia" w:cstheme="minorEastAsia"/>
        </w:rPr>
        <w:t>地址：杭州萧山国际机场内        地址：</w:t>
      </w:r>
    </w:p>
    <w:p>
      <w:pPr>
        <w:adjustRightInd w:val="0"/>
        <w:snapToGrid w:val="0"/>
        <w:spacing w:line="560" w:lineRule="exact"/>
        <w:ind w:left="6750" w:hanging="6750"/>
        <w:rPr>
          <w:rFonts w:asciiTheme="minorEastAsia" w:hAnsiTheme="minorEastAsia" w:cstheme="minorEastAsia"/>
        </w:rPr>
      </w:pPr>
    </w:p>
    <w:p>
      <w:pPr>
        <w:adjustRightInd w:val="0"/>
        <w:snapToGrid w:val="0"/>
        <w:spacing w:line="560" w:lineRule="exact"/>
        <w:rPr>
          <w:rFonts w:asciiTheme="minorEastAsia" w:hAnsiTheme="minorEastAsia" w:cstheme="minorEastAsia"/>
        </w:rPr>
      </w:pPr>
      <w:r>
        <w:rPr>
          <w:rFonts w:hint="eastAsia" w:asciiTheme="minorEastAsia" w:hAnsiTheme="minorEastAsia" w:cstheme="minorEastAsia"/>
        </w:rPr>
        <w:t>法定代表人：                     法定代表人：</w:t>
      </w:r>
    </w:p>
    <w:p>
      <w:pPr>
        <w:adjustRightInd w:val="0"/>
        <w:snapToGrid w:val="0"/>
        <w:spacing w:line="560" w:lineRule="exact"/>
        <w:rPr>
          <w:rFonts w:asciiTheme="minorEastAsia" w:hAnsiTheme="minorEastAsia" w:cstheme="minorEastAsia"/>
        </w:rPr>
      </w:pPr>
      <w:r>
        <w:rPr>
          <w:rFonts w:hint="eastAsia" w:asciiTheme="minorEastAsia" w:hAnsiTheme="minorEastAsia" w:cstheme="minorEastAsia"/>
        </w:rPr>
        <w:t>或                               或</w:t>
      </w:r>
    </w:p>
    <w:p>
      <w:pPr>
        <w:adjustRightInd w:val="0"/>
        <w:snapToGrid w:val="0"/>
        <w:spacing w:line="560" w:lineRule="exact"/>
        <w:rPr>
          <w:rFonts w:asciiTheme="minorEastAsia" w:hAnsiTheme="minorEastAsia" w:cstheme="minorEastAsia"/>
        </w:rPr>
      </w:pPr>
      <w:r>
        <w:rPr>
          <w:rFonts w:hint="eastAsia" w:asciiTheme="minorEastAsia" w:hAnsiTheme="minorEastAsia" w:cstheme="minorEastAsia"/>
        </w:rPr>
        <w:t>授权代表：                       授权代表：</w:t>
      </w:r>
    </w:p>
    <w:p>
      <w:pPr>
        <w:adjustRightInd w:val="0"/>
        <w:snapToGrid w:val="0"/>
        <w:spacing w:line="560" w:lineRule="exact"/>
        <w:rPr>
          <w:rFonts w:asciiTheme="minorEastAsia" w:hAnsiTheme="minorEastAsia" w:cstheme="minorEastAsia"/>
          <w:b/>
        </w:rPr>
      </w:pPr>
      <w:r>
        <w:rPr>
          <w:rFonts w:hint="eastAsia" w:asciiTheme="minorEastAsia" w:hAnsiTheme="minorEastAsia" w:cstheme="minorEastAsia"/>
        </w:rPr>
        <w:t xml:space="preserve">签字日期：                       签字日期： </w:t>
      </w:r>
    </w:p>
    <w:p>
      <w:pPr>
        <w:adjustRightInd w:val="0"/>
        <w:snapToGrid w:val="0"/>
        <w:spacing w:line="560" w:lineRule="exact"/>
        <w:ind w:firstLine="480" w:firstLineChars="200"/>
        <w:rPr>
          <w:rFonts w:asciiTheme="minorEastAsia" w:hAnsiTheme="minorEastAsia" w:cstheme="minorEastAsia"/>
          <w:b/>
        </w:rPr>
      </w:pPr>
      <w:r>
        <w:rPr>
          <w:rFonts w:hint="eastAsia" w:asciiTheme="minorEastAsia" w:hAnsiTheme="minorEastAsia" w:cstheme="minorEastAsia"/>
        </w:rPr>
        <w:t>年  月  日                      年  月  日</w:t>
      </w:r>
    </w:p>
    <w:p>
      <w:pPr>
        <w:spacing w:line="560" w:lineRule="exact"/>
        <w:ind w:firstLine="480" w:firstLineChars="200"/>
        <w:rPr>
          <w:rFonts w:asciiTheme="minorEastAsia" w:hAnsiTheme="minorEastAsia" w:cstheme="minorEastAsia"/>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r>
        <w:rPr>
          <w:rFonts w:hint="eastAsia" w:ascii="仿宋_GB2312" w:eastAsia="仿宋_GB2312"/>
          <w:sz w:val="28"/>
          <w:szCs w:val="28"/>
        </w:rPr>
        <w:t>附件：</w:t>
      </w:r>
    </w:p>
    <w:p>
      <w:pPr>
        <w:pStyle w:val="123"/>
        <w:spacing w:line="340" w:lineRule="exact"/>
        <w:ind w:firstLine="0" w:firstLineChars="0"/>
        <w:jc w:val="center"/>
        <w:rPr>
          <w:rFonts w:ascii="宋体" w:hAnsi="宋体"/>
          <w:b/>
          <w:bCs/>
          <w:sz w:val="36"/>
          <w:szCs w:val="36"/>
        </w:rPr>
      </w:pPr>
      <w:r>
        <w:rPr>
          <w:rFonts w:hint="eastAsia" w:ascii="宋体" w:hAnsi="宋体"/>
          <w:b/>
          <w:bCs/>
          <w:sz w:val="36"/>
          <w:szCs w:val="36"/>
        </w:rPr>
        <w:t>杭州萧山国际机场有限公司廉洁自律承诺书</w:t>
      </w:r>
    </w:p>
    <w:p>
      <w:pPr>
        <w:pStyle w:val="128"/>
        <w:adjustRightInd w:val="0"/>
        <w:snapToGrid w:val="0"/>
        <w:spacing w:line="340" w:lineRule="exact"/>
        <w:ind w:firstLine="442"/>
        <w:jc w:val="left"/>
        <w:rPr>
          <w:rFonts w:hint="eastAsia" w:ascii="宋体" w:hAnsi="宋体"/>
          <w:b/>
          <w:bCs/>
          <w:sz w:val="22"/>
          <w:szCs w:val="22"/>
        </w:rPr>
      </w:pPr>
      <w:r>
        <w:rPr>
          <w:rFonts w:hint="eastAsia" w:ascii="宋体" w:hAnsi="宋体"/>
          <w:b/>
          <w:bCs/>
          <w:sz w:val="22"/>
          <w:szCs w:val="22"/>
        </w:rPr>
        <w:t xml:space="preserve"> </w:t>
      </w:r>
    </w:p>
    <w:p>
      <w:pPr>
        <w:pStyle w:val="128"/>
        <w:adjustRightInd w:val="0"/>
        <w:snapToGrid w:val="0"/>
        <w:spacing w:line="340" w:lineRule="exact"/>
        <w:ind w:firstLine="0" w:firstLineChars="0"/>
        <w:jc w:val="left"/>
        <w:rPr>
          <w:rFonts w:hint="eastAsia" w:ascii="宋体" w:hAnsi="宋体"/>
          <w:b/>
          <w:bCs/>
          <w:sz w:val="30"/>
          <w:szCs w:val="30"/>
        </w:rPr>
      </w:pPr>
      <w:r>
        <w:rPr>
          <w:rFonts w:hint="eastAsia" w:ascii="宋体" w:hAnsi="宋体"/>
          <w:b/>
          <w:bCs/>
          <w:sz w:val="30"/>
          <w:szCs w:val="30"/>
        </w:rPr>
        <w:t>杭州萧山国际机场有限公司：</w:t>
      </w:r>
    </w:p>
    <w:p>
      <w:pPr>
        <w:pStyle w:val="128"/>
        <w:adjustRightInd w:val="0"/>
        <w:snapToGrid w:val="0"/>
        <w:spacing w:line="340" w:lineRule="exact"/>
        <w:ind w:firstLine="600"/>
        <w:jc w:val="left"/>
        <w:rPr>
          <w:rFonts w:hint="eastAsia" w:ascii="宋体" w:hAnsi="宋体"/>
          <w:sz w:val="30"/>
          <w:szCs w:val="30"/>
        </w:rPr>
      </w:pPr>
      <w:r>
        <w:rPr>
          <w:rFonts w:hint="eastAsia" w:ascii="宋体" w:hAnsi="宋体"/>
          <w:sz w:val="30"/>
          <w:szCs w:val="30"/>
        </w:rPr>
        <w:t>我单位响应贵公司项目招标要求，参加项目投标。在投标过程中及中标后，我们将严格遵守国家法律法规和贵司招标文件要求，并郑重作出如下承诺和保证：</w:t>
      </w:r>
    </w:p>
    <w:p>
      <w:pPr>
        <w:pStyle w:val="128"/>
        <w:adjustRightInd w:val="0"/>
        <w:snapToGrid w:val="0"/>
        <w:spacing w:line="340" w:lineRule="exact"/>
        <w:ind w:firstLine="600"/>
        <w:jc w:val="left"/>
        <w:rPr>
          <w:rFonts w:hint="eastAsia" w:ascii="宋体" w:hAnsi="宋体"/>
          <w:sz w:val="30"/>
          <w:szCs w:val="30"/>
        </w:rPr>
      </w:pPr>
      <w:r>
        <w:rPr>
          <w:rFonts w:hint="eastAsia" w:ascii="宋体" w:hAnsi="宋体"/>
          <w:sz w:val="30"/>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128"/>
        <w:adjustRightInd w:val="0"/>
        <w:snapToGrid w:val="0"/>
        <w:spacing w:line="340" w:lineRule="exact"/>
        <w:ind w:firstLine="600"/>
        <w:jc w:val="left"/>
        <w:rPr>
          <w:rFonts w:hint="eastAsia" w:ascii="宋体" w:hAnsi="宋体"/>
          <w:sz w:val="30"/>
          <w:szCs w:val="30"/>
        </w:rPr>
      </w:pPr>
      <w:r>
        <w:rPr>
          <w:rFonts w:hint="eastAsia" w:ascii="宋体" w:hAnsi="宋体"/>
          <w:sz w:val="30"/>
          <w:szCs w:val="30"/>
        </w:rPr>
        <w:t>二、不以任何名义为贵公司有关人员或项目第三方人员报销应由贵公司或个人支付的费用；</w:t>
      </w:r>
    </w:p>
    <w:p>
      <w:pPr>
        <w:pStyle w:val="128"/>
        <w:adjustRightInd w:val="0"/>
        <w:snapToGrid w:val="0"/>
        <w:spacing w:line="340" w:lineRule="exact"/>
        <w:ind w:firstLine="600"/>
        <w:jc w:val="left"/>
        <w:rPr>
          <w:rFonts w:hint="eastAsia" w:ascii="宋体" w:hAnsi="宋体"/>
          <w:sz w:val="30"/>
          <w:szCs w:val="30"/>
        </w:rPr>
      </w:pPr>
      <w:r>
        <w:rPr>
          <w:rFonts w:hint="eastAsia" w:ascii="宋体" w:hAnsi="宋体"/>
          <w:sz w:val="30"/>
          <w:szCs w:val="30"/>
        </w:rPr>
        <w:t>三、不向贵公司有关人员或项目第三方人员提供宴请、旅游、和健身娱乐等活动；</w:t>
      </w:r>
    </w:p>
    <w:p>
      <w:pPr>
        <w:pStyle w:val="128"/>
        <w:adjustRightInd w:val="0"/>
        <w:snapToGrid w:val="0"/>
        <w:spacing w:line="340" w:lineRule="exact"/>
        <w:ind w:firstLine="600"/>
        <w:jc w:val="left"/>
        <w:rPr>
          <w:rFonts w:hint="eastAsia" w:ascii="宋体" w:hAnsi="宋体"/>
          <w:sz w:val="30"/>
          <w:szCs w:val="30"/>
        </w:rPr>
      </w:pPr>
      <w:r>
        <w:rPr>
          <w:rFonts w:hint="eastAsia" w:ascii="宋体" w:hAnsi="宋体"/>
          <w:sz w:val="30"/>
          <w:szCs w:val="30"/>
        </w:rPr>
        <w:t>四、不为贵公司有关人员或项目第三方人员出国（境）、旅游等提供方便；</w:t>
      </w:r>
    </w:p>
    <w:p>
      <w:pPr>
        <w:pStyle w:val="128"/>
        <w:adjustRightInd w:val="0"/>
        <w:snapToGrid w:val="0"/>
        <w:spacing w:line="340" w:lineRule="exact"/>
        <w:ind w:firstLine="600"/>
        <w:jc w:val="left"/>
        <w:rPr>
          <w:rFonts w:hint="eastAsia" w:ascii="宋体" w:hAnsi="宋体"/>
          <w:sz w:val="30"/>
          <w:szCs w:val="30"/>
        </w:rPr>
      </w:pPr>
      <w:r>
        <w:rPr>
          <w:rFonts w:hint="eastAsia" w:ascii="宋体" w:hAnsi="宋体"/>
          <w:sz w:val="30"/>
          <w:szCs w:val="30"/>
        </w:rPr>
        <w:t>五、不为贵公司有关人员或项目第三方人员个人装修住房、婚丧嫁娶、配偶子女工作安排等提供好处或便利条件；</w:t>
      </w:r>
    </w:p>
    <w:p>
      <w:pPr>
        <w:pStyle w:val="128"/>
        <w:adjustRightInd w:val="0"/>
        <w:snapToGrid w:val="0"/>
        <w:spacing w:line="340" w:lineRule="exact"/>
        <w:ind w:firstLine="600"/>
        <w:jc w:val="left"/>
        <w:rPr>
          <w:rFonts w:hint="eastAsia" w:ascii="宋体" w:hAnsi="宋体"/>
          <w:sz w:val="30"/>
          <w:szCs w:val="30"/>
        </w:rPr>
      </w:pPr>
      <w:r>
        <w:rPr>
          <w:rFonts w:hint="eastAsia" w:ascii="宋体" w:hAnsi="宋体"/>
          <w:sz w:val="30"/>
          <w:szCs w:val="30"/>
        </w:rPr>
        <w:t>六、严格遵守国家招标投标法、合同法等法律规定，诚实守信，合法经营，坚决杜绝各种违法违纪行为。</w:t>
      </w:r>
    </w:p>
    <w:p>
      <w:pPr>
        <w:pStyle w:val="128"/>
        <w:adjustRightInd w:val="0"/>
        <w:snapToGrid w:val="0"/>
        <w:spacing w:line="340" w:lineRule="exact"/>
        <w:ind w:firstLine="600"/>
        <w:jc w:val="left"/>
        <w:rPr>
          <w:rFonts w:hint="eastAsia" w:ascii="宋体" w:hAnsi="宋体"/>
          <w:sz w:val="30"/>
          <w:szCs w:val="30"/>
        </w:rPr>
      </w:pPr>
      <w:r>
        <w:rPr>
          <w:rFonts w:hint="eastAsia" w:ascii="宋体" w:hAnsi="宋体"/>
          <w:sz w:val="30"/>
          <w:szCs w:val="30"/>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128"/>
        <w:adjustRightInd w:val="0"/>
        <w:snapToGrid w:val="0"/>
        <w:spacing w:line="340" w:lineRule="exact"/>
        <w:ind w:firstLine="600"/>
        <w:jc w:val="left"/>
        <w:rPr>
          <w:rFonts w:hint="eastAsia" w:ascii="宋体" w:hAnsi="宋体"/>
          <w:sz w:val="30"/>
          <w:szCs w:val="30"/>
        </w:rPr>
      </w:pPr>
      <w:r>
        <w:rPr>
          <w:rFonts w:hint="eastAsia" w:ascii="宋体" w:hAnsi="宋体"/>
          <w:sz w:val="30"/>
          <w:szCs w:val="30"/>
        </w:rPr>
        <w:t>八、如违反上述廉洁自律承诺，贵公司有权：</w:t>
      </w:r>
    </w:p>
    <w:p>
      <w:pPr>
        <w:pStyle w:val="128"/>
        <w:numPr>
          <w:ilvl w:val="0"/>
          <w:numId w:val="5"/>
        </w:numPr>
        <w:adjustRightInd w:val="0"/>
        <w:snapToGrid w:val="0"/>
        <w:spacing w:line="340" w:lineRule="exact"/>
        <w:ind w:firstLineChars="0"/>
        <w:jc w:val="left"/>
        <w:rPr>
          <w:rFonts w:hint="eastAsia" w:ascii="宋体" w:hAnsi="宋体"/>
          <w:sz w:val="30"/>
          <w:szCs w:val="30"/>
        </w:rPr>
      </w:pPr>
      <w:r>
        <w:rPr>
          <w:rFonts w:hint="eastAsia" w:ascii="宋体" w:hAnsi="宋体"/>
          <w:sz w:val="30"/>
          <w:szCs w:val="30"/>
        </w:rPr>
        <w:t>立即取消我单位投标、中标或在建项目的实施资格；</w:t>
      </w:r>
    </w:p>
    <w:p>
      <w:pPr>
        <w:pStyle w:val="128"/>
        <w:numPr>
          <w:ilvl w:val="0"/>
          <w:numId w:val="5"/>
        </w:numPr>
        <w:adjustRightInd w:val="0"/>
        <w:snapToGrid w:val="0"/>
        <w:spacing w:line="340" w:lineRule="exact"/>
        <w:ind w:firstLineChars="0"/>
        <w:jc w:val="left"/>
        <w:rPr>
          <w:rFonts w:hint="eastAsia" w:ascii="宋体" w:hAnsi="宋体"/>
          <w:sz w:val="30"/>
          <w:szCs w:val="30"/>
        </w:rPr>
      </w:pPr>
      <w:r>
        <w:rPr>
          <w:rFonts w:hint="eastAsia" w:ascii="宋体" w:hAnsi="宋体"/>
          <w:sz w:val="30"/>
          <w:szCs w:val="30"/>
        </w:rPr>
        <w:t>扣除我方向贵公司缴纳的履约保证金的10%作为违反廉洁自律承诺的违约金。如该违约金不足以弥补贵公司损失的，我单位仍将承担实际损失赔偿责任。</w:t>
      </w:r>
    </w:p>
    <w:p>
      <w:pPr>
        <w:pStyle w:val="128"/>
        <w:numPr>
          <w:ilvl w:val="0"/>
          <w:numId w:val="5"/>
        </w:numPr>
        <w:adjustRightInd w:val="0"/>
        <w:snapToGrid w:val="0"/>
        <w:spacing w:line="340" w:lineRule="exact"/>
        <w:ind w:firstLineChars="0"/>
        <w:jc w:val="left"/>
        <w:rPr>
          <w:rFonts w:hint="eastAsia" w:ascii="宋体" w:hAnsi="宋体"/>
          <w:sz w:val="30"/>
          <w:szCs w:val="30"/>
        </w:rPr>
      </w:pPr>
      <w:r>
        <w:rPr>
          <w:rFonts w:hint="eastAsia" w:ascii="宋体" w:hAnsi="宋体"/>
          <w:sz w:val="30"/>
          <w:szCs w:val="30"/>
        </w:rPr>
        <w:t>拒绝我单位在一定时期内进入贵公司进行项目建设或其它经营活动；</w:t>
      </w:r>
    </w:p>
    <w:p>
      <w:pPr>
        <w:pStyle w:val="128"/>
        <w:numPr>
          <w:ilvl w:val="0"/>
          <w:numId w:val="5"/>
        </w:numPr>
        <w:adjustRightInd w:val="0"/>
        <w:snapToGrid w:val="0"/>
        <w:spacing w:line="340" w:lineRule="exact"/>
        <w:ind w:firstLineChars="0"/>
        <w:jc w:val="left"/>
        <w:rPr>
          <w:rFonts w:hint="eastAsia" w:ascii="宋体" w:hAnsi="宋体"/>
          <w:sz w:val="30"/>
          <w:szCs w:val="30"/>
        </w:rPr>
      </w:pPr>
      <w:r>
        <w:rPr>
          <w:rFonts w:hint="eastAsia" w:ascii="宋体" w:hAnsi="宋体"/>
          <w:sz w:val="30"/>
          <w:szCs w:val="30"/>
        </w:rPr>
        <w:t>由此引起的相应损失均由我单位承担。</w:t>
      </w:r>
    </w:p>
    <w:p>
      <w:pPr>
        <w:pStyle w:val="128"/>
        <w:adjustRightInd w:val="0"/>
        <w:snapToGrid w:val="0"/>
        <w:spacing w:line="320" w:lineRule="exact"/>
        <w:ind w:firstLine="600"/>
        <w:jc w:val="left"/>
        <w:rPr>
          <w:rFonts w:hint="eastAsia" w:ascii="宋体" w:hAnsi="宋体"/>
          <w:sz w:val="30"/>
          <w:szCs w:val="30"/>
        </w:rPr>
      </w:pPr>
      <w:r>
        <w:rPr>
          <w:rFonts w:hint="eastAsia" w:ascii="宋体" w:hAnsi="宋体"/>
          <w:sz w:val="30"/>
          <w:szCs w:val="30"/>
        </w:rPr>
        <w:t xml:space="preserve"> </w:t>
      </w:r>
    </w:p>
    <w:p>
      <w:pPr>
        <w:pStyle w:val="128"/>
        <w:adjustRightInd w:val="0"/>
        <w:snapToGrid w:val="0"/>
        <w:ind w:firstLine="600"/>
        <w:jc w:val="left"/>
        <w:rPr>
          <w:rFonts w:hint="eastAsia" w:ascii="宋体" w:hAnsi="宋体"/>
          <w:sz w:val="30"/>
          <w:szCs w:val="30"/>
        </w:rPr>
      </w:pPr>
      <w:r>
        <w:rPr>
          <w:rFonts w:hint="eastAsia" w:ascii="宋体" w:hAnsi="宋体"/>
          <w:sz w:val="30"/>
          <w:szCs w:val="30"/>
        </w:rPr>
        <w:t xml:space="preserve">承诺人单位名称（盖章）：            </w:t>
      </w:r>
    </w:p>
    <w:p>
      <w:pPr>
        <w:pStyle w:val="128"/>
        <w:adjustRightInd w:val="0"/>
        <w:snapToGrid w:val="0"/>
        <w:ind w:firstLine="600"/>
        <w:jc w:val="left"/>
        <w:rPr>
          <w:rFonts w:hint="eastAsia" w:ascii="宋体" w:hAnsi="宋体"/>
          <w:sz w:val="30"/>
          <w:szCs w:val="30"/>
        </w:rPr>
      </w:pPr>
      <w:r>
        <w:rPr>
          <w:rFonts w:hint="eastAsia" w:ascii="宋体" w:hAnsi="宋体"/>
          <w:sz w:val="30"/>
          <w:szCs w:val="30"/>
        </w:rPr>
        <w:t xml:space="preserve">法定代表人 ：                    </w:t>
      </w:r>
    </w:p>
    <w:p>
      <w:pPr>
        <w:pStyle w:val="128"/>
        <w:adjustRightInd w:val="0"/>
        <w:snapToGrid w:val="0"/>
        <w:ind w:firstLine="600"/>
        <w:jc w:val="left"/>
        <w:rPr>
          <w:rFonts w:hint="eastAsia" w:ascii="宋体" w:hAnsi="宋体"/>
          <w:sz w:val="30"/>
          <w:szCs w:val="30"/>
        </w:rPr>
      </w:pPr>
      <w:r>
        <w:rPr>
          <w:rFonts w:hint="eastAsia" w:ascii="宋体" w:hAnsi="宋体"/>
          <w:sz w:val="30"/>
          <w:szCs w:val="30"/>
        </w:rPr>
        <w:t xml:space="preserve">或                            </w:t>
      </w:r>
    </w:p>
    <w:p>
      <w:pPr>
        <w:pStyle w:val="128"/>
        <w:adjustRightInd w:val="0"/>
        <w:snapToGrid w:val="0"/>
        <w:ind w:firstLine="600"/>
        <w:jc w:val="left"/>
        <w:rPr>
          <w:rFonts w:hint="eastAsia" w:ascii="宋体" w:hAnsi="宋体"/>
          <w:sz w:val="30"/>
          <w:szCs w:val="30"/>
        </w:rPr>
      </w:pPr>
      <w:r>
        <w:rPr>
          <w:rFonts w:hint="eastAsia" w:ascii="宋体" w:hAnsi="宋体"/>
          <w:sz w:val="30"/>
          <w:szCs w:val="30"/>
        </w:rPr>
        <w:t xml:space="preserve">委托代理人：                   </w:t>
      </w:r>
    </w:p>
    <w:p>
      <w:pPr>
        <w:pStyle w:val="128"/>
        <w:adjustRightInd w:val="0"/>
        <w:snapToGrid w:val="0"/>
        <w:ind w:firstLine="602"/>
        <w:jc w:val="left"/>
        <w:rPr>
          <w:rFonts w:hint="eastAsia" w:ascii="宋体" w:hAnsi="宋体"/>
          <w:b/>
          <w:bCs/>
          <w:sz w:val="30"/>
          <w:szCs w:val="30"/>
        </w:rPr>
      </w:pPr>
      <w:r>
        <w:rPr>
          <w:rFonts w:hint="eastAsia" w:ascii="宋体" w:hAnsi="宋体"/>
          <w:b/>
          <w:bCs/>
          <w:sz w:val="30"/>
          <w:szCs w:val="30"/>
        </w:rPr>
        <w:t xml:space="preserve"> </w:t>
      </w:r>
    </w:p>
    <w:p>
      <w:pPr>
        <w:pStyle w:val="51"/>
        <w:spacing w:line="360" w:lineRule="exact"/>
        <w:ind w:left="1562" w:hanging="602"/>
        <w:rPr>
          <w:rFonts w:hint="eastAsia" w:ascii="宋体" w:hAnsi="宋体" w:eastAsia="宋体"/>
          <w:b w:val="0"/>
          <w:bCs w:val="0"/>
          <w:sz w:val="30"/>
          <w:szCs w:val="30"/>
        </w:rPr>
      </w:pPr>
      <w:r>
        <w:rPr>
          <w:rFonts w:hint="eastAsia" w:ascii="宋体" w:hAnsi="宋体" w:eastAsia="宋体"/>
          <w:b w:val="0"/>
          <w:bCs w:val="0"/>
          <w:sz w:val="30"/>
          <w:szCs w:val="30"/>
        </w:rPr>
        <w:t xml:space="preserve">                           年     月     日</w:t>
      </w:r>
    </w:p>
    <w:p>
      <w:pPr>
        <w:spacing w:line="560" w:lineRule="exact"/>
        <w:rPr>
          <w:rFonts w:ascii="仿宋_GB2312" w:eastAsia="仿宋_GB2312"/>
          <w:sz w:val="28"/>
          <w:szCs w:val="28"/>
        </w:rPr>
      </w:pPr>
      <w:r>
        <w:rPr>
          <w:rFonts w:hint="eastAsia" w:ascii="仿宋_GB2312" w:eastAsia="仿宋_GB2312"/>
          <w:sz w:val="28"/>
          <w:szCs w:val="28"/>
        </w:rPr>
        <w:t>附件2：保密承诺书</w:t>
      </w:r>
    </w:p>
    <w:p>
      <w:pPr>
        <w:spacing w:line="560" w:lineRule="exact"/>
        <w:jc w:val="center"/>
        <w:rPr>
          <w:rFonts w:ascii="仿宋_GB2312" w:hAnsi="宋体" w:eastAsia="仿宋_GB2312"/>
          <w:b/>
          <w:bCs/>
          <w:sz w:val="28"/>
          <w:szCs w:val="28"/>
        </w:rPr>
      </w:pPr>
      <w:r>
        <w:rPr>
          <w:rFonts w:hint="eastAsia" w:ascii="仿宋_GB2312" w:hAnsi="宋体" w:eastAsia="仿宋_GB2312"/>
          <w:b/>
          <w:bCs/>
          <w:sz w:val="28"/>
          <w:szCs w:val="28"/>
        </w:rPr>
        <w:t>保密承诺书</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鉴于我方愿成为杭州萧山国际机场有限公司（以下简称“机场公司”）的供应商或潜在供应商候选人，为机场公司提供【2019年员工防暑降温物品采购】项目的外包服务。在上述业务来往过程中，机场公司可能向我方提供经营、业务、服务等有关的文件、资料、软件等信息，为维护机场公司的利益，我方就保密事宜做出如下承诺：</w:t>
      </w:r>
    </w:p>
    <w:p>
      <w:pPr>
        <w:spacing w:line="560" w:lineRule="exact"/>
        <w:rPr>
          <w:rFonts w:ascii="仿宋_GB2312" w:hAnsi="宋体" w:eastAsia="仿宋_GB2312"/>
          <w:sz w:val="28"/>
          <w:szCs w:val="28"/>
        </w:rPr>
      </w:pPr>
      <w:r>
        <w:rPr>
          <w:rFonts w:hint="eastAsia" w:ascii="仿宋_GB2312" w:hAnsi="宋体" w:eastAsia="仿宋_GB2312"/>
          <w:sz w:val="28"/>
          <w:szCs w:val="28"/>
        </w:rPr>
        <w:t>1.商业秘密</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1.1商业秘密是指机场公司（包括机场公司关联公司）一切专有、不对外公开的资料和信息。包括但不限于以下方面：</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（1）经营信息（发展规划、运营状况、客户资源、货源情报、投融资计划、开发计划、标书等）；</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（2）管理信息（管理方法、管理制度、员工管理、合同管理、纠纷管理等）；</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（3）产品及技术信息（设计及图纸、样品及服务、技术方案、质量标准、技术标准、计算机程序等）；</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（4）财务信息（财务收支、固定资产、流动资金、成本核算等）；</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（5）我方单独或机场公司（包括机场公司关联公司）和我方共同为机场公司开发、设计、生产的产品、资料及相关信息；</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（6）其他机场公司未对外公开的有关营运、计划、航班数据、标准、开发、生产、经营、质量管理控制和租赁的资料和数据等信息以及对供应商的管理文件。</w:t>
      </w:r>
    </w:p>
    <w:p>
      <w:pPr>
        <w:spacing w:line="560" w:lineRule="exact"/>
        <w:rPr>
          <w:rFonts w:ascii="仿宋_GB2312" w:hAnsi="宋体" w:eastAsia="仿宋_GB2312"/>
          <w:sz w:val="28"/>
          <w:szCs w:val="28"/>
        </w:rPr>
      </w:pPr>
      <w:r>
        <w:rPr>
          <w:rFonts w:hint="eastAsia" w:ascii="仿宋_GB2312" w:hAnsi="宋体" w:eastAsia="仿宋_GB2312"/>
          <w:sz w:val="28"/>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ascii="仿宋_GB2312" w:hAnsi="宋体" w:eastAsia="仿宋_GB2312"/>
          <w:sz w:val="28"/>
          <w:szCs w:val="28"/>
        </w:rPr>
      </w:pPr>
      <w:r>
        <w:rPr>
          <w:rFonts w:hint="eastAsia" w:ascii="仿宋_GB2312" w:hAnsi="宋体" w:eastAsia="仿宋_GB2312"/>
          <w:sz w:val="28"/>
          <w:szCs w:val="28"/>
        </w:rPr>
        <w:t>1.3、对于上述提及的商业秘密，不能仅因为公开发表的文章或资讯中包含其内容，就认为是可对外公开的特殊情况。</w:t>
      </w:r>
    </w:p>
    <w:p>
      <w:pPr>
        <w:spacing w:line="560" w:lineRule="exact"/>
        <w:rPr>
          <w:rFonts w:ascii="仿宋_GB2312" w:hAnsi="宋体" w:eastAsia="仿宋_GB2312"/>
          <w:sz w:val="28"/>
          <w:szCs w:val="28"/>
        </w:rPr>
      </w:pPr>
      <w:r>
        <w:rPr>
          <w:rFonts w:hint="eastAsia" w:ascii="仿宋_GB2312" w:hAnsi="宋体" w:eastAsia="仿宋_GB2312"/>
          <w:sz w:val="28"/>
          <w:szCs w:val="28"/>
        </w:rPr>
        <w:t>1.4、以下资料不属于本承诺所指的商业秘密：</w:t>
      </w:r>
    </w:p>
    <w:p>
      <w:pPr>
        <w:spacing w:line="560" w:lineRule="exact"/>
        <w:rPr>
          <w:rFonts w:ascii="仿宋_GB2312" w:hAnsi="宋体" w:eastAsia="仿宋_GB2312"/>
          <w:sz w:val="28"/>
          <w:szCs w:val="28"/>
        </w:rPr>
      </w:pPr>
      <w:r>
        <w:rPr>
          <w:rFonts w:hint="eastAsia" w:ascii="仿宋_GB2312" w:hAnsi="宋体" w:eastAsia="仿宋_GB2312"/>
          <w:sz w:val="28"/>
          <w:szCs w:val="28"/>
        </w:rPr>
        <w:t>（1）我方从机场公司拟获悉之前已持有的我方无需承担保密义务的机场公司有关资料(但通过其它违约或侵权行为而获得的资料除外)；</w:t>
      </w:r>
    </w:p>
    <w:p>
      <w:pPr>
        <w:spacing w:line="560" w:lineRule="exact"/>
        <w:rPr>
          <w:rFonts w:ascii="仿宋_GB2312" w:hAnsi="宋体" w:eastAsia="仿宋_GB2312"/>
          <w:sz w:val="28"/>
          <w:szCs w:val="28"/>
        </w:rPr>
      </w:pPr>
      <w:r>
        <w:rPr>
          <w:rFonts w:hint="eastAsia" w:ascii="仿宋_GB2312" w:hAnsi="宋体" w:eastAsia="仿宋_GB2312"/>
          <w:sz w:val="28"/>
          <w:szCs w:val="28"/>
        </w:rPr>
        <w:t>（2）已经公开或已成为常识性的资料，且该等公开并非因违反本承诺所致。</w:t>
      </w:r>
    </w:p>
    <w:p>
      <w:pPr>
        <w:spacing w:line="560" w:lineRule="exact"/>
        <w:rPr>
          <w:rFonts w:ascii="仿宋_GB2312" w:hAnsi="宋体" w:eastAsia="仿宋_GB2312"/>
          <w:sz w:val="28"/>
          <w:szCs w:val="28"/>
        </w:rPr>
      </w:pPr>
      <w:r>
        <w:rPr>
          <w:rFonts w:hint="eastAsia" w:ascii="仿宋_GB2312" w:hAnsi="宋体" w:eastAsia="仿宋_GB2312"/>
          <w:sz w:val="28"/>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ascii="仿宋_GB2312" w:hAnsi="宋体" w:eastAsia="仿宋_GB2312"/>
          <w:sz w:val="28"/>
          <w:szCs w:val="28"/>
        </w:rPr>
      </w:pPr>
      <w:r>
        <w:rPr>
          <w:rFonts w:hint="eastAsia" w:ascii="仿宋_GB2312" w:hAnsi="宋体" w:eastAsia="仿宋_GB2312"/>
          <w:sz w:val="28"/>
          <w:szCs w:val="28"/>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（1）披露、使用或者允许他人以不正当手段获取的商业秘密；</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（2）为机场公司以外的第三人窃取、刺探、收买、非法提供商业秘密。</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（3）在电子公告系统、聊天系统、电子邮箱、论坛等计算机网络系统上传递、转发、抄送、发布、谈论和传播商业秘密；</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（5）擅自将属于商业秘密的文件、资料和其他物品携带、传递、寄运出机场公司办公场所或国（境）外。</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（6）未经机场公司同意就以任何方式私自保存、截留含有机场公司商业秘密的任何形式资料、文件和物品的复印件、复制品、副本。</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（7）将含有机场公司商业秘密的产品、技术或其他资料、信息向第三人销售、使用或以任何方式提供。</w:t>
      </w:r>
    </w:p>
    <w:p>
      <w:pPr>
        <w:spacing w:line="560" w:lineRule="exact"/>
        <w:rPr>
          <w:rFonts w:ascii="仿宋_GB2312" w:hAnsi="宋体" w:eastAsia="仿宋_GB2312"/>
          <w:sz w:val="28"/>
          <w:szCs w:val="28"/>
        </w:rPr>
      </w:pPr>
      <w:r>
        <w:rPr>
          <w:rFonts w:hint="eastAsia" w:ascii="仿宋_GB2312" w:hAnsi="宋体" w:eastAsia="仿宋_GB2312"/>
          <w:sz w:val="28"/>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ascii="仿宋_GB2312" w:hAnsi="宋体" w:eastAsia="仿宋_GB2312"/>
          <w:sz w:val="28"/>
          <w:szCs w:val="28"/>
        </w:rPr>
      </w:pPr>
      <w:r>
        <w:rPr>
          <w:rFonts w:hint="eastAsia" w:ascii="仿宋_GB2312" w:hAnsi="宋体" w:eastAsia="仿宋_GB2312"/>
          <w:sz w:val="28"/>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ascii="仿宋_GB2312" w:hAnsi="宋体" w:eastAsia="仿宋_GB2312"/>
          <w:sz w:val="28"/>
          <w:szCs w:val="28"/>
        </w:rPr>
      </w:pPr>
      <w:r>
        <w:rPr>
          <w:rFonts w:hint="eastAsia" w:ascii="仿宋_GB2312" w:hAnsi="宋体" w:eastAsia="仿宋_GB2312"/>
          <w:sz w:val="28"/>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560" w:lineRule="exact"/>
        <w:rPr>
          <w:rFonts w:ascii="仿宋_GB2312" w:hAnsi="宋体" w:eastAsia="仿宋_GB2312"/>
          <w:sz w:val="28"/>
          <w:szCs w:val="28"/>
        </w:rPr>
      </w:pPr>
      <w:r>
        <w:rPr>
          <w:rFonts w:hint="eastAsia" w:ascii="仿宋_GB2312" w:hAnsi="宋体" w:eastAsia="仿宋_GB2312"/>
          <w:sz w:val="28"/>
          <w:szCs w:val="28"/>
        </w:rPr>
        <w:t>8、违约责任</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8.1因我方违反保密义务的行为造成机场公司的一切损失，我方应当全部予以赔偿。</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8.2如我方违反本承诺书下保密义务，应当承担违约责任，除赔偿损失外，还应依据合同向机场公司支付相应的违约金；</w:t>
      </w:r>
    </w:p>
    <w:p>
      <w:pPr>
        <w:adjustRightInd w:val="0"/>
        <w:snapToGrid w:val="0"/>
        <w:spacing w:line="560" w:lineRule="exact"/>
        <w:rPr>
          <w:rFonts w:ascii="仿宋_GB2312" w:hAnsi="宋体" w:eastAsia="仿宋_GB2312"/>
          <w:sz w:val="28"/>
          <w:szCs w:val="28"/>
        </w:rPr>
      </w:pPr>
      <w:r>
        <w:rPr>
          <w:rFonts w:hint="eastAsia" w:ascii="仿宋_GB2312" w:hAnsi="宋体" w:eastAsia="仿宋_GB2312"/>
          <w:sz w:val="28"/>
          <w:szCs w:val="28"/>
        </w:rPr>
        <w:t>9、本承诺书适用中华人民共和国法律，如因履行本承诺书发生争议，则双方均有权向机场公司所在地法院提起诉讼。</w:t>
      </w:r>
    </w:p>
    <w:p>
      <w:pPr>
        <w:adjustRightInd w:val="0"/>
        <w:snapToGrid w:val="0"/>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r>
        <w:rPr>
          <w:rFonts w:hint="eastAsia" w:ascii="仿宋_GB2312" w:hAnsi="宋体" w:eastAsia="仿宋_GB2312"/>
          <w:sz w:val="28"/>
          <w:szCs w:val="28"/>
        </w:rPr>
        <w:t xml:space="preserve">                        供应商(盖章):</w:t>
      </w:r>
    </w:p>
    <w:p>
      <w:pPr>
        <w:spacing w:line="560" w:lineRule="exact"/>
        <w:jc w:val="center"/>
        <w:rPr>
          <w:rFonts w:ascii="仿宋_GB2312" w:hAnsi="宋体" w:eastAsia="仿宋_GB2312"/>
          <w:sz w:val="28"/>
          <w:szCs w:val="28"/>
        </w:rPr>
      </w:pPr>
      <w:r>
        <w:rPr>
          <w:rFonts w:hint="eastAsia" w:ascii="仿宋_GB2312" w:hAnsi="宋体" w:eastAsia="仿宋_GB2312"/>
          <w:sz w:val="28"/>
          <w:szCs w:val="28"/>
        </w:rPr>
        <w:t>法定代表人或授权代表：</w:t>
      </w:r>
    </w:p>
    <w:p>
      <w:pPr>
        <w:spacing w:line="560" w:lineRule="exact"/>
        <w:jc w:val="center"/>
        <w:rPr>
          <w:rFonts w:ascii="仿宋_GB2312" w:hAnsi="宋体" w:eastAsia="仿宋_GB2312"/>
          <w:sz w:val="28"/>
          <w:szCs w:val="28"/>
        </w:rPr>
      </w:pPr>
    </w:p>
    <w:p>
      <w:pPr>
        <w:spacing w:line="560" w:lineRule="exact"/>
        <w:jc w:val="center"/>
        <w:rPr>
          <w:rFonts w:ascii="仿宋_GB2312" w:hAnsi="宋体" w:eastAsia="仿宋_GB2312"/>
          <w:sz w:val="28"/>
          <w:szCs w:val="28"/>
        </w:rPr>
      </w:pPr>
    </w:p>
    <w:p>
      <w:pPr>
        <w:spacing w:line="560" w:lineRule="exact"/>
        <w:jc w:val="center"/>
        <w:rPr>
          <w:rFonts w:ascii="仿宋_GB2312" w:hAnsi="宋体" w:eastAsia="仿宋_GB2312"/>
          <w:sz w:val="28"/>
          <w:szCs w:val="28"/>
        </w:rPr>
      </w:pPr>
    </w:p>
    <w:p>
      <w:pPr>
        <w:spacing w:line="560" w:lineRule="exact"/>
        <w:rPr>
          <w:rFonts w:ascii="仿宋_GB2312" w:hAnsi="宋体" w:eastAsia="仿宋_GB2312"/>
          <w:sz w:val="28"/>
          <w:szCs w:val="28"/>
        </w:rPr>
      </w:pPr>
      <w:r>
        <w:rPr>
          <w:rFonts w:hint="eastAsia" w:ascii="仿宋_GB2312" w:hAnsi="宋体" w:eastAsia="仿宋_GB2312"/>
          <w:sz w:val="28"/>
          <w:szCs w:val="28"/>
        </w:rPr>
        <w:t xml:space="preserve">                       电话/传真：</w:t>
      </w:r>
    </w:p>
    <w:p>
      <w:pPr>
        <w:spacing w:line="560" w:lineRule="exact"/>
        <w:jc w:val="center"/>
        <w:rPr>
          <w:rFonts w:ascii="仿宋_GB2312" w:hAnsi="宋体" w:eastAsia="仿宋_GB2312"/>
          <w:sz w:val="28"/>
          <w:szCs w:val="28"/>
        </w:rPr>
      </w:pPr>
    </w:p>
    <w:p>
      <w:pPr>
        <w:spacing w:line="560" w:lineRule="exact"/>
        <w:rPr>
          <w:rFonts w:ascii="仿宋_GB2312" w:hAnsi="宋体" w:eastAsia="仿宋_GB2312"/>
          <w:sz w:val="28"/>
          <w:szCs w:val="28"/>
        </w:rPr>
      </w:pPr>
      <w:r>
        <w:rPr>
          <w:rFonts w:hint="eastAsia" w:ascii="仿宋_GB2312" w:hAnsi="宋体" w:eastAsia="仿宋_GB2312"/>
          <w:sz w:val="28"/>
          <w:szCs w:val="28"/>
        </w:rPr>
        <w:t xml:space="preserve">                       地址：</w:t>
      </w:r>
    </w:p>
    <w:p>
      <w:pPr>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p>
    <w:p>
      <w:pPr>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日期：     年   月   日</w:t>
      </w:r>
    </w:p>
    <w:p>
      <w:pPr>
        <w:pStyle w:val="31"/>
        <w:spacing w:line="560" w:lineRule="exact"/>
        <w:ind w:right="960" w:firstLine="560" w:firstLineChars="200"/>
        <w:rPr>
          <w:rFonts w:ascii="仿宋_GB2312" w:hAnsi="宋体" w:eastAsia="仿宋_GB2312"/>
          <w:sz w:val="28"/>
          <w:szCs w:val="28"/>
        </w:rPr>
      </w:pPr>
    </w:p>
    <w:p>
      <w:pPr>
        <w:spacing w:line="560" w:lineRule="exact"/>
        <w:rPr>
          <w:rFonts w:ascii="仿宋_GB2312" w:eastAsia="仿宋_GB2312"/>
          <w:sz w:val="28"/>
          <w:szCs w:val="28"/>
        </w:rPr>
      </w:pPr>
    </w:p>
    <w:p>
      <w:pPr>
        <w:pStyle w:val="51"/>
        <w:rPr>
          <w:rFonts w:ascii="宋体" w:hAnsi="宋体"/>
        </w:rPr>
      </w:pPr>
    </w:p>
    <w:bookmarkEnd w:id="74"/>
    <w:bookmarkEnd w:id="75"/>
    <w:p>
      <w:pPr>
        <w:pStyle w:val="2"/>
        <w:spacing w:before="0" w:after="0"/>
        <w:rPr>
          <w:rFonts w:ascii="Calibri" w:hAnsi="Calibri" w:eastAsia="黑体" w:cs="Calibri"/>
          <w:kern w:val="0"/>
          <w:sz w:val="32"/>
        </w:rPr>
      </w:pPr>
      <w:bookmarkStart w:id="76" w:name="_Toc275274581"/>
      <w:r>
        <w:br w:type="page"/>
      </w:r>
      <w:bookmarkStart w:id="77" w:name="_Toc448002987"/>
      <w:bookmarkStart w:id="78" w:name="_Toc321925456"/>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77"/>
      <w:bookmarkEnd w:id="78"/>
    </w:p>
    <w:p>
      <w:pPr>
        <w:pStyle w:val="31"/>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sz w:val="22"/>
          <w:szCs w:val="22"/>
        </w:rPr>
      </w:pPr>
      <w:r>
        <w:rPr>
          <w:rFonts w:hAnsi="宋体" w:cs="Calibri"/>
          <w:b/>
          <w:bCs/>
          <w:sz w:val="22"/>
          <w:szCs w:val="22"/>
        </w:rPr>
        <w:t>一、评标原则</w:t>
      </w:r>
    </w:p>
    <w:p>
      <w:pPr>
        <w:pStyle w:val="31"/>
        <w:spacing w:line="360" w:lineRule="exact"/>
        <w:ind w:firstLine="420"/>
        <w:rPr>
          <w:rFonts w:hAnsi="宋体" w:cs="Calibri"/>
          <w:sz w:val="22"/>
          <w:szCs w:val="22"/>
        </w:rPr>
      </w:pPr>
      <w:r>
        <w:rPr>
          <w:rFonts w:hint="eastAsia" w:hAnsi="宋体" w:cs="Calibri"/>
          <w:bCs/>
          <w:sz w:val="22"/>
          <w:szCs w:val="22"/>
        </w:rPr>
        <w:t>本次评标采用</w:t>
      </w:r>
      <w:r>
        <w:rPr>
          <w:rFonts w:hint="eastAsia" w:hAnsi="宋体" w:cs="Calibri"/>
          <w:b/>
          <w:bCs/>
          <w:sz w:val="22"/>
          <w:szCs w:val="22"/>
        </w:rPr>
        <w:t>经评审的最低投标价法</w:t>
      </w:r>
      <w:r>
        <w:rPr>
          <w:rFonts w:hint="eastAsia" w:hAnsi="宋体" w:cs="Calibri"/>
          <w:bCs/>
          <w:sz w:val="22"/>
          <w:szCs w:val="22"/>
        </w:rPr>
        <w:t>，</w:t>
      </w:r>
      <w:r>
        <w:rPr>
          <w:rFonts w:hAnsi="宋体" w:cs="Calibri"/>
          <w:bCs/>
          <w:sz w:val="22"/>
          <w:szCs w:val="22"/>
        </w:rPr>
        <w:t>评标应遵循公平、公正、科学、择优的原则。</w:t>
      </w:r>
    </w:p>
    <w:p>
      <w:pPr>
        <w:pStyle w:val="31"/>
        <w:spacing w:line="360" w:lineRule="exact"/>
        <w:rPr>
          <w:rFonts w:hAnsi="宋体" w:cs="Calibri"/>
          <w:b/>
          <w:bCs/>
          <w:sz w:val="22"/>
          <w:szCs w:val="22"/>
        </w:rPr>
      </w:pPr>
      <w:r>
        <w:rPr>
          <w:rFonts w:hAnsi="宋体" w:cs="Calibri"/>
          <w:b/>
          <w:bCs/>
          <w:sz w:val="22"/>
          <w:szCs w:val="22"/>
        </w:rPr>
        <w:t>二、评标组织</w:t>
      </w:r>
    </w:p>
    <w:p>
      <w:pPr>
        <w:pStyle w:val="3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31"/>
        <w:spacing w:line="360" w:lineRule="exact"/>
        <w:rPr>
          <w:rFonts w:hAnsi="宋体" w:cs="Calibri"/>
          <w:b/>
          <w:bCs/>
          <w:sz w:val="22"/>
          <w:szCs w:val="22"/>
        </w:rPr>
      </w:pPr>
      <w:r>
        <w:rPr>
          <w:rFonts w:hAnsi="宋体" w:cs="Calibri"/>
          <w:b/>
          <w:bCs/>
          <w:sz w:val="22"/>
          <w:szCs w:val="22"/>
        </w:rPr>
        <w:t>三、投标文件的评审</w:t>
      </w:r>
    </w:p>
    <w:p>
      <w:pPr>
        <w:pStyle w:val="3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szCs w:val="22"/>
        </w:rPr>
      </w:pPr>
      <w:r>
        <w:rPr>
          <w:rFonts w:ascii="宋体" w:hAnsi="宋体" w:cs="Calibri"/>
          <w:bCs/>
          <w:kern w:val="0"/>
          <w:sz w:val="22"/>
          <w:szCs w:val="22"/>
        </w:rPr>
        <w:t>3.1.1评标委员会应依照招标文件的要求和规定首先对投标人的投标资格和投标文件进行符合性审查，</w:t>
      </w:r>
      <w:r>
        <w:rPr>
          <w:rFonts w:ascii="宋体" w:hAnsi="宋体" w:cs="Calibri"/>
          <w:b/>
          <w:kern w:val="0"/>
          <w:sz w:val="22"/>
          <w:szCs w:val="22"/>
        </w:rPr>
        <w:t>审查过程中评标委员会可以要求投标人提交下列审查项所需的有关证明和证件的原件，以便核验。</w:t>
      </w:r>
      <w:r>
        <w:rPr>
          <w:rFonts w:ascii="宋体" w:hAnsi="宋体" w:cs="Calibri"/>
          <w:bCs/>
          <w:kern w:val="0"/>
          <w:sz w:val="22"/>
          <w:szCs w:val="22"/>
        </w:rPr>
        <w:t>投标文件如存在以下情况之一的，经评标委员会三分之二以上的成员认定，符合性审查不予通过，</w:t>
      </w:r>
      <w:r>
        <w:rPr>
          <w:rFonts w:ascii="宋体" w:hAnsi="宋体" w:cs="Calibri"/>
          <w:b/>
          <w:bCs/>
          <w:kern w:val="0"/>
          <w:sz w:val="22"/>
          <w:szCs w:val="22"/>
        </w:rPr>
        <w:t>作废标处理，</w:t>
      </w:r>
      <w:r>
        <w:rPr>
          <w:rFonts w:ascii="宋体" w:hAnsi="宋体" w:cs="Calibri"/>
          <w:bCs/>
          <w:kern w:val="0"/>
          <w:sz w:val="22"/>
          <w:szCs w:val="22"/>
        </w:rPr>
        <w:t>不再进行详细评审：</w:t>
      </w:r>
    </w:p>
    <w:p>
      <w:pPr>
        <w:spacing w:line="360" w:lineRule="exact"/>
        <w:ind w:firstLine="471" w:firstLineChars="214"/>
        <w:rPr>
          <w:rFonts w:ascii="宋体" w:hAnsi="宋体" w:cs="Calibri"/>
          <w:sz w:val="22"/>
          <w:szCs w:val="22"/>
        </w:rPr>
      </w:pPr>
      <w:r>
        <w:rPr>
          <w:rFonts w:ascii="宋体" w:hAnsi="宋体" w:cs="Calibri"/>
          <w:sz w:val="22"/>
          <w:szCs w:val="22"/>
        </w:rPr>
        <w:t>1、</w:t>
      </w:r>
      <w:r>
        <w:rPr>
          <w:rFonts w:ascii="宋体" w:hAnsi="宋体" w:cs="Calibri"/>
          <w:bCs/>
          <w:kern w:val="0"/>
          <w:sz w:val="22"/>
          <w:szCs w:val="22"/>
        </w:rPr>
        <w:t>投标人的投标资格不满足国家有关规定或招标文件载明的投标资格条件的；</w:t>
      </w:r>
    </w:p>
    <w:p>
      <w:pPr>
        <w:spacing w:line="360" w:lineRule="exact"/>
        <w:ind w:firstLine="471" w:firstLineChars="214"/>
        <w:rPr>
          <w:rFonts w:ascii="宋体" w:hAnsi="宋体" w:cs="Calibri"/>
          <w:sz w:val="22"/>
          <w:szCs w:val="22"/>
        </w:rPr>
      </w:pPr>
      <w:r>
        <w:rPr>
          <w:rFonts w:ascii="宋体" w:hAnsi="宋体" w:cs="Calibri"/>
          <w:sz w:val="22"/>
          <w:szCs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szCs w:val="22"/>
        </w:rPr>
      </w:pPr>
      <w:r>
        <w:rPr>
          <w:rFonts w:ascii="宋体" w:hAnsi="宋体" w:cs="Calibri"/>
          <w:sz w:val="22"/>
          <w:szCs w:val="22"/>
        </w:rPr>
        <w:t>3、投标文件未按规定的格式填写，内容不全或关键字迹模糊、无法辨认的；</w:t>
      </w:r>
    </w:p>
    <w:p>
      <w:pPr>
        <w:spacing w:line="360" w:lineRule="exact"/>
        <w:ind w:firstLine="471" w:firstLineChars="214"/>
        <w:rPr>
          <w:rFonts w:ascii="宋体" w:hAnsi="宋体" w:cs="Calibri"/>
          <w:sz w:val="22"/>
          <w:szCs w:val="22"/>
        </w:rPr>
      </w:pPr>
      <w:r>
        <w:rPr>
          <w:rFonts w:ascii="宋体" w:hAnsi="宋体" w:cs="Calibri"/>
          <w:sz w:val="22"/>
          <w:szCs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szCs w:val="22"/>
        </w:rPr>
      </w:pPr>
      <w:r>
        <w:rPr>
          <w:rFonts w:ascii="宋体" w:hAnsi="宋体" w:cs="Calibri"/>
          <w:sz w:val="22"/>
          <w:szCs w:val="22"/>
        </w:rPr>
        <w:t>5、</w:t>
      </w:r>
      <w:r>
        <w:rPr>
          <w:rFonts w:hint="eastAsia" w:ascii="宋体" w:hAnsi="宋体" w:cs="Calibri"/>
          <w:sz w:val="22"/>
          <w:szCs w:val="22"/>
        </w:rPr>
        <w:t>供货</w:t>
      </w:r>
      <w:r>
        <w:rPr>
          <w:rFonts w:ascii="宋体" w:hAnsi="宋体" w:cs="Calibri"/>
          <w:sz w:val="22"/>
          <w:szCs w:val="22"/>
        </w:rPr>
        <w:t>期不满足招标文件要求的；</w:t>
      </w:r>
    </w:p>
    <w:p>
      <w:pPr>
        <w:spacing w:line="360" w:lineRule="exact"/>
        <w:ind w:firstLine="471" w:firstLineChars="214"/>
        <w:rPr>
          <w:rFonts w:ascii="宋体" w:hAnsi="宋体" w:cs="Calibri"/>
          <w:sz w:val="22"/>
          <w:szCs w:val="22"/>
        </w:rPr>
      </w:pPr>
      <w:r>
        <w:rPr>
          <w:rFonts w:ascii="宋体" w:hAnsi="宋体" w:cs="Calibri"/>
          <w:sz w:val="22"/>
          <w:szCs w:val="22"/>
        </w:rPr>
        <w:t>6、不</w:t>
      </w:r>
      <w:r>
        <w:rPr>
          <w:rFonts w:ascii="宋体" w:hAnsi="宋体" w:cs="Calibri"/>
          <w:kern w:val="0"/>
          <w:sz w:val="22"/>
          <w:szCs w:val="22"/>
        </w:rPr>
        <w:t>响应招标文件规定的实质性要求（包括具体条文前用“★”标示的）</w:t>
      </w:r>
    </w:p>
    <w:p>
      <w:pPr>
        <w:spacing w:line="360" w:lineRule="exact"/>
        <w:ind w:firstLine="471" w:firstLineChars="214"/>
        <w:rPr>
          <w:rFonts w:ascii="宋体" w:hAnsi="宋体" w:cs="Calibri"/>
          <w:sz w:val="22"/>
          <w:szCs w:val="22"/>
        </w:rPr>
      </w:pPr>
      <w:r>
        <w:rPr>
          <w:rFonts w:ascii="宋体" w:hAnsi="宋体" w:cs="Calibri"/>
          <w:sz w:val="22"/>
          <w:szCs w:val="22"/>
        </w:rPr>
        <w:t>7、投标人不以自己的名义或未按招标文件的要求提供投标保证金或提供的保证金有缺陷而不能接受的；</w:t>
      </w:r>
    </w:p>
    <w:p>
      <w:pPr>
        <w:spacing w:line="360" w:lineRule="exact"/>
        <w:ind w:firstLine="471" w:firstLineChars="214"/>
        <w:rPr>
          <w:rFonts w:ascii="宋体" w:hAnsi="宋体" w:cs="Calibri"/>
          <w:sz w:val="22"/>
          <w:szCs w:val="22"/>
        </w:rPr>
      </w:pPr>
      <w:r>
        <w:rPr>
          <w:rFonts w:ascii="宋体" w:hAnsi="宋体" w:cs="Calibri"/>
          <w:sz w:val="22"/>
          <w:szCs w:val="22"/>
        </w:rPr>
        <w:t>8、投标人以他人名义投标、或与他人串通投标、或以行贿手段谋取中标，或弄虚作假的；</w:t>
      </w:r>
    </w:p>
    <w:p>
      <w:pPr>
        <w:spacing w:line="360" w:lineRule="exact"/>
        <w:ind w:firstLine="471" w:firstLineChars="214"/>
        <w:rPr>
          <w:rFonts w:ascii="宋体" w:hAnsi="宋体" w:cs="Calibri"/>
          <w:sz w:val="22"/>
          <w:szCs w:val="22"/>
        </w:rPr>
      </w:pPr>
      <w:r>
        <w:rPr>
          <w:rFonts w:hint="eastAsia" w:ascii="宋体" w:hAnsi="宋体" w:cs="Calibri"/>
          <w:sz w:val="22"/>
          <w:szCs w:val="22"/>
        </w:rPr>
        <w:t>9</w:t>
      </w:r>
      <w:r>
        <w:rPr>
          <w:rFonts w:ascii="宋体" w:hAnsi="宋体" w:cs="Calibri"/>
          <w:sz w:val="22"/>
          <w:szCs w:val="22"/>
        </w:rPr>
        <w:t>、存在法律、法规、规章规定的其它无效投标情况的</w:t>
      </w:r>
      <w:r>
        <w:rPr>
          <w:rFonts w:hint="eastAsia" w:ascii="宋体" w:hAnsi="宋体" w:cs="Calibri"/>
          <w:sz w:val="22"/>
          <w:szCs w:val="22"/>
        </w:rPr>
        <w:t>。</w:t>
      </w:r>
    </w:p>
    <w:p>
      <w:pPr>
        <w:widowControl/>
        <w:tabs>
          <w:tab w:val="left" w:pos="709"/>
        </w:tabs>
        <w:snapToGrid w:val="0"/>
        <w:spacing w:line="360" w:lineRule="exact"/>
        <w:ind w:firstLine="446" w:firstLineChars="202"/>
        <w:rPr>
          <w:rFonts w:ascii="宋体" w:hAnsi="宋体" w:cs="Calibri"/>
          <w:b/>
          <w:sz w:val="22"/>
          <w:szCs w:val="22"/>
        </w:rPr>
      </w:pPr>
      <w:r>
        <w:rPr>
          <w:rFonts w:ascii="宋体" w:hAnsi="宋体" w:cs="Calibri"/>
          <w:b/>
          <w:sz w:val="22"/>
          <w:szCs w:val="22"/>
        </w:rPr>
        <w:t>3.1.2 报价算术性修正</w:t>
      </w:r>
    </w:p>
    <w:p>
      <w:pPr>
        <w:pStyle w:val="3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31"/>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31"/>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Ansi="宋体" w:cs="Calibri"/>
          <w:b/>
          <w:sz w:val="22"/>
          <w:szCs w:val="22"/>
        </w:rPr>
        <w:t>废标处理</w:t>
      </w:r>
      <w:r>
        <w:rPr>
          <w:rFonts w:hAnsi="宋体" w:cs="Calibri"/>
          <w:sz w:val="22"/>
          <w:szCs w:val="22"/>
        </w:rPr>
        <w:t>。</w:t>
      </w:r>
    </w:p>
    <w:p>
      <w:pPr>
        <w:pStyle w:val="3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3</w:t>
      </w:r>
      <w:r>
        <w:rPr>
          <w:rFonts w:hAnsi="宋体" w:cs="Calibri"/>
          <w:b/>
          <w:sz w:val="22"/>
          <w:szCs w:val="22"/>
        </w:rPr>
        <w:t>推荐中标候选人</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3.3.1评标委员会按照经评审的价格由低到高的顺序推荐中标候选人，本项目推荐2名中标候选人。</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3.3.</w:t>
      </w:r>
      <w:r>
        <w:rPr>
          <w:rFonts w:hint="eastAsia" w:hAnsi="宋体" w:cs="Calibri"/>
          <w:sz w:val="22"/>
          <w:szCs w:val="22"/>
        </w:rPr>
        <w:t>2</w:t>
      </w:r>
      <w:r>
        <w:rPr>
          <w:rFonts w:hAnsi="宋体" w:cs="Calibri"/>
          <w:sz w:val="22"/>
          <w:szCs w:val="22"/>
        </w:rPr>
        <w:t>当有效投标文件只有一名时，则由评标委员会确定是否推荐为中标候选人。</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4</w:t>
      </w:r>
      <w:r>
        <w:rPr>
          <w:rFonts w:hAnsi="宋体" w:cs="Calibri"/>
          <w:b/>
          <w:sz w:val="22"/>
          <w:szCs w:val="22"/>
        </w:rPr>
        <w:t>评标报告</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2" w:firstLineChars="200"/>
        <w:rPr>
          <w:rFonts w:hAnsi="宋体" w:cs="Calibri"/>
          <w:sz w:val="22"/>
          <w:szCs w:val="22"/>
        </w:rPr>
      </w:pPr>
      <w:r>
        <w:rPr>
          <w:rFonts w:hint="eastAsia" w:hAnsi="宋体" w:cs="Calibri"/>
          <w:b/>
          <w:sz w:val="22"/>
          <w:szCs w:val="22"/>
        </w:rPr>
        <w:t>4.4</w:t>
      </w:r>
      <w:r>
        <w:rPr>
          <w:rFonts w:hint="eastAsia" w:cs="Calibri" w:asciiTheme="minorEastAsia" w:hAnsiTheme="minorEastAsia" w:eastAsiaTheme="minorEastAsia"/>
          <w:b/>
          <w:color w:val="000000"/>
          <w:sz w:val="22"/>
        </w:rPr>
        <w:t>招标人对评标、定标结果不负责解释。</w:t>
      </w:r>
    </w:p>
    <w:p>
      <w:pPr>
        <w:widowControl/>
        <w:jc w:val="left"/>
        <w:rPr>
          <w:rFonts w:ascii="Cambria" w:hAnsi="Cambria" w:eastAsia="黑体" w:cs="Times New Roman"/>
          <w:b/>
          <w:bCs/>
          <w:kern w:val="0"/>
          <w:sz w:val="32"/>
          <w:szCs w:val="32"/>
        </w:rPr>
      </w:pPr>
      <w:r>
        <w:br w:type="page"/>
      </w:r>
    </w:p>
    <w:p>
      <w:pPr>
        <w:pStyle w:val="51"/>
      </w:pPr>
      <w:bookmarkStart w:id="79" w:name="_Toc321925457"/>
      <w:r>
        <w:t>第</w:t>
      </w:r>
      <w:r>
        <w:rPr>
          <w:rFonts w:hint="eastAsia"/>
        </w:rPr>
        <w:t>六</w:t>
      </w:r>
      <w:r>
        <w:t>章  投标文件格式</w:t>
      </w:r>
      <w:bookmarkEnd w:id="76"/>
      <w:bookmarkEnd w:id="79"/>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360" w:lineRule="exact"/>
        <w:ind w:firstLine="440"/>
        <w:rPr>
          <w:rFonts w:ascii="宋体" w:hAnsi="宋体" w:cs="Calibri"/>
          <w:sz w:val="22"/>
        </w:rPr>
      </w:pPr>
      <w:r>
        <w:rPr>
          <w:rFonts w:hint="eastAsia" w:ascii="宋体" w:hAnsi="宋体" w:cs="Calibri"/>
          <w:sz w:val="22"/>
        </w:rPr>
        <w:t>一、</w:t>
      </w:r>
      <w:r>
        <w:rPr>
          <w:rFonts w:ascii="宋体" w:hAnsi="宋体" w:cs="Calibri"/>
          <w:sz w:val="22"/>
        </w:rPr>
        <w:t>投标函；</w:t>
      </w:r>
    </w:p>
    <w:p>
      <w:pPr>
        <w:adjustRightInd w:val="0"/>
        <w:snapToGrid w:val="0"/>
        <w:spacing w:line="360" w:lineRule="exact"/>
        <w:ind w:firstLine="440"/>
        <w:rPr>
          <w:rFonts w:cs="Calibri" w:asciiTheme="minorEastAsia" w:hAnsiTheme="minorEastAsia"/>
          <w:color w:val="000000"/>
          <w:sz w:val="22"/>
        </w:rPr>
      </w:pPr>
      <w:r>
        <w:rPr>
          <w:rFonts w:hint="eastAsia" w:cs="Calibri" w:asciiTheme="minorEastAsia" w:hAnsiTheme="minorEastAsia"/>
          <w:color w:val="000000"/>
          <w:sz w:val="22"/>
        </w:rPr>
        <w:t>二、</w:t>
      </w:r>
      <w:r>
        <w:rPr>
          <w:rFonts w:cs="Calibri" w:asciiTheme="minorEastAsia" w:hAnsiTheme="minorEastAsia"/>
          <w:color w:val="000000"/>
          <w:sz w:val="22"/>
        </w:rPr>
        <w:t>法定代表人资格证明书；</w:t>
      </w:r>
    </w:p>
    <w:p>
      <w:pPr>
        <w:adjustRightInd w:val="0"/>
        <w:snapToGrid w:val="0"/>
        <w:spacing w:line="360" w:lineRule="exact"/>
        <w:ind w:firstLine="440"/>
        <w:rPr>
          <w:rFonts w:cs="Calibri" w:asciiTheme="minorEastAsia" w:hAnsiTheme="minorEastAsia"/>
          <w:color w:val="000000"/>
          <w:sz w:val="22"/>
        </w:rPr>
      </w:pPr>
      <w:r>
        <w:rPr>
          <w:rFonts w:hint="eastAsia" w:cs="Calibri" w:asciiTheme="minorEastAsia" w:hAnsiTheme="minorEastAsia"/>
          <w:color w:val="000000"/>
          <w:sz w:val="22"/>
        </w:rPr>
        <w:t>三、</w:t>
      </w:r>
      <w:r>
        <w:rPr>
          <w:rFonts w:cs="Calibri" w:asciiTheme="minorEastAsia" w:hAnsiTheme="minorEastAsia"/>
          <w:color w:val="000000"/>
          <w:sz w:val="22"/>
        </w:rPr>
        <w:t>授权委托书；</w:t>
      </w:r>
    </w:p>
    <w:p>
      <w:pPr>
        <w:adjustRightInd w:val="0"/>
        <w:snapToGrid w:val="0"/>
        <w:spacing w:line="360" w:lineRule="exact"/>
        <w:ind w:firstLine="440"/>
        <w:rPr>
          <w:rFonts w:cs="Calibri" w:asciiTheme="minorEastAsia" w:hAnsiTheme="minorEastAsia"/>
          <w:color w:val="000000"/>
          <w:sz w:val="22"/>
        </w:rPr>
      </w:pPr>
      <w:r>
        <w:rPr>
          <w:rFonts w:hint="eastAsia" w:cs="Calibri" w:asciiTheme="minorEastAsia" w:hAnsiTheme="minorEastAsia"/>
          <w:color w:val="000000"/>
          <w:sz w:val="22"/>
        </w:rPr>
        <w:t>四、</w:t>
      </w:r>
      <w:r>
        <w:rPr>
          <w:rFonts w:cs="Calibri" w:asciiTheme="minorEastAsia" w:hAnsiTheme="minorEastAsia"/>
          <w:color w:val="000000"/>
          <w:sz w:val="22"/>
        </w:rPr>
        <w:t xml:space="preserve"> 投标报价表；</w:t>
      </w:r>
    </w:p>
    <w:p>
      <w:pPr>
        <w:adjustRightInd w:val="0"/>
        <w:snapToGrid w:val="0"/>
        <w:spacing w:line="360" w:lineRule="exact"/>
        <w:ind w:firstLine="440"/>
        <w:rPr>
          <w:rFonts w:ascii="宋体" w:hAnsi="宋体" w:cs="Calibri"/>
          <w:sz w:val="22"/>
        </w:rPr>
      </w:pPr>
      <w:r>
        <w:rPr>
          <w:rFonts w:hint="eastAsia" w:ascii="宋体" w:hAnsi="宋体" w:cs="Calibri"/>
          <w:sz w:val="22"/>
        </w:rPr>
        <w:t>五、</w:t>
      </w:r>
      <w:r>
        <w:rPr>
          <w:rFonts w:ascii="宋体" w:hAnsi="宋体" w:cs="Calibri"/>
          <w:sz w:val="22"/>
        </w:rPr>
        <w:t>投标人资格证明文件：</w:t>
      </w:r>
    </w:p>
    <w:p>
      <w:pPr>
        <w:adjustRightInd w:val="0"/>
        <w:snapToGrid w:val="0"/>
        <w:spacing w:line="360" w:lineRule="exact"/>
        <w:ind w:firstLine="440"/>
        <w:rPr>
          <w:rFonts w:ascii="宋体" w:hAnsi="宋体" w:cs="Calibri"/>
          <w:sz w:val="22"/>
        </w:rPr>
      </w:pPr>
      <w:r>
        <w:rPr>
          <w:rFonts w:ascii="宋体" w:hAnsi="宋体" w:cs="Calibri"/>
          <w:sz w:val="22"/>
        </w:rPr>
        <w:t>（1）</w:t>
      </w:r>
      <w:r>
        <w:rPr>
          <w:rFonts w:cs="Calibri" w:asciiTheme="minorEastAsia" w:hAnsiTheme="minorEastAsia"/>
          <w:color w:val="000000"/>
          <w:sz w:val="22"/>
        </w:rPr>
        <w:t>投标人一般情况</w:t>
      </w:r>
      <w:r>
        <w:rPr>
          <w:rFonts w:hint="eastAsia" w:cs="Calibri" w:asciiTheme="minorEastAsia" w:hAnsiTheme="minorEastAsia"/>
          <w:color w:val="000000"/>
          <w:sz w:val="22"/>
        </w:rPr>
        <w:t>及</w:t>
      </w:r>
      <w:r>
        <w:rPr>
          <w:rFonts w:cs="Calibri" w:asciiTheme="minorEastAsia" w:hAnsiTheme="minorEastAsia"/>
          <w:color w:val="000000"/>
          <w:sz w:val="22"/>
        </w:rPr>
        <w:t>有关证明投标人法律地位的文件</w:t>
      </w: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djustRightInd w:val="0"/>
        <w:snapToGrid w:val="0"/>
        <w:spacing w:line="360" w:lineRule="exact"/>
        <w:ind w:firstLine="440"/>
        <w:rPr>
          <w:rFonts w:ascii="宋体" w:hAnsi="宋体" w:cs="Calibri"/>
          <w:sz w:val="22"/>
        </w:rPr>
      </w:pPr>
      <w:r>
        <w:rPr>
          <w:rFonts w:hint="eastAsia" w:ascii="宋体" w:hAnsi="宋体" w:cs="Calibri"/>
          <w:sz w:val="22"/>
        </w:rPr>
        <w:t>（2）制造商出具的授权书</w:t>
      </w:r>
    </w:p>
    <w:p>
      <w:pPr>
        <w:adjustRightInd w:val="0"/>
        <w:snapToGrid w:val="0"/>
        <w:spacing w:line="360" w:lineRule="exact"/>
        <w:ind w:firstLine="440"/>
        <w:rPr>
          <w:rFonts w:ascii="宋体" w:hAnsi="宋体" w:cs="Calibri"/>
          <w:sz w:val="22"/>
        </w:rPr>
      </w:pPr>
      <w:r>
        <w:rPr>
          <w:rFonts w:hint="eastAsia" w:ascii="宋体" w:hAnsi="宋体" w:cs="Calibri"/>
          <w:sz w:val="22"/>
        </w:rPr>
        <w:t>（3）投标产品近三年的销售业绩一览表（附业绩的合同）。</w:t>
      </w:r>
    </w:p>
    <w:p>
      <w:pPr>
        <w:adjustRightInd w:val="0"/>
        <w:snapToGrid w:val="0"/>
        <w:spacing w:line="360" w:lineRule="exact"/>
        <w:ind w:firstLine="440"/>
        <w:rPr>
          <w:rFonts w:ascii="宋体" w:hAnsi="宋体" w:cs="宋体"/>
          <w:sz w:val="22"/>
        </w:rPr>
      </w:pPr>
      <w:r>
        <w:rPr>
          <w:rFonts w:hint="eastAsia" w:ascii="宋体" w:hAnsi="宋体" w:cs="Calibri"/>
          <w:sz w:val="22"/>
        </w:rPr>
        <w:t>六、</w:t>
      </w:r>
      <w:r>
        <w:rPr>
          <w:rFonts w:hint="eastAsia" w:ascii="宋体" w:hAnsi="宋体" w:cs="宋体"/>
          <w:sz w:val="22"/>
        </w:rPr>
        <w:t>技术规格偏离表；</w:t>
      </w:r>
    </w:p>
    <w:p>
      <w:pPr>
        <w:adjustRightInd w:val="0"/>
        <w:snapToGrid w:val="0"/>
        <w:spacing w:line="360" w:lineRule="exact"/>
        <w:ind w:firstLine="440"/>
        <w:rPr>
          <w:rFonts w:ascii="宋体" w:hAnsi="宋体" w:cs="Calibri"/>
          <w:sz w:val="22"/>
        </w:rPr>
      </w:pPr>
      <w:r>
        <w:rPr>
          <w:rFonts w:hint="eastAsia" w:ascii="宋体" w:hAnsi="宋体" w:cs="宋体"/>
          <w:sz w:val="22"/>
        </w:rPr>
        <w:t>七、 商务条款响应偏离表；</w:t>
      </w:r>
    </w:p>
    <w:p>
      <w:pPr>
        <w:adjustRightInd w:val="0"/>
        <w:snapToGrid w:val="0"/>
        <w:spacing w:line="360" w:lineRule="exact"/>
        <w:ind w:firstLine="440"/>
        <w:rPr>
          <w:rFonts w:ascii="宋体" w:hAnsi="宋体" w:cs="宋体"/>
          <w:sz w:val="22"/>
        </w:rPr>
      </w:pPr>
      <w:r>
        <w:rPr>
          <w:rFonts w:hint="eastAsia" w:ascii="宋体" w:hAnsi="宋体" w:cs="宋体"/>
          <w:sz w:val="22"/>
        </w:rPr>
        <w:t>八、技术参数、结构及性能特点等产品技术规格书；</w:t>
      </w:r>
    </w:p>
    <w:p>
      <w:pPr>
        <w:adjustRightInd w:val="0"/>
        <w:snapToGrid w:val="0"/>
        <w:spacing w:line="360" w:lineRule="exact"/>
        <w:ind w:firstLine="440"/>
        <w:rPr>
          <w:rFonts w:ascii="宋体" w:hAnsi="宋体" w:cs="宋体"/>
          <w:sz w:val="22"/>
        </w:rPr>
      </w:pPr>
      <w:r>
        <w:rPr>
          <w:rFonts w:hint="eastAsia" w:ascii="宋体" w:hAnsi="宋体" w:cs="宋体"/>
          <w:sz w:val="22"/>
        </w:rPr>
        <w:t>九、主要原材料生产厂家；</w:t>
      </w:r>
    </w:p>
    <w:p>
      <w:pPr>
        <w:adjustRightInd w:val="0"/>
        <w:snapToGrid w:val="0"/>
        <w:spacing w:line="360" w:lineRule="exact"/>
        <w:ind w:firstLine="440"/>
        <w:rPr>
          <w:rFonts w:ascii="宋体" w:hAnsi="宋体" w:cs="宋体"/>
          <w:sz w:val="22"/>
        </w:rPr>
      </w:pPr>
      <w:r>
        <w:rPr>
          <w:rFonts w:hint="eastAsia" w:ascii="宋体" w:hAnsi="宋体" w:cs="宋体"/>
          <w:sz w:val="22"/>
        </w:rPr>
        <w:t>十、产品制作、验收标准和验收方法；</w:t>
      </w:r>
    </w:p>
    <w:p>
      <w:pPr>
        <w:adjustRightInd w:val="0"/>
        <w:snapToGrid w:val="0"/>
        <w:spacing w:line="360" w:lineRule="exact"/>
        <w:ind w:firstLine="440"/>
        <w:rPr>
          <w:rFonts w:ascii="宋体" w:hAnsi="宋体" w:cs="宋体"/>
          <w:sz w:val="22"/>
        </w:rPr>
      </w:pPr>
      <w:r>
        <w:rPr>
          <w:rFonts w:hint="eastAsia" w:ascii="宋体" w:hAnsi="宋体" w:cs="宋体"/>
          <w:sz w:val="22"/>
        </w:rPr>
        <w:t>十一、</w:t>
      </w:r>
      <w:r>
        <w:rPr>
          <w:rFonts w:ascii="宋体" w:hAnsi="宋体" w:cs="宋体"/>
          <w:sz w:val="22"/>
        </w:rPr>
        <w:t>产品的技术服务和售后服务的内容、措施、承诺</w:t>
      </w:r>
      <w:r>
        <w:rPr>
          <w:rFonts w:hint="eastAsia" w:ascii="宋体" w:hAnsi="宋体" w:cs="宋体"/>
          <w:sz w:val="22"/>
        </w:rPr>
        <w:t>；</w:t>
      </w:r>
    </w:p>
    <w:p>
      <w:pPr>
        <w:adjustRightInd w:val="0"/>
        <w:snapToGrid w:val="0"/>
        <w:spacing w:line="360" w:lineRule="exact"/>
        <w:ind w:firstLine="440"/>
        <w:rPr>
          <w:rFonts w:ascii="宋体" w:hAnsi="宋体" w:cs="宋体"/>
          <w:sz w:val="22"/>
        </w:rPr>
      </w:pPr>
      <w:r>
        <w:rPr>
          <w:rFonts w:hint="eastAsia" w:ascii="宋体" w:hAnsi="宋体" w:cs="宋体"/>
          <w:sz w:val="22"/>
        </w:rPr>
        <w:t>十二、关于质量保证期的说明；</w:t>
      </w:r>
    </w:p>
    <w:p>
      <w:pPr>
        <w:adjustRightInd w:val="0"/>
        <w:snapToGrid w:val="0"/>
        <w:spacing w:line="360" w:lineRule="exact"/>
        <w:ind w:firstLine="440"/>
        <w:rPr>
          <w:rFonts w:ascii="宋体" w:hAnsi="宋体" w:cs="宋体"/>
          <w:sz w:val="22"/>
        </w:rPr>
      </w:pPr>
      <w:r>
        <w:rPr>
          <w:rFonts w:hint="eastAsia" w:ascii="宋体" w:hAnsi="宋体" w:cs="宋体"/>
          <w:sz w:val="22"/>
        </w:rPr>
        <w:t>十三、优惠条件：投标人承诺给予用户的其他优惠条款，包括付款条件、质量保证期等方面的优惠；</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rPr>
        <w:t>十四、</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80" w:name="_Toc171421958"/>
      <w:r>
        <w:rPr>
          <w:rFonts w:cs="Calibri"/>
          <w:color w:val="000000"/>
        </w:rPr>
        <w:t>封面</w:t>
      </w:r>
      <w:bookmarkEnd w:id="80"/>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采购</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r>
        <w:rPr>
          <w:rFonts w:cs="Calibri"/>
          <w:color w:val="000000"/>
        </w:rPr>
        <w:t xml:space="preserve">                  </w:t>
      </w: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杭州萧山国际机场</w:t>
      </w:r>
      <w:r>
        <w:rPr>
          <w:rFonts w:ascii="宋体" w:hAnsi="宋体"/>
          <w:sz w:val="22"/>
          <w:szCs w:val="22"/>
        </w:rPr>
        <w:t>有限公司</w:t>
      </w:r>
    </w:p>
    <w:p>
      <w:pPr>
        <w:overflowPunct w:val="0"/>
        <w:autoSpaceDE w:val="0"/>
        <w:autoSpaceDN w:val="0"/>
        <w:spacing w:line="440" w:lineRule="exact"/>
        <w:ind w:firstLine="440" w:firstLineChars="200"/>
        <w:rPr>
          <w:rFonts w:ascii="宋体" w:hAnsi="宋体"/>
          <w:sz w:val="22"/>
          <w:szCs w:val="22"/>
        </w:rPr>
      </w:pPr>
      <w:r>
        <w:rPr>
          <w:rFonts w:ascii="宋体" w:hAnsi="宋体"/>
          <w:sz w:val="22"/>
          <w:szCs w:val="22"/>
        </w:rPr>
        <w:t>根据贵方杭州萧山国际机场</w:t>
      </w:r>
      <w:r>
        <w:rPr>
          <w:rFonts w:hint="eastAsia" w:ascii="宋体" w:hAnsi="宋体"/>
          <w:sz w:val="22"/>
          <w:szCs w:val="22"/>
          <w:u w:val="single"/>
        </w:rPr>
        <w:t xml:space="preserve">             </w:t>
      </w:r>
      <w:r>
        <w:rPr>
          <w:rFonts w:ascii="宋体" w:hAnsi="宋体"/>
          <w:sz w:val="22"/>
          <w:szCs w:val="22"/>
        </w:rPr>
        <w:t>采购项</w:t>
      </w:r>
      <w:r>
        <w:rPr>
          <w:rFonts w:hint="eastAsia" w:ascii="宋体" w:hAnsi="宋体"/>
          <w:sz w:val="22"/>
          <w:szCs w:val="22"/>
        </w:rPr>
        <w:t>目</w:t>
      </w:r>
      <w:r>
        <w:rPr>
          <w:rFonts w:ascii="宋体" w:hAnsi="宋体"/>
          <w:sz w:val="22"/>
          <w:szCs w:val="22"/>
        </w:rPr>
        <w:t>的</w:t>
      </w:r>
      <w:r>
        <w:rPr>
          <w:rFonts w:hint="eastAsia" w:ascii="宋体" w:hAnsi="宋体"/>
          <w:sz w:val="22"/>
          <w:szCs w:val="22"/>
        </w:rPr>
        <w:t>招标文件</w:t>
      </w:r>
      <w:r>
        <w:rPr>
          <w:rFonts w:ascii="宋体" w:hAnsi="宋体"/>
          <w:sz w:val="22"/>
          <w:szCs w:val="22"/>
        </w:rPr>
        <w:t>，授权代表</w:t>
      </w:r>
      <w:r>
        <w:rPr>
          <w:rFonts w:ascii="宋体" w:hAnsi="宋体" w:cs="Arial"/>
          <w:sz w:val="22"/>
          <w:szCs w:val="22"/>
          <w:u w:val="single"/>
        </w:rPr>
        <w:t xml:space="preserve">        </w:t>
      </w:r>
      <w:r>
        <w:rPr>
          <w:rFonts w:ascii="宋体" w:hAnsi="宋体"/>
          <w:sz w:val="22"/>
          <w:szCs w:val="22"/>
        </w:rPr>
        <w:t>(全名、职务)经正式授权</w:t>
      </w:r>
      <w:r>
        <w:rPr>
          <w:rFonts w:hint="eastAsia" w:ascii="宋体" w:hAnsi="宋体"/>
          <w:sz w:val="22"/>
          <w:szCs w:val="22"/>
        </w:rPr>
        <w:t>，</w:t>
      </w:r>
      <w:r>
        <w:rPr>
          <w:rFonts w:ascii="宋体" w:hAnsi="宋体"/>
          <w:sz w:val="22"/>
          <w:szCs w:val="22"/>
        </w:rPr>
        <w:t>代表投标人</w:t>
      </w:r>
      <w:r>
        <w:rPr>
          <w:rFonts w:ascii="宋体" w:hAnsi="宋体" w:cs="Arial"/>
          <w:sz w:val="22"/>
          <w:szCs w:val="22"/>
          <w:u w:val="single"/>
        </w:rPr>
        <w:t xml:space="preserve">                    </w:t>
      </w:r>
      <w:r>
        <w:rPr>
          <w:rFonts w:ascii="宋体" w:hAnsi="宋体"/>
          <w:sz w:val="22"/>
          <w:szCs w:val="22"/>
        </w:rPr>
        <w:t>(投标人名称、地址)递交下述文件正本一份</w:t>
      </w:r>
      <w:r>
        <w:rPr>
          <w:rFonts w:hint="eastAsia" w:ascii="宋体" w:hAnsi="宋体"/>
          <w:sz w:val="22"/>
          <w:szCs w:val="22"/>
        </w:rPr>
        <w:t>、</w:t>
      </w:r>
      <w:r>
        <w:rPr>
          <w:rFonts w:ascii="宋体" w:hAnsi="宋体"/>
          <w:sz w:val="22"/>
          <w:szCs w:val="22"/>
        </w:rPr>
        <w:t>副本</w:t>
      </w:r>
      <w:r>
        <w:rPr>
          <w:rFonts w:hint="eastAsia" w:ascii="宋体" w:hAnsi="宋体"/>
          <w:sz w:val="22"/>
          <w:szCs w:val="22"/>
        </w:rPr>
        <w:t>二</w:t>
      </w:r>
      <w:r>
        <w:rPr>
          <w:rFonts w:ascii="宋体" w:hAnsi="宋体"/>
          <w:sz w:val="22"/>
          <w:szCs w:val="22"/>
        </w:rPr>
        <w:t>份。</w:t>
      </w:r>
    </w:p>
    <w:p>
      <w:pPr>
        <w:overflowPunct w:val="0"/>
        <w:autoSpaceDE w:val="0"/>
        <w:autoSpaceDN w:val="0"/>
        <w:spacing w:line="440" w:lineRule="exact"/>
        <w:ind w:firstLine="440" w:firstLineChars="200"/>
        <w:rPr>
          <w:rFonts w:ascii="宋体" w:hAnsi="宋体" w:cs="Arial"/>
          <w:sz w:val="22"/>
          <w:szCs w:val="22"/>
        </w:rPr>
      </w:pPr>
      <w:r>
        <w:rPr>
          <w:rFonts w:ascii="宋体" w:hAnsi="宋体" w:cs="Arial"/>
          <w:sz w:val="22"/>
          <w:szCs w:val="22"/>
        </w:rPr>
        <w:t>据此函，本授权代表宣布同意如下：</w:t>
      </w:r>
    </w:p>
    <w:p>
      <w:pPr>
        <w:numPr>
          <w:ilvl w:val="0"/>
          <w:numId w:val="7"/>
        </w:numPr>
        <w:tabs>
          <w:tab w:val="left" w:pos="840"/>
        </w:tabs>
        <w:overflowPunct w:val="0"/>
        <w:autoSpaceDE w:val="0"/>
        <w:autoSpaceDN w:val="0"/>
        <w:spacing w:line="440" w:lineRule="exact"/>
        <w:rPr>
          <w:rFonts w:ascii="宋体" w:hAnsi="宋体"/>
          <w:sz w:val="22"/>
          <w:szCs w:val="22"/>
        </w:rPr>
      </w:pPr>
      <w:r>
        <w:rPr>
          <w:rFonts w:ascii="宋体" w:hAnsi="宋体"/>
          <w:sz w:val="22"/>
          <w:szCs w:val="22"/>
        </w:rPr>
        <w:t>所投标报价汇总表中规定的应提供的货物和服务，投标总价为人民币：</w:t>
      </w:r>
    </w:p>
    <w:p>
      <w:pPr>
        <w:overflowPunct w:val="0"/>
        <w:autoSpaceDE w:val="0"/>
        <w:autoSpaceDN w:val="0"/>
        <w:spacing w:line="440" w:lineRule="exact"/>
        <w:ind w:left="475" w:leftChars="198" w:firstLine="440" w:firstLineChars="200"/>
        <w:rPr>
          <w:rFonts w:ascii="宋体" w:hAnsi="宋体"/>
          <w:sz w:val="22"/>
          <w:szCs w:val="22"/>
        </w:rPr>
      </w:pPr>
      <w:r>
        <w:rPr>
          <w:rFonts w:ascii="宋体" w:hAnsi="宋体"/>
          <w:sz w:val="22"/>
          <w:szCs w:val="22"/>
        </w:rPr>
        <w:t>(大写)</w:t>
      </w:r>
      <w:r>
        <w:rPr>
          <w:rFonts w:hint="eastAsia" w:ascii="宋体" w:hAnsi="宋体"/>
          <w:sz w:val="22"/>
          <w:szCs w:val="22"/>
          <w:u w:val="single"/>
        </w:rPr>
        <w:t xml:space="preserve">                   </w:t>
      </w:r>
      <w:r>
        <w:rPr>
          <w:rFonts w:ascii="宋体" w:hAnsi="宋体"/>
          <w:sz w:val="22"/>
          <w:szCs w:val="22"/>
        </w:rPr>
        <w:t>(小写)</w:t>
      </w:r>
      <w:r>
        <w:rPr>
          <w:rFonts w:ascii="宋体" w:hAnsi="宋体"/>
          <w:sz w:val="22"/>
          <w:szCs w:val="22"/>
          <w:u w:val="single"/>
        </w:rPr>
        <w:t xml:space="preserve">             </w:t>
      </w:r>
      <w:r>
        <w:rPr>
          <w:rFonts w:ascii="宋体" w:hAnsi="宋体"/>
          <w:sz w:val="22"/>
          <w:szCs w:val="22"/>
        </w:rPr>
        <w:t>。</w:t>
      </w:r>
    </w:p>
    <w:p>
      <w:pPr>
        <w:overflowPunct w:val="0"/>
        <w:autoSpaceDE w:val="0"/>
        <w:autoSpaceDN w:val="0"/>
        <w:spacing w:line="440" w:lineRule="exact"/>
        <w:ind w:left="475" w:leftChars="198" w:firstLine="440" w:firstLineChars="200"/>
        <w:rPr>
          <w:rFonts w:ascii="宋体" w:hAnsi="宋体"/>
          <w:sz w:val="22"/>
          <w:szCs w:val="22"/>
        </w:rPr>
      </w:pPr>
      <w:r>
        <w:rPr>
          <w:rFonts w:hint="eastAsia" w:ascii="宋体" w:hAnsi="宋体"/>
          <w:sz w:val="22"/>
          <w:szCs w:val="22"/>
        </w:rPr>
        <w:t>供货期：合同签订后</w:t>
      </w:r>
      <w:r>
        <w:rPr>
          <w:rFonts w:hint="eastAsia" w:ascii="宋体" w:hAnsi="宋体"/>
          <w:sz w:val="22"/>
          <w:szCs w:val="22"/>
          <w:u w:val="single"/>
        </w:rPr>
        <w:t xml:space="preserve">      </w:t>
      </w:r>
      <w:r>
        <w:rPr>
          <w:rFonts w:hint="eastAsia" w:ascii="宋体" w:hAnsi="宋体"/>
          <w:sz w:val="22"/>
          <w:szCs w:val="22"/>
        </w:rPr>
        <w:t>日历天、投标品牌：</w:t>
      </w:r>
      <w:r>
        <w:rPr>
          <w:rFonts w:hint="eastAsia" w:ascii="宋体" w:hAnsi="宋体"/>
          <w:sz w:val="22"/>
          <w:szCs w:val="22"/>
          <w:u w:val="single"/>
        </w:rPr>
        <w:t xml:space="preserve">        </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投标人将按投标文件的规定履行合同责任和义务。</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投标人已详细审查全部招标文件包括澄清函和修改文件(如果有)、所有已提供的资料以及有关附件，</w:t>
      </w:r>
      <w:r>
        <w:rPr>
          <w:rFonts w:hint="eastAsia"/>
          <w:sz w:val="22"/>
          <w:szCs w:val="22"/>
        </w:rPr>
        <w:t>投标人已完全理解上述文件的全部内容，并放弃提出任何误解或不明作为抗辩的权利</w:t>
      </w:r>
      <w:r>
        <w:rPr>
          <w:rFonts w:ascii="宋体" w:hAnsi="宋体"/>
          <w:sz w:val="22"/>
          <w:szCs w:val="22"/>
        </w:rPr>
        <w:t>。</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本投标的投标有效期为自</w:t>
      </w:r>
      <w:r>
        <w:rPr>
          <w:rFonts w:hint="eastAsia" w:ascii="宋体" w:hAnsi="宋体"/>
          <w:sz w:val="22"/>
          <w:szCs w:val="22"/>
        </w:rPr>
        <w:t>投标截止</w:t>
      </w:r>
      <w:r>
        <w:rPr>
          <w:rFonts w:ascii="宋体" w:hAnsi="宋体"/>
          <w:sz w:val="22"/>
          <w:szCs w:val="22"/>
        </w:rPr>
        <w:t>之日起</w:t>
      </w:r>
      <w:r>
        <w:rPr>
          <w:rFonts w:hint="eastAsia" w:ascii="宋体" w:hAnsi="宋体"/>
          <w:sz w:val="22"/>
          <w:szCs w:val="22"/>
        </w:rPr>
        <w:t>120</w:t>
      </w:r>
      <w:r>
        <w:rPr>
          <w:rFonts w:ascii="宋体" w:hAnsi="宋体"/>
          <w:sz w:val="22"/>
          <w:szCs w:val="22"/>
        </w:rPr>
        <w:t>日</w:t>
      </w:r>
      <w:r>
        <w:rPr>
          <w:rFonts w:hint="eastAsia" w:ascii="宋体" w:hAnsi="宋体"/>
          <w:sz w:val="22"/>
          <w:szCs w:val="22"/>
        </w:rPr>
        <w:t>内</w:t>
      </w:r>
      <w:r>
        <w:rPr>
          <w:rFonts w:ascii="宋体" w:hAnsi="宋体"/>
          <w:sz w:val="22"/>
          <w:szCs w:val="22"/>
        </w:rPr>
        <w:t>。</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投标人完全清楚并理解在投标有效期期满之前撤回投标，招标人有权</w:t>
      </w:r>
      <w:r>
        <w:rPr>
          <w:rFonts w:hint="eastAsia" w:ascii="宋体" w:hAnsi="宋体" w:cs="宋体"/>
          <w:sz w:val="22"/>
          <w:szCs w:val="22"/>
        </w:rPr>
        <w:t>不予退还</w:t>
      </w:r>
      <w:r>
        <w:rPr>
          <w:rFonts w:ascii="宋体" w:hAnsi="宋体"/>
          <w:sz w:val="22"/>
          <w:szCs w:val="22"/>
        </w:rPr>
        <w:t>投标人的</w:t>
      </w:r>
      <w:r>
        <w:rPr>
          <w:rFonts w:hint="eastAsia" w:ascii="宋体" w:hAnsi="宋体"/>
          <w:sz w:val="22"/>
          <w:szCs w:val="22"/>
        </w:rPr>
        <w:t>投标保证金及银行同期存款利息</w:t>
      </w:r>
      <w:r>
        <w:rPr>
          <w:rFonts w:ascii="宋体" w:hAnsi="宋体"/>
          <w:sz w:val="22"/>
          <w:szCs w:val="22"/>
        </w:rPr>
        <w:t>。</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投标人同意按照贵方可能提出的要求提供与其投标有关的任何其它数字或资料，并对贵方可能不接受最低价投标及任何投标表示理解。</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如果我方中标，我方将提供金额相当于合同价的10%的履约保证金，作为履行合同的担保。</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投标人：（盖单位章）</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法定代表人或其委托代理人：（签字或盖章）</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地    址：</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邮政编码：</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电    话：</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传    真：</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开户银行：</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账    号：</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szCs w:val="22"/>
          <w:u w:val="single"/>
        </w:rPr>
      </w:pPr>
      <w:r>
        <w:rPr>
          <w:rFonts w:cs="Calibri"/>
          <w:color w:val="000000"/>
          <w:sz w:val="22"/>
          <w:szCs w:val="22"/>
        </w:rPr>
        <w:t>投标人名称：</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单位性质：</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地址：</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成立时间：</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pacing w:after="120" w:afterLines="50" w:line="440" w:lineRule="exact"/>
        <w:rPr>
          <w:rFonts w:cs="Calibri"/>
          <w:color w:val="000000"/>
          <w:sz w:val="22"/>
          <w:szCs w:val="22"/>
          <w:u w:val="single"/>
        </w:rPr>
      </w:pPr>
      <w:r>
        <w:rPr>
          <w:rFonts w:cs="Calibri"/>
          <w:color w:val="000000"/>
          <w:sz w:val="22"/>
          <w:szCs w:val="22"/>
        </w:rPr>
        <w:t>经营期限：</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姓名：</w:t>
      </w:r>
      <w:r>
        <w:rPr>
          <w:rFonts w:cs="Calibri"/>
          <w:color w:val="000000"/>
          <w:sz w:val="22"/>
          <w:szCs w:val="22"/>
          <w:u w:val="single"/>
        </w:rPr>
        <w:t xml:space="preserve">         </w:t>
      </w:r>
      <w:r>
        <w:rPr>
          <w:rFonts w:cs="Calibri"/>
          <w:color w:val="000000"/>
          <w:sz w:val="22"/>
          <w:szCs w:val="22"/>
        </w:rPr>
        <w:t xml:space="preserve">  性别：</w:t>
      </w:r>
      <w:r>
        <w:rPr>
          <w:rFonts w:cs="Calibri"/>
          <w:color w:val="000000"/>
          <w:sz w:val="22"/>
          <w:szCs w:val="22"/>
          <w:u w:val="single"/>
        </w:rPr>
        <w:t xml:space="preserve">         </w:t>
      </w:r>
      <w:r>
        <w:rPr>
          <w:rFonts w:cs="Calibri"/>
          <w:color w:val="000000"/>
          <w:sz w:val="22"/>
          <w:szCs w:val="22"/>
        </w:rPr>
        <w:t xml:space="preserve">  年龄：</w:t>
      </w:r>
      <w:r>
        <w:rPr>
          <w:rFonts w:cs="Calibri"/>
          <w:color w:val="000000"/>
          <w:sz w:val="22"/>
          <w:szCs w:val="22"/>
          <w:u w:val="single"/>
        </w:rPr>
        <w:t xml:space="preserve">         </w:t>
      </w:r>
      <w:r>
        <w:rPr>
          <w:rFonts w:cs="Calibri"/>
          <w:color w:val="000000"/>
          <w:sz w:val="22"/>
          <w:szCs w:val="22"/>
        </w:rPr>
        <w:t xml:space="preserve">  职务：</w:t>
      </w:r>
      <w:r>
        <w:rPr>
          <w:rFonts w:cs="Calibri"/>
          <w:color w:val="000000"/>
          <w:sz w:val="22"/>
          <w:szCs w:val="22"/>
          <w:u w:val="single"/>
        </w:rPr>
        <w:t xml:space="preserve">         </w:t>
      </w:r>
      <w:r>
        <w:rPr>
          <w:rFonts w:cs="Calibri"/>
          <w:color w:val="000000"/>
          <w:sz w:val="22"/>
          <w:szCs w:val="22"/>
        </w:rPr>
        <w:t xml:space="preserve">  </w:t>
      </w:r>
    </w:p>
    <w:p>
      <w:pPr>
        <w:spacing w:after="120" w:afterLines="50" w:line="440" w:lineRule="exact"/>
        <w:rPr>
          <w:rFonts w:cs="Calibri"/>
          <w:color w:val="000000"/>
          <w:sz w:val="22"/>
          <w:szCs w:val="22"/>
          <w:u w:val="single"/>
        </w:rPr>
      </w:pPr>
      <w:r>
        <w:rPr>
          <w:rFonts w:cs="Calibri"/>
          <w:color w:val="000000"/>
          <w:sz w:val="22"/>
          <w:szCs w:val="22"/>
        </w:rPr>
        <w:t>身份证号码：</w:t>
      </w:r>
      <w:r>
        <w:rPr>
          <w:rFonts w:cs="Calibri"/>
          <w:color w:val="000000"/>
          <w:sz w:val="22"/>
          <w:szCs w:val="22"/>
          <w:u w:val="single"/>
        </w:rPr>
        <w:t xml:space="preserve">                           </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 xml:space="preserve">    系</w:t>
      </w:r>
      <w:r>
        <w:rPr>
          <w:rFonts w:cs="Calibri"/>
          <w:color w:val="000000"/>
          <w:sz w:val="22"/>
          <w:szCs w:val="22"/>
          <w:u w:val="single"/>
        </w:rPr>
        <w:t xml:space="preserve">                          </w:t>
      </w:r>
      <w:r>
        <w:rPr>
          <w:rFonts w:cs="Calibri"/>
          <w:color w:val="000000"/>
          <w:sz w:val="22"/>
          <w:szCs w:val="22"/>
        </w:rPr>
        <w:t>（投标人名称）的法定代表人。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 xml:space="preserve">投标人：（盖单位章） </w:t>
      </w:r>
    </w:p>
    <w:p>
      <w:pPr>
        <w:spacing w:line="440" w:lineRule="exact"/>
        <w:ind w:firstLine="4936" w:firstLineChars="2235"/>
        <w:rPr>
          <w:rFonts w:cs="Calibri"/>
          <w:b/>
          <w:color w:val="000000"/>
          <w:sz w:val="22"/>
          <w:szCs w:val="22"/>
        </w:rPr>
      </w:pPr>
      <w:r>
        <w:rPr>
          <w:rFonts w:cs="Calibri"/>
          <w:b/>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803275</wp:posOffset>
                </wp:positionV>
                <wp:extent cx="5372100" cy="2179320"/>
                <wp:effectExtent l="5080" t="4445" r="13970" b="6985"/>
                <wp:wrapSquare wrapText="bothSides"/>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0pt;margin-top:63.25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MzC8j1wAAAAgB&#10;AAAPAAAAAAAAAAEAIAAAACIAAABkcnMvZG93bnJldi54bWxQSwECFAAUAAAACACHTuJAfeOQExwC&#10;AABHBAAADgAAAAAAAAABACAAAAAmAQAAZHJzL2Uyb0RvYy54bWxQSwUGAAAAAAYABgBZAQAAtAUA&#10;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 w:val="22"/>
          <w:szCs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w:t>
      </w:r>
      <w:r>
        <w:rPr>
          <w:rFonts w:cs="Calibri"/>
          <w:color w:val="000000"/>
          <w:sz w:val="22"/>
          <w:szCs w:val="22"/>
          <w:u w:val="single"/>
        </w:rPr>
        <w:t xml:space="preserve">        </w:t>
      </w:r>
      <w:r>
        <w:rPr>
          <w:rFonts w:cs="Calibri"/>
          <w:color w:val="000000"/>
          <w:sz w:val="22"/>
          <w:szCs w:val="22"/>
        </w:rPr>
        <w:t>（姓名）系</w:t>
      </w:r>
      <w:r>
        <w:rPr>
          <w:rFonts w:cs="Calibri"/>
          <w:color w:val="000000"/>
          <w:sz w:val="22"/>
          <w:szCs w:val="22"/>
          <w:u w:val="single"/>
        </w:rPr>
        <w:t xml:space="preserve">                </w:t>
      </w:r>
      <w:r>
        <w:rPr>
          <w:rFonts w:cs="Calibri"/>
          <w:color w:val="000000"/>
          <w:sz w:val="22"/>
          <w:szCs w:val="22"/>
        </w:rPr>
        <w:t>（投标人名称）的法定代表人，现委托</w:t>
      </w:r>
      <w:r>
        <w:rPr>
          <w:rFonts w:cs="Calibri"/>
          <w:color w:val="000000"/>
          <w:sz w:val="22"/>
          <w:szCs w:val="22"/>
          <w:u w:val="single"/>
        </w:rPr>
        <w:t xml:space="preserve">      </w:t>
      </w:r>
      <w:r>
        <w:rPr>
          <w:rFonts w:cs="Calibri"/>
          <w:color w:val="000000"/>
          <w:sz w:val="22"/>
          <w:szCs w:val="22"/>
        </w:rPr>
        <w:t>（姓名）为我方代理人。代理人根据授权，以我方名义签署、澄清、说明、补正、递交、撤回、修改</w:t>
      </w:r>
      <w:r>
        <w:rPr>
          <w:rFonts w:cs="Calibri"/>
          <w:color w:val="000000"/>
          <w:sz w:val="22"/>
          <w:szCs w:val="22"/>
          <w:u w:val="single"/>
        </w:rPr>
        <w:t xml:space="preserve">              </w:t>
      </w:r>
      <w:r>
        <w:rPr>
          <w:rFonts w:cs="Calibri"/>
          <w:color w:val="000000"/>
          <w:sz w:val="22"/>
          <w:szCs w:val="22"/>
        </w:rPr>
        <w:t>（项目名称）投标文件、签订合同和处理有关事宜，其法律后果由我方承担。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k96wdcAAAAJ&#10;AQAADwAAAAAAAAABACAAAAAiAAAAZHJzL2Rvd25yZXYueG1sUEsBAhQAFAAAAAgAh07iQI+uuFgd&#10;AgAARwQAAA4AAAAAAAAAAQAgAAAAJgEAAGRycy9lMm9Eb2MueG1sUEsFBgAAAAAGAAYAWQEAALUF&#10;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r>
        <w:rPr>
          <w:rFonts w:cs="Calibri"/>
          <w:b/>
          <w:bCs/>
          <w:color w:val="000000"/>
          <w:sz w:val="22"/>
          <w:szCs w:val="22"/>
        </w:rPr>
        <w:t xml:space="preserve">     </w:t>
      </w:r>
    </w:p>
    <w:p>
      <w:pPr>
        <w:spacing w:line="360" w:lineRule="auto"/>
        <w:jc w:val="left"/>
        <w:rPr>
          <w:rFonts w:ascii="宋体" w:hAnsi="宋体" w:cs="宋体"/>
          <w:sz w:val="22"/>
        </w:rPr>
      </w:pPr>
    </w:p>
    <w:p>
      <w:pPr>
        <w:pStyle w:val="31"/>
        <w:spacing w:after="120" w:afterLines="50" w:line="360" w:lineRule="auto"/>
        <w:jc w:val="left"/>
        <w:rPr>
          <w:rFonts w:hAnsi="宋体" w:cs="宋体"/>
          <w:b/>
        </w:rPr>
      </w:pPr>
      <w:r>
        <w:rPr>
          <w:rFonts w:hAnsi="宋体" w:cs="宋体"/>
          <w:b/>
        </w:rPr>
        <w:br w:type="page"/>
      </w:r>
      <w:bookmarkStart w:id="81" w:name="_Toc133214102"/>
      <w:bookmarkStart w:id="82" w:name="_Toc133214309"/>
      <w:bookmarkStart w:id="83" w:name="_Toc133470542"/>
      <w:bookmarkStart w:id="84" w:name="_Toc137373398"/>
      <w:bookmarkStart w:id="85" w:name="_Toc144265958"/>
    </w:p>
    <w:p>
      <w:pPr>
        <w:pStyle w:val="31"/>
        <w:spacing w:after="120" w:afterLines="50" w:line="360" w:lineRule="auto"/>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四、投标报价表</w:t>
      </w:r>
    </w:p>
    <w:p>
      <w:pPr>
        <w:pStyle w:val="31"/>
        <w:spacing w:after="120" w:afterLines="50" w:line="360" w:lineRule="auto"/>
        <w:jc w:val="center"/>
        <w:rPr>
          <w:rFonts w:hAnsi="宋体" w:cs="宋体"/>
        </w:rPr>
      </w:pPr>
    </w:p>
    <w:p>
      <w:pPr>
        <w:pStyle w:val="31"/>
        <w:numPr>
          <w:ilvl w:val="1"/>
          <w:numId w:val="8"/>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本总则上列各条中提及的“投标人”在合同执行过程中应作为“卖方”解释。</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bookmarkEnd w:id="81"/>
    <w:bookmarkEnd w:id="82"/>
    <w:bookmarkEnd w:id="83"/>
    <w:bookmarkEnd w:id="84"/>
    <w:bookmarkEnd w:id="85"/>
    <w:p>
      <w:pPr>
        <w:snapToGrid w:val="0"/>
        <w:spacing w:before="120" w:beforeLines="50" w:line="360" w:lineRule="exact"/>
        <w:ind w:left="1134"/>
        <w:rPr>
          <w:rFonts w:ascii="宋体" w:hAnsi="宋体" w:cs="宋体"/>
          <w:sz w:val="22"/>
        </w:rPr>
      </w:pPr>
      <w:r>
        <w:rPr>
          <w:rFonts w:hint="eastAsia" w:ascii="宋体" w:hAnsi="宋体" w:cs="宋体"/>
          <w:sz w:val="22"/>
        </w:rPr>
        <w:t>(1)投标报价汇总表</w:t>
      </w:r>
    </w:p>
    <w:p>
      <w:pPr>
        <w:snapToGrid w:val="0"/>
        <w:spacing w:before="120" w:beforeLines="50" w:line="360" w:lineRule="exact"/>
        <w:ind w:left="1134"/>
        <w:rPr>
          <w:rFonts w:ascii="宋体" w:hAnsi="宋体" w:cs="宋体"/>
          <w:sz w:val="22"/>
        </w:rPr>
      </w:pPr>
      <w:r>
        <w:rPr>
          <w:rFonts w:hint="eastAsia" w:ascii="宋体" w:hAnsi="宋体" w:cs="宋体"/>
          <w:sz w:val="22"/>
        </w:rPr>
        <w:t>(2)分项报价表</w:t>
      </w:r>
    </w:p>
    <w:p>
      <w:pPr>
        <w:snapToGrid w:val="0"/>
        <w:spacing w:before="120" w:beforeLines="50" w:line="360" w:lineRule="exact"/>
        <w:ind w:left="1134"/>
        <w:rPr>
          <w:rFonts w:ascii="宋体" w:hAnsi="宋体" w:cs="宋体"/>
          <w:sz w:val="22"/>
        </w:rPr>
      </w:pP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 xml:space="preserve"> 投标报价汇总表</w:t>
      </w:r>
    </w:p>
    <w:p>
      <w:pPr>
        <w:spacing w:line="360" w:lineRule="auto"/>
        <w:rPr>
          <w:rFonts w:ascii="宋体" w:hAnsi="宋体" w:cs="宋体"/>
        </w:rPr>
      </w:pPr>
    </w:p>
    <w:p>
      <w:pPr>
        <w:spacing w:line="360" w:lineRule="auto"/>
        <w:jc w:val="right"/>
        <w:rPr>
          <w:rFonts w:ascii="宋体" w:hAnsi="宋体" w:cs="宋体"/>
          <w:sz w:val="22"/>
        </w:rPr>
      </w:pPr>
      <w:r>
        <w:rPr>
          <w:rFonts w:hint="eastAsia" w:ascii="宋体" w:hAnsi="宋体" w:cs="宋体"/>
          <w:sz w:val="22"/>
        </w:rPr>
        <w:t>[货币单位：人民币元]</w:t>
      </w:r>
    </w:p>
    <w:tbl>
      <w:tblPr>
        <w:tblStyle w:val="58"/>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分项报价表(表4.2)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spacing w:line="360" w:lineRule="auto"/>
        <w:jc w:val="right"/>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注：</w:t>
      </w:r>
    </w:p>
    <w:p>
      <w:pPr>
        <w:numPr>
          <w:ilvl w:val="2"/>
          <w:numId w:val="10"/>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此表的“总计”系所有需招标人支付的投标金额总数即投标总价，投标总价中已包含投标人完成本招标项目的一切费用包括税费。</w:t>
      </w:r>
    </w:p>
    <w:p>
      <w:pPr>
        <w:numPr>
          <w:ilvl w:val="2"/>
          <w:numId w:val="10"/>
        </w:numPr>
        <w:adjustRightInd w:val="0"/>
        <w:snapToGrid w:val="0"/>
        <w:spacing w:line="360" w:lineRule="auto"/>
        <w:jc w:val="left"/>
        <w:textAlignment w:val="baseline"/>
        <w:rPr>
          <w:rFonts w:ascii="宋体" w:hAnsi="宋体" w:cs="宋体"/>
          <w:sz w:val="22"/>
        </w:rPr>
      </w:pPr>
    </w:p>
    <w:p>
      <w:pPr>
        <w:snapToGrid w:val="0"/>
        <w:spacing w:line="360" w:lineRule="auto"/>
        <w:rPr>
          <w:rFonts w:ascii="宋体" w:hAnsi="宋体" w:cs="宋体"/>
          <w:sz w:val="22"/>
        </w:rPr>
      </w:pPr>
    </w:p>
    <w:p>
      <w:pPr>
        <w:spacing w:before="120" w:beforeLines="50" w:line="360" w:lineRule="auto"/>
        <w:ind w:firstLine="3960"/>
        <w:rPr>
          <w:rFonts w:ascii="宋体" w:hAnsi="宋体" w:cs="宋体"/>
        </w:rPr>
      </w:pPr>
      <w:bookmarkStart w:id="86" w:name="_Toc137373399"/>
      <w:bookmarkStart w:id="87" w:name="_Toc133470544"/>
      <w:bookmarkStart w:id="88" w:name="_Toc133214310"/>
      <w:bookmarkStart w:id="89" w:name="_Toc133214103"/>
    </w:p>
    <w:p>
      <w:pPr>
        <w:spacing w:line="360" w:lineRule="auto"/>
        <w:jc w:val="center"/>
        <w:rPr>
          <w:rFonts w:ascii="宋体" w:hAnsi="宋体" w:cs="宋体"/>
          <w:b/>
          <w:sz w:val="32"/>
          <w:szCs w:val="32"/>
        </w:rPr>
      </w:pPr>
      <w:bookmarkStart w:id="90" w:name="_Toc144265959"/>
      <w:r>
        <w:rPr>
          <w:rFonts w:hint="eastAsia" w:ascii="宋体" w:hAnsi="宋体" w:cs="宋体"/>
          <w:b/>
          <w:sz w:val="32"/>
          <w:szCs w:val="32"/>
        </w:rPr>
        <w:br w:type="page"/>
      </w:r>
    </w:p>
    <w:bookmarkEnd w:id="86"/>
    <w:bookmarkEnd w:id="87"/>
    <w:bookmarkEnd w:id="88"/>
    <w:bookmarkEnd w:id="89"/>
    <w:bookmarkEnd w:id="90"/>
    <w:p>
      <w:pPr>
        <w:snapToGrid w:val="0"/>
        <w:spacing w:line="360" w:lineRule="auto"/>
        <w:jc w:val="center"/>
        <w:rPr>
          <w:rFonts w:ascii="宋体" w:hAnsi="宋体" w:cs="宋体"/>
          <w:b/>
          <w:sz w:val="32"/>
          <w:szCs w:val="32"/>
        </w:rPr>
      </w:pPr>
      <w:r>
        <w:rPr>
          <w:rFonts w:hint="eastAsia" w:ascii="宋体" w:hAnsi="宋体" w:cs="宋体"/>
          <w:b/>
          <w:sz w:val="32"/>
          <w:szCs w:val="32"/>
        </w:rPr>
        <w:t>分项报价表</w:t>
      </w:r>
    </w:p>
    <w:p>
      <w:pPr>
        <w:spacing w:line="360" w:lineRule="auto"/>
        <w:rPr>
          <w:rFonts w:ascii="宋体" w:hAnsi="宋体" w:cs="宋体"/>
          <w:bCs/>
          <w:sz w:val="22"/>
        </w:rPr>
      </w:pPr>
    </w:p>
    <w:tbl>
      <w:tblPr>
        <w:tblStyle w:val="58"/>
        <w:tblW w:w="940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523"/>
        <w:gridCol w:w="1134"/>
        <w:gridCol w:w="1032"/>
        <w:gridCol w:w="755"/>
        <w:gridCol w:w="637"/>
        <w:gridCol w:w="578"/>
        <w:gridCol w:w="153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2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名称</w:t>
            </w:r>
          </w:p>
        </w:tc>
        <w:tc>
          <w:tcPr>
            <w:tcW w:w="113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3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vMerge w:val="continue"/>
            <w:shd w:val="clear" w:color="auto" w:fill="auto"/>
            <w:vAlign w:val="center"/>
          </w:tcPr>
          <w:p>
            <w:pPr>
              <w:widowControl/>
              <w:jc w:val="left"/>
              <w:rPr>
                <w:rFonts w:ascii="宋体" w:hAnsi="宋体" w:cs="宋体"/>
                <w:b/>
                <w:bCs/>
                <w:kern w:val="0"/>
                <w:sz w:val="20"/>
              </w:rPr>
            </w:pPr>
          </w:p>
        </w:tc>
        <w:tc>
          <w:tcPr>
            <w:tcW w:w="1523" w:type="dxa"/>
            <w:vMerge w:val="continue"/>
            <w:shd w:val="clear" w:color="auto" w:fill="auto"/>
            <w:vAlign w:val="center"/>
          </w:tcPr>
          <w:p>
            <w:pPr>
              <w:widowControl/>
              <w:jc w:val="left"/>
              <w:rPr>
                <w:rFonts w:ascii="宋体" w:hAnsi="宋体" w:cs="宋体"/>
                <w:b/>
                <w:bCs/>
                <w:kern w:val="0"/>
                <w:sz w:val="20"/>
              </w:rPr>
            </w:pPr>
          </w:p>
        </w:tc>
        <w:tc>
          <w:tcPr>
            <w:tcW w:w="1134" w:type="dxa"/>
            <w:vMerge w:val="continue"/>
            <w:shd w:val="clear" w:color="auto" w:fill="auto"/>
            <w:vAlign w:val="center"/>
          </w:tcPr>
          <w:p>
            <w:pPr>
              <w:widowControl/>
              <w:jc w:val="left"/>
              <w:rPr>
                <w:rFonts w:ascii="宋体" w:hAnsi="宋体" w:cs="宋体"/>
                <w:b/>
                <w:bCs/>
                <w:kern w:val="0"/>
                <w:sz w:val="20"/>
              </w:rPr>
            </w:pPr>
          </w:p>
        </w:tc>
        <w:tc>
          <w:tcPr>
            <w:tcW w:w="1032"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center"/>
              <w:rPr>
                <w:rFonts w:ascii="宋体" w:hAnsi="宋体" w:cs="宋体"/>
                <w:b/>
                <w:bCs/>
                <w:kern w:val="0"/>
                <w:sz w:val="20"/>
              </w:rPr>
            </w:pPr>
          </w:p>
        </w:tc>
        <w:tc>
          <w:tcPr>
            <w:tcW w:w="1032" w:type="dxa"/>
            <w:shd w:val="clear" w:color="000000" w:fill="FFFFFF"/>
            <w:vAlign w:val="center"/>
          </w:tcPr>
          <w:p>
            <w:pPr>
              <w:widowControl/>
              <w:jc w:val="center"/>
              <w:rPr>
                <w:rFonts w:ascii="宋体" w:hAnsi="宋体" w:cs="宋体"/>
                <w:b/>
                <w:bCs/>
                <w:kern w:val="0"/>
                <w:sz w:val="20"/>
              </w:rPr>
            </w:pPr>
          </w:p>
        </w:tc>
        <w:tc>
          <w:tcPr>
            <w:tcW w:w="755" w:type="dxa"/>
            <w:shd w:val="clear" w:color="000000" w:fill="FFFFFF"/>
            <w:vAlign w:val="center"/>
          </w:tcPr>
          <w:p>
            <w:pPr>
              <w:widowControl/>
              <w:rPr>
                <w:rFonts w:ascii="宋体" w:hAnsi="宋体" w:cs="宋体"/>
                <w:b/>
                <w:bCs/>
                <w:kern w:val="0"/>
                <w:sz w:val="20"/>
              </w:rPr>
            </w:pPr>
          </w:p>
        </w:tc>
        <w:tc>
          <w:tcPr>
            <w:tcW w:w="637" w:type="dxa"/>
            <w:shd w:val="clear" w:color="000000" w:fill="FFFFFF"/>
            <w:vAlign w:val="center"/>
          </w:tcPr>
          <w:p>
            <w:pPr>
              <w:widowControl/>
              <w:rPr>
                <w:rFonts w:ascii="宋体" w:hAnsi="宋体" w:cs="宋体"/>
                <w:b/>
                <w:bCs/>
                <w:kern w:val="0"/>
                <w:sz w:val="20"/>
              </w:rPr>
            </w:pPr>
          </w:p>
        </w:tc>
        <w:tc>
          <w:tcPr>
            <w:tcW w:w="578" w:type="dxa"/>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计</w:t>
            </w: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11"/>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综合单价包括但不限于产品生产、包装、运至指定地点的运输、装卸、保险及各种税费及所有第三章要求的伴随服务等招标文件规定的全部相关费用。</w:t>
      </w:r>
    </w:p>
    <w:p>
      <w:pPr>
        <w:spacing w:line="360" w:lineRule="auto"/>
        <w:jc w:val="center"/>
        <w:rPr>
          <w:rFonts w:ascii="宋体" w:hAnsi="宋体"/>
          <w:sz w:val="22"/>
        </w:rPr>
      </w:pPr>
      <w:r>
        <w:rPr>
          <w:rFonts w:ascii="宋体" w:hAnsi="宋体" w:cs="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w:t>
      </w:r>
      <w:r>
        <w:rPr>
          <w:rFonts w:ascii="Calibri" w:hAnsi="Calibri" w:eastAsia="黑体" w:cs="Calibri"/>
          <w:color w:val="000000"/>
          <w:sz w:val="32"/>
          <w:szCs w:val="32"/>
        </w:rPr>
        <w:t>投标人资格证明文件</w:t>
      </w:r>
    </w:p>
    <w:p>
      <w:pPr>
        <w:overflowPunct w:val="0"/>
        <w:autoSpaceDE w:val="0"/>
        <w:autoSpaceDN w:val="0"/>
        <w:spacing w:line="440" w:lineRule="exact"/>
        <w:ind w:left="839" w:hanging="839"/>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（一）投标人一般情况</w:t>
      </w:r>
    </w:p>
    <w:tbl>
      <w:tblPr>
        <w:tblStyle w:val="58"/>
        <w:tblW w:w="9098"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28"/>
        <w:gridCol w:w="525"/>
        <w:gridCol w:w="187"/>
        <w:gridCol w:w="863"/>
        <w:gridCol w:w="562"/>
        <w:gridCol w:w="278"/>
        <w:gridCol w:w="1440"/>
        <w:gridCol w:w="30"/>
        <w:gridCol w:w="73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企业名称</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主管部门</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经济类型</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法定代表人</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单位简历</w:t>
            </w:r>
          </w:p>
        </w:tc>
        <w:tc>
          <w:tcPr>
            <w:tcW w:w="7643" w:type="dxa"/>
            <w:gridSpan w:val="10"/>
            <w:vAlign w:val="center"/>
          </w:tcPr>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单位优势</w:t>
            </w:r>
          </w:p>
          <w:p>
            <w:pPr>
              <w:snapToGrid w:val="0"/>
              <w:ind w:left="-170" w:right="-170"/>
              <w:jc w:val="center"/>
              <w:rPr>
                <w:rFonts w:ascii="宋体" w:hAnsi="宋体" w:cs="宋体"/>
                <w:sz w:val="22"/>
              </w:rPr>
            </w:pPr>
            <w:r>
              <w:rPr>
                <w:rFonts w:hint="eastAsia" w:ascii="宋体" w:hAnsi="宋体" w:cs="宋体"/>
                <w:sz w:val="22"/>
              </w:rPr>
              <w:t>及 特 长</w:t>
            </w:r>
          </w:p>
        </w:tc>
        <w:tc>
          <w:tcPr>
            <w:tcW w:w="7643" w:type="dxa"/>
            <w:gridSpan w:val="10"/>
            <w:vAlign w:val="center"/>
          </w:tcPr>
          <w:p>
            <w:pPr>
              <w:pStyle w:val="39"/>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textDirection w:val="tbRlV"/>
            <w:vAlign w:val="center"/>
          </w:tcPr>
          <w:p>
            <w:pPr>
              <w:snapToGrid w:val="0"/>
              <w:ind w:left="-170" w:right="-170"/>
              <w:jc w:val="center"/>
              <w:rPr>
                <w:rFonts w:ascii="宋体" w:hAnsi="宋体" w:cs="宋体"/>
                <w:sz w:val="22"/>
              </w:rPr>
            </w:pPr>
            <w:r>
              <w:rPr>
                <w:rFonts w:hint="eastAsia" w:ascii="宋体" w:hAnsi="宋体" w:cs="宋体"/>
                <w:sz w:val="22"/>
              </w:rPr>
              <w:t>单 位 概 况</w:t>
            </w: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职工总人数</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工程技术人员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生产工人</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销售人员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固定</w:t>
            </w:r>
          </w:p>
          <w:p>
            <w:pPr>
              <w:snapToGrid w:val="0"/>
              <w:ind w:left="-170" w:right="-170"/>
              <w:jc w:val="center"/>
              <w:rPr>
                <w:rFonts w:ascii="宋体" w:hAnsi="宋体" w:cs="宋体"/>
                <w:sz w:val="22"/>
              </w:rPr>
            </w:pPr>
            <w:r>
              <w:rPr>
                <w:rFonts w:hint="eastAsia" w:ascii="宋体" w:hAnsi="宋体" w:cs="宋体"/>
                <w:sz w:val="22"/>
              </w:rPr>
              <w:t>资产</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性质</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非生产性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流动</w:t>
            </w:r>
          </w:p>
          <w:p>
            <w:pPr>
              <w:snapToGrid w:val="0"/>
              <w:ind w:left="-170" w:right="-170"/>
              <w:jc w:val="center"/>
              <w:rPr>
                <w:rFonts w:ascii="宋体" w:hAnsi="宋体" w:cs="宋体"/>
                <w:sz w:val="22"/>
              </w:rPr>
            </w:pPr>
            <w:r>
              <w:rPr>
                <w:rFonts w:hint="eastAsia" w:ascii="宋体" w:hAnsi="宋体" w:cs="宋体"/>
                <w:sz w:val="22"/>
              </w:rPr>
              <w:t>资金</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来源</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自有资金</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银行贷款</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经营</w:t>
            </w:r>
          </w:p>
          <w:p>
            <w:pPr>
              <w:snapToGrid w:val="0"/>
              <w:ind w:left="-170" w:right="-170"/>
              <w:jc w:val="center"/>
              <w:rPr>
                <w:rFonts w:ascii="宋体" w:hAnsi="宋体" w:cs="宋体"/>
                <w:sz w:val="22"/>
              </w:rPr>
            </w:pPr>
            <w:r>
              <w:rPr>
                <w:rFonts w:hint="eastAsia" w:ascii="宋体" w:hAnsi="宋体" w:cs="宋体"/>
                <w:sz w:val="22"/>
              </w:rPr>
              <w:t>范围</w:t>
            </w:r>
          </w:p>
        </w:tc>
        <w:tc>
          <w:tcPr>
            <w:tcW w:w="7643" w:type="dxa"/>
            <w:gridSpan w:val="10"/>
            <w:vAlign w:val="center"/>
          </w:tcPr>
          <w:p>
            <w:pPr>
              <w:snapToGrid w:val="0"/>
              <w:ind w:left="-170" w:right="-170"/>
              <w:jc w:val="center"/>
              <w:rPr>
                <w:rFonts w:ascii="宋体" w:hAnsi="宋体" w:cs="宋体"/>
                <w:sz w:val="22"/>
              </w:rPr>
            </w:pPr>
          </w:p>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vAlign w:val="center"/>
          </w:tcPr>
          <w:p>
            <w:pPr>
              <w:snapToGrid w:val="0"/>
              <w:ind w:left="-170" w:right="-170"/>
              <w:jc w:val="center"/>
              <w:rPr>
                <w:rFonts w:ascii="宋体" w:hAnsi="宋体" w:cs="宋体"/>
                <w:sz w:val="22"/>
              </w:rPr>
            </w:pPr>
            <w:r>
              <w:rPr>
                <w:rFonts w:hint="eastAsia" w:ascii="宋体" w:hAnsi="宋体" w:cs="宋体"/>
                <w:sz w:val="22"/>
              </w:rPr>
              <w:t>经 济</w:t>
            </w:r>
          </w:p>
          <w:p>
            <w:pPr>
              <w:snapToGrid w:val="0"/>
              <w:ind w:left="-170" w:right="-170"/>
              <w:jc w:val="center"/>
              <w:rPr>
                <w:rFonts w:ascii="宋体" w:hAnsi="宋体" w:cs="宋体"/>
                <w:sz w:val="22"/>
              </w:rPr>
            </w:pPr>
            <w:r>
              <w:rPr>
                <w:rFonts w:hint="eastAsia" w:ascii="宋体" w:hAnsi="宋体" w:cs="宋体"/>
                <w:sz w:val="22"/>
              </w:rPr>
              <w:t>指 标</w:t>
            </w:r>
          </w:p>
        </w:tc>
        <w:tc>
          <w:tcPr>
            <w:tcW w:w="1553" w:type="dxa"/>
            <w:gridSpan w:val="2"/>
            <w:vAlign w:val="center"/>
          </w:tcPr>
          <w:p>
            <w:pPr>
              <w:snapToGrid w:val="0"/>
              <w:ind w:left="-170" w:right="-170"/>
              <w:jc w:val="center"/>
              <w:rPr>
                <w:rFonts w:ascii="宋体" w:hAnsi="宋体" w:cs="宋体"/>
                <w:sz w:val="22"/>
              </w:rPr>
            </w:pPr>
            <w:r>
              <w:rPr>
                <w:rFonts w:hint="eastAsia" w:ascii="宋体" w:hAnsi="宋体" w:cs="宋体"/>
                <w:sz w:val="22"/>
              </w:rPr>
              <w:t>年份</w:t>
            </w:r>
          </w:p>
        </w:tc>
        <w:tc>
          <w:tcPr>
            <w:tcW w:w="6090" w:type="dxa"/>
            <w:gridSpan w:val="8"/>
            <w:vAlign w:val="center"/>
          </w:tcPr>
          <w:p>
            <w:pPr>
              <w:snapToGrid w:val="0"/>
              <w:ind w:left="-170" w:right="-17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tcBorders>
              <w:bottom w:val="single" w:color="auto" w:sz="4" w:space="0"/>
            </w:tcBorders>
            <w:vAlign w:val="center"/>
          </w:tcPr>
          <w:p>
            <w:pPr>
              <w:snapToGrid w:val="0"/>
              <w:ind w:left="-170" w:right="-170"/>
              <w:jc w:val="center"/>
              <w:rPr>
                <w:rFonts w:ascii="宋体" w:hAnsi="宋体" w:cs="宋体"/>
                <w:sz w:val="22"/>
              </w:rPr>
            </w:pPr>
          </w:p>
        </w:tc>
        <w:tc>
          <w:tcPr>
            <w:tcW w:w="1553" w:type="dxa"/>
            <w:gridSpan w:val="2"/>
            <w:tcBorders>
              <w:bottom w:val="single" w:color="auto" w:sz="4" w:space="0"/>
            </w:tcBorders>
            <w:vAlign w:val="center"/>
          </w:tcPr>
          <w:p>
            <w:pPr>
              <w:snapToGrid w:val="0"/>
              <w:ind w:left="-170" w:right="-170"/>
              <w:jc w:val="center"/>
              <w:rPr>
                <w:rFonts w:ascii="宋体" w:hAnsi="宋体" w:cs="宋体"/>
                <w:sz w:val="22"/>
              </w:rPr>
            </w:pPr>
          </w:p>
        </w:tc>
        <w:tc>
          <w:tcPr>
            <w:tcW w:w="6090" w:type="dxa"/>
            <w:gridSpan w:val="8"/>
            <w:tcBorders>
              <w:bottom w:val="single" w:color="auto" w:sz="4" w:space="0"/>
            </w:tcBorders>
            <w:vAlign w:val="center"/>
          </w:tcPr>
          <w:p>
            <w:pPr>
              <w:snapToGrid w:val="0"/>
              <w:ind w:left="-170" w:right="-170"/>
              <w:jc w:val="center"/>
              <w:rPr>
                <w:rFonts w:ascii="宋体" w:hAnsi="宋体" w:cs="宋体"/>
                <w:sz w:val="22"/>
              </w:rPr>
            </w:pPr>
          </w:p>
        </w:tc>
      </w:tr>
    </w:tbl>
    <w:p>
      <w:pPr>
        <w:overflowPunct w:val="0"/>
        <w:autoSpaceDE w:val="0"/>
        <w:autoSpaceDN w:val="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spacing w:line="360" w:lineRule="auto"/>
        <w:jc w:val="center"/>
        <w:rPr>
          <w:rFonts w:ascii="宋体" w:hAnsi="宋体" w:cs="宋体"/>
          <w:b/>
          <w:sz w:val="32"/>
          <w:szCs w:val="32"/>
        </w:rPr>
      </w:pPr>
      <w:r>
        <w:rPr>
          <w:rFonts w:ascii="宋体" w:hAnsi="宋体" w:cs="Calibri"/>
          <w:sz w:val="22"/>
        </w:rPr>
        <w:br w:type="page"/>
      </w:r>
      <w:r>
        <w:rPr>
          <w:rFonts w:hint="eastAsia" w:ascii="宋体" w:hAnsi="宋体" w:cs="宋体"/>
          <w:b/>
          <w:sz w:val="32"/>
          <w:szCs w:val="32"/>
        </w:rPr>
        <w:t>（二）生产商出具的授权书</w:t>
      </w:r>
    </w:p>
    <w:p>
      <w:pPr>
        <w:spacing w:line="360" w:lineRule="auto"/>
        <w:jc w:val="center"/>
        <w:rPr>
          <w:rFonts w:ascii="宋体" w:hAnsi="宋体" w:cs="宋体"/>
          <w:b/>
          <w:sz w:val="32"/>
          <w:szCs w:val="32"/>
        </w:rPr>
      </w:pPr>
      <w:r>
        <w:rPr>
          <w:rFonts w:hint="eastAsia" w:ascii="宋体" w:hAnsi="宋体" w:cs="宋体"/>
          <w:b/>
          <w:sz w:val="32"/>
          <w:szCs w:val="32"/>
        </w:rPr>
        <w:t>（代理商投标时提供）</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（三）投标产品近三年的销售业绩一览表</w:t>
      </w:r>
    </w:p>
    <w:tbl>
      <w:tblPr>
        <w:tblStyle w:val="58"/>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采购单位联系方式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bl>
    <w:p>
      <w:pPr>
        <w:spacing w:line="360" w:lineRule="auto"/>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jc w:val="left"/>
        <w:rPr>
          <w:rFonts w:ascii="ˎ̥" w:hAnsi="ˎ̥" w:cs="宋体"/>
          <w:kern w:val="0"/>
          <w:szCs w:val="21"/>
        </w:rPr>
      </w:pPr>
    </w:p>
    <w:p>
      <w:pPr>
        <w:spacing w:line="360" w:lineRule="auto"/>
        <w:jc w:val="center"/>
        <w:rPr>
          <w:rFonts w:ascii="宋体" w:hAnsi="宋体" w:cs="宋体"/>
          <w:b/>
          <w:sz w:val="32"/>
          <w:szCs w:val="32"/>
        </w:rPr>
      </w:pPr>
    </w:p>
    <w:p>
      <w:pPr>
        <w:pStyle w:val="31"/>
        <w:adjustRightInd w:val="0"/>
        <w:snapToGrid w:val="0"/>
        <w:spacing w:line="560" w:lineRule="exact"/>
        <w:rPr>
          <w:rFonts w:hAnsi="宋体"/>
          <w:b/>
        </w:rPr>
      </w:pPr>
      <w:r>
        <w:rPr>
          <w:rFonts w:hAnsi="宋体" w:cs="宋体"/>
          <w:b/>
          <w:sz w:val="32"/>
          <w:szCs w:val="3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六、技术规格偏离表</w:t>
      </w:r>
    </w:p>
    <w:p>
      <w:pPr>
        <w:spacing w:line="560" w:lineRule="exact"/>
        <w:rPr>
          <w:rFonts w:ascii="宋体" w:hAnsi="宋体"/>
        </w:rPr>
      </w:pPr>
    </w:p>
    <w:tbl>
      <w:tblPr>
        <w:tblStyle w:val="58"/>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260"/>
        <w:gridCol w:w="1361"/>
        <w:gridCol w:w="1236"/>
        <w:gridCol w:w="189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vAlign w:val="center"/>
          </w:tcPr>
          <w:p>
            <w:pPr>
              <w:jc w:val="center"/>
              <w:rPr>
                <w:rFonts w:ascii="宋体" w:hAnsi="宋体"/>
                <w:szCs w:val="21"/>
              </w:rPr>
            </w:pPr>
            <w:r>
              <w:rPr>
                <w:rFonts w:hint="eastAsia" w:ascii="宋体" w:hAnsi="宋体"/>
                <w:szCs w:val="21"/>
              </w:rPr>
              <w:t>序号</w:t>
            </w:r>
          </w:p>
        </w:tc>
        <w:tc>
          <w:tcPr>
            <w:tcW w:w="1365" w:type="dxa"/>
            <w:vAlign w:val="center"/>
          </w:tcPr>
          <w:p>
            <w:pPr>
              <w:jc w:val="center"/>
              <w:rPr>
                <w:rFonts w:ascii="宋体" w:hAnsi="宋体"/>
                <w:szCs w:val="21"/>
              </w:rPr>
            </w:pPr>
            <w:r>
              <w:rPr>
                <w:rFonts w:hint="eastAsia" w:ascii="宋体" w:hAnsi="宋体"/>
                <w:szCs w:val="21"/>
              </w:rPr>
              <w:t>货物名称</w:t>
            </w:r>
          </w:p>
        </w:tc>
        <w:tc>
          <w:tcPr>
            <w:tcW w:w="1260" w:type="dxa"/>
            <w:vAlign w:val="center"/>
          </w:tcPr>
          <w:p>
            <w:pPr>
              <w:jc w:val="center"/>
              <w:rPr>
                <w:rFonts w:ascii="宋体" w:hAnsi="宋体"/>
                <w:szCs w:val="21"/>
              </w:rPr>
            </w:pPr>
            <w:r>
              <w:rPr>
                <w:rFonts w:hint="eastAsia" w:ascii="宋体" w:hAnsi="宋体"/>
                <w:szCs w:val="21"/>
              </w:rPr>
              <w:t>招标文件条目号</w:t>
            </w:r>
          </w:p>
        </w:tc>
        <w:tc>
          <w:tcPr>
            <w:tcW w:w="1361" w:type="dxa"/>
            <w:vAlign w:val="center"/>
          </w:tcPr>
          <w:p>
            <w:pPr>
              <w:jc w:val="center"/>
              <w:rPr>
                <w:rFonts w:ascii="宋体" w:hAnsi="宋体"/>
                <w:szCs w:val="21"/>
              </w:rPr>
            </w:pPr>
            <w:r>
              <w:rPr>
                <w:rFonts w:hint="eastAsia" w:ascii="宋体" w:hAnsi="宋体"/>
                <w:szCs w:val="21"/>
              </w:rPr>
              <w:t>招标规格</w:t>
            </w:r>
          </w:p>
        </w:tc>
        <w:tc>
          <w:tcPr>
            <w:tcW w:w="1236" w:type="dxa"/>
            <w:vAlign w:val="center"/>
          </w:tcPr>
          <w:p>
            <w:pPr>
              <w:jc w:val="center"/>
              <w:rPr>
                <w:rFonts w:ascii="宋体" w:hAnsi="宋体"/>
                <w:szCs w:val="21"/>
              </w:rPr>
            </w:pPr>
            <w:r>
              <w:rPr>
                <w:rFonts w:hint="eastAsia" w:ascii="宋体" w:hAnsi="宋体"/>
                <w:szCs w:val="21"/>
              </w:rPr>
              <w:t>投标规格</w:t>
            </w:r>
          </w:p>
        </w:tc>
        <w:tc>
          <w:tcPr>
            <w:tcW w:w="1890" w:type="dxa"/>
            <w:vAlign w:val="center"/>
          </w:tcPr>
          <w:p>
            <w:pPr>
              <w:jc w:val="center"/>
              <w:rPr>
                <w:rFonts w:ascii="宋体" w:hAnsi="宋体"/>
                <w:szCs w:val="21"/>
              </w:rPr>
            </w:pPr>
            <w:r>
              <w:rPr>
                <w:rFonts w:hint="eastAsia" w:ascii="宋体" w:hAnsi="宋体"/>
                <w:szCs w:val="21"/>
              </w:rPr>
              <w:t>偏离</w:t>
            </w:r>
          </w:p>
        </w:tc>
        <w:tc>
          <w:tcPr>
            <w:tcW w:w="1470" w:type="dxa"/>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bl>
    <w:p>
      <w:pPr>
        <w:spacing w:line="560" w:lineRule="exact"/>
        <w:rPr>
          <w:rFonts w:ascii="宋体" w:hAnsi="宋体"/>
        </w:rPr>
      </w:pPr>
      <w:r>
        <w:rPr>
          <w:rFonts w:hAnsi="宋体"/>
          <w:bCs/>
        </w:rPr>
        <w:t>注：如不填写，则视为完全响应招标文件的技术要求。</w:t>
      </w:r>
    </w:p>
    <w:p>
      <w:pPr>
        <w:spacing w:line="360" w:lineRule="auto"/>
        <w:jc w:val="center"/>
        <w:rPr>
          <w:rFonts w:hAnsi="宋体"/>
          <w:b/>
        </w:rPr>
      </w:pPr>
    </w:p>
    <w:p>
      <w:pPr>
        <w:pStyle w:val="31"/>
        <w:adjustRightInd w:val="0"/>
        <w:snapToGrid w:val="0"/>
        <w:spacing w:line="560" w:lineRule="exact"/>
        <w:rPr>
          <w:rFonts w:hAnsi="宋体"/>
          <w:b/>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七、</w:t>
      </w:r>
      <w:r>
        <w:rPr>
          <w:rFonts w:ascii="Calibri" w:hAnsi="Calibri" w:eastAsia="黑体" w:cs="Calibri"/>
          <w:color w:val="000000"/>
          <w:sz w:val="32"/>
          <w:szCs w:val="32"/>
        </w:rPr>
        <w:t>商务条款响应</w:t>
      </w:r>
      <w:r>
        <w:rPr>
          <w:rFonts w:hint="eastAsia" w:ascii="Calibri" w:hAnsi="Calibri" w:eastAsia="黑体" w:cs="Calibri"/>
          <w:color w:val="000000"/>
          <w:sz w:val="32"/>
          <w:szCs w:val="32"/>
        </w:rPr>
        <w:t>偏离</w:t>
      </w:r>
      <w:r>
        <w:rPr>
          <w:rFonts w:ascii="Calibri" w:hAnsi="Calibri" w:eastAsia="黑体" w:cs="Calibri"/>
          <w:color w:val="000000"/>
          <w:sz w:val="32"/>
          <w:szCs w:val="32"/>
        </w:rPr>
        <w:t>表</w:t>
      </w:r>
    </w:p>
    <w:tbl>
      <w:tblPr>
        <w:tblStyle w:val="58"/>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3510"/>
        <w:gridCol w:w="351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r>
              <w:rPr>
                <w:rFonts w:hAnsi="宋体"/>
                <w:kern w:val="2"/>
                <w:sz w:val="21"/>
              </w:rPr>
              <w:t>序号</w:t>
            </w:r>
          </w:p>
        </w:tc>
        <w:tc>
          <w:tcPr>
            <w:tcW w:w="900" w:type="dxa"/>
            <w:vAlign w:val="center"/>
          </w:tcPr>
          <w:p>
            <w:pPr>
              <w:pStyle w:val="31"/>
              <w:adjustRightInd w:val="0"/>
              <w:snapToGrid w:val="0"/>
              <w:jc w:val="center"/>
              <w:rPr>
                <w:rFonts w:hAnsi="宋体"/>
                <w:kern w:val="2"/>
                <w:sz w:val="21"/>
              </w:rPr>
            </w:pPr>
            <w:r>
              <w:rPr>
                <w:rFonts w:hAnsi="宋体"/>
                <w:kern w:val="2"/>
                <w:sz w:val="21"/>
              </w:rPr>
              <w:t>内容</w:t>
            </w:r>
          </w:p>
        </w:tc>
        <w:tc>
          <w:tcPr>
            <w:tcW w:w="3510" w:type="dxa"/>
            <w:vAlign w:val="center"/>
          </w:tcPr>
          <w:p>
            <w:pPr>
              <w:pStyle w:val="31"/>
              <w:adjustRightInd w:val="0"/>
              <w:snapToGrid w:val="0"/>
              <w:jc w:val="center"/>
              <w:rPr>
                <w:rFonts w:hAnsi="宋体"/>
                <w:kern w:val="2"/>
                <w:sz w:val="21"/>
              </w:rPr>
            </w:pPr>
            <w:r>
              <w:rPr>
                <w:rFonts w:hAnsi="宋体"/>
                <w:kern w:val="2"/>
                <w:sz w:val="21"/>
              </w:rPr>
              <w:t>招标文件要求</w:t>
            </w:r>
          </w:p>
        </w:tc>
        <w:tc>
          <w:tcPr>
            <w:tcW w:w="3510" w:type="dxa"/>
            <w:vAlign w:val="center"/>
          </w:tcPr>
          <w:p>
            <w:pPr>
              <w:pStyle w:val="31"/>
              <w:adjustRightInd w:val="0"/>
              <w:snapToGrid w:val="0"/>
              <w:jc w:val="center"/>
              <w:rPr>
                <w:rFonts w:hAnsi="宋体"/>
                <w:kern w:val="2"/>
                <w:sz w:val="21"/>
              </w:rPr>
            </w:pPr>
            <w:r>
              <w:rPr>
                <w:rFonts w:hAnsi="宋体"/>
                <w:kern w:val="2"/>
                <w:sz w:val="21"/>
              </w:rPr>
              <w:t>投标文件对应内容</w:t>
            </w:r>
          </w:p>
        </w:tc>
        <w:tc>
          <w:tcPr>
            <w:tcW w:w="827" w:type="dxa"/>
            <w:vAlign w:val="center"/>
          </w:tcPr>
          <w:p>
            <w:pPr>
              <w:pStyle w:val="31"/>
              <w:adjustRightInd w:val="0"/>
              <w:snapToGrid w:val="0"/>
              <w:jc w:val="center"/>
              <w:rPr>
                <w:rFonts w:hAnsi="宋体"/>
                <w:kern w:val="2"/>
                <w:sz w:val="21"/>
              </w:rPr>
            </w:pPr>
            <w:r>
              <w:rPr>
                <w:rFonts w:hAnsi="宋体"/>
                <w:kern w:val="2"/>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bl>
    <w:p>
      <w:pPr>
        <w:pStyle w:val="31"/>
        <w:adjustRightInd w:val="0"/>
        <w:snapToGrid w:val="0"/>
        <w:spacing w:line="560" w:lineRule="exact"/>
        <w:rPr>
          <w:rFonts w:hAnsi="宋体"/>
          <w:bCs/>
          <w:sz w:val="24"/>
          <w:szCs w:val="24"/>
        </w:rPr>
      </w:pPr>
    </w:p>
    <w:p>
      <w:pPr>
        <w:pStyle w:val="31"/>
        <w:adjustRightInd w:val="0"/>
        <w:snapToGrid w:val="0"/>
        <w:spacing w:line="560" w:lineRule="exact"/>
        <w:rPr>
          <w:rFonts w:hAnsi="宋体"/>
          <w:bCs/>
          <w:sz w:val="24"/>
          <w:szCs w:val="24"/>
        </w:rPr>
      </w:pPr>
      <w:r>
        <w:rPr>
          <w:rFonts w:hAnsi="宋体"/>
          <w:bCs/>
          <w:sz w:val="24"/>
          <w:szCs w:val="24"/>
        </w:rPr>
        <w:t>注：如不填写，则视为完全响应招标文件的</w:t>
      </w:r>
      <w:r>
        <w:rPr>
          <w:rFonts w:hint="eastAsia" w:hAnsi="宋体"/>
          <w:bCs/>
          <w:sz w:val="24"/>
          <w:szCs w:val="24"/>
        </w:rPr>
        <w:t>商务</w:t>
      </w:r>
      <w:r>
        <w:rPr>
          <w:rFonts w:hAnsi="宋体"/>
          <w:bCs/>
          <w:sz w:val="24"/>
          <w:szCs w:val="24"/>
        </w:rPr>
        <w:t>要求。</w:t>
      </w:r>
    </w:p>
    <w:p>
      <w:pPr>
        <w:pStyle w:val="31"/>
        <w:adjustRightInd w:val="0"/>
        <w:snapToGrid w:val="0"/>
        <w:spacing w:line="560" w:lineRule="exact"/>
        <w:rPr>
          <w:rFonts w:hAnsi="宋体"/>
          <w:bCs/>
          <w:sz w:val="24"/>
          <w:szCs w:val="24"/>
        </w:rPr>
      </w:pPr>
    </w:p>
    <w:p>
      <w:pPr>
        <w:widowControl/>
        <w:jc w:val="left"/>
        <w:rPr>
          <w:rFonts w:ascii="Calibri" w:hAnsi="Calibri" w:eastAsia="黑体" w:cs="Calibri"/>
          <w:color w:val="000000"/>
          <w:sz w:val="32"/>
          <w:szCs w:val="32"/>
        </w:rPr>
      </w:pPr>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Heiti SC Light">
    <w:altName w:val="Arial Unicode MS"/>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Microsoft YaHei,Segoe UI Emoji">
    <w:altName w:val="Segoe Print"/>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swiss"/>
    <w:pitch w:val="default"/>
    <w:sig w:usb0="80000287" w:usb1="28CF3C52" w:usb2="00000016" w:usb3="00000000" w:csb0="0004001F" w:csb1="00000000"/>
  </w:font>
  <w:font w:name="???|CS?o｡ﾀ?">
    <w:altName w:val="MS PGothic"/>
    <w:panose1 w:val="00000000000000000000"/>
    <w:charset w:val="80"/>
    <w:family w:val="modern"/>
    <w:pitch w:val="default"/>
    <w:sig w:usb0="00000000" w:usb1="00000000" w:usb2="00000010" w:usb3="00000000" w:csb0="00020000" w:csb1="00000000"/>
  </w:font>
  <w:font w:name="MingLiU">
    <w:panose1 w:val="02020509000000000000"/>
    <w:charset w:val="88"/>
    <w:family w:val="modern"/>
    <w:pitch w:val="default"/>
    <w:sig w:usb0="A00002FF" w:usb1="28CFFCFA" w:usb2="00000016" w:usb3="00000000" w:csb0="00100001" w:csb1="00000000"/>
  </w:font>
  <w:font w:name="隶书">
    <w:panose1 w:val="0201050906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9531"/>
    </w:sdtPr>
    <w:sdtContent>
      <w:p>
        <w:pPr>
          <w:pStyle w:val="36"/>
          <w:jc w:val="center"/>
        </w:pPr>
        <w:r>
          <w:fldChar w:fldCharType="begin"/>
        </w:r>
        <w:r>
          <w:instrText xml:space="preserve"> PAGE   \* MERGEFORMAT </w:instrText>
        </w:r>
        <w:r>
          <w:fldChar w:fldCharType="separate"/>
        </w:r>
        <w:r>
          <w:rPr>
            <w:lang w:val="zh-CN"/>
          </w:rPr>
          <w:t>-</w:t>
        </w:r>
        <w:r>
          <w:t xml:space="preserve"> 7 -</w:t>
        </w:r>
        <w:r>
          <w:fldChar w:fldCharType="end"/>
        </w:r>
      </w:p>
    </w:sdtContent>
  </w:sdt>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ascii="宋体" w:hAnsi="宋体"/>
        <w:szCs w:val="18"/>
      </w:rPr>
    </w:pPr>
    <w:r>
      <w:rPr>
        <w:rFonts w:hint="eastAsia" w:ascii="宋体" w:hAnsi="宋体"/>
        <w:color w:val="000000"/>
        <w:szCs w:val="18"/>
      </w:rPr>
      <w:t>杭州萧山国际机场2019年防暑降温物品采购项目招标文件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1">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
    <w:nsid w:val="000000B6"/>
    <w:multiLevelType w:val="multilevel"/>
    <w:tmpl w:val="000000B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F8521B6"/>
    <w:multiLevelType w:val="multilevel"/>
    <w:tmpl w:val="0F8521B6"/>
    <w:lvl w:ilvl="0" w:tentative="0">
      <w:start w:val="1"/>
      <w:numFmt w:val="decimal"/>
      <w:lvlText w:val="（%1）"/>
      <w:lvlJc w:val="left"/>
      <w:pPr>
        <w:ind w:left="1680" w:hanging="1080"/>
      </w:pPr>
      <w:rPr>
        <w:rFonts w:hint="default" w:ascii="Times New Roman" w:hAnsi="Times New Roman" w:cs="Times New Roman"/>
      </w:rPr>
    </w:lvl>
    <w:lvl w:ilvl="1" w:tentative="0">
      <w:start w:val="1"/>
      <w:numFmt w:val="lowerLetter"/>
      <w:lvlText w:val="%2)"/>
      <w:lvlJc w:val="left"/>
      <w:pPr>
        <w:ind w:left="1440" w:hanging="420"/>
      </w:pPr>
      <w:rPr>
        <w:rFonts w:hint="default" w:ascii="Times New Roman" w:hAnsi="Times New Roman" w:cs="Times New Roman"/>
      </w:rPr>
    </w:lvl>
    <w:lvl w:ilvl="2" w:tentative="0">
      <w:start w:val="1"/>
      <w:numFmt w:val="lowerRoman"/>
      <w:lvlText w:val="%3."/>
      <w:lvlJc w:val="right"/>
      <w:pPr>
        <w:ind w:left="1860" w:hanging="420"/>
      </w:pPr>
      <w:rPr>
        <w:rFonts w:hint="default" w:ascii="Times New Roman" w:hAnsi="Times New Roman" w:cs="Times New Roman"/>
      </w:rPr>
    </w:lvl>
    <w:lvl w:ilvl="3" w:tentative="0">
      <w:start w:val="1"/>
      <w:numFmt w:val="decimal"/>
      <w:lvlText w:val="%4."/>
      <w:lvlJc w:val="left"/>
      <w:pPr>
        <w:ind w:left="2280" w:hanging="420"/>
      </w:pPr>
      <w:rPr>
        <w:rFonts w:hint="default" w:ascii="Times New Roman" w:hAnsi="Times New Roman" w:cs="Times New Roman"/>
      </w:rPr>
    </w:lvl>
    <w:lvl w:ilvl="4" w:tentative="0">
      <w:start w:val="1"/>
      <w:numFmt w:val="lowerLetter"/>
      <w:lvlText w:val="%5)"/>
      <w:lvlJc w:val="left"/>
      <w:pPr>
        <w:ind w:left="2700" w:hanging="420"/>
      </w:pPr>
      <w:rPr>
        <w:rFonts w:hint="default" w:ascii="Times New Roman" w:hAnsi="Times New Roman" w:cs="Times New Roman"/>
      </w:rPr>
    </w:lvl>
    <w:lvl w:ilvl="5" w:tentative="0">
      <w:start w:val="1"/>
      <w:numFmt w:val="lowerRoman"/>
      <w:lvlText w:val="%6."/>
      <w:lvlJc w:val="right"/>
      <w:pPr>
        <w:ind w:left="3120" w:hanging="420"/>
      </w:pPr>
      <w:rPr>
        <w:rFonts w:hint="default" w:ascii="Times New Roman" w:hAnsi="Times New Roman" w:cs="Times New Roman"/>
      </w:rPr>
    </w:lvl>
    <w:lvl w:ilvl="6" w:tentative="0">
      <w:start w:val="1"/>
      <w:numFmt w:val="decimal"/>
      <w:lvlText w:val="%7."/>
      <w:lvlJc w:val="left"/>
      <w:pPr>
        <w:ind w:left="3540" w:hanging="420"/>
      </w:pPr>
      <w:rPr>
        <w:rFonts w:hint="default" w:ascii="Times New Roman" w:hAnsi="Times New Roman" w:cs="Times New Roman"/>
      </w:rPr>
    </w:lvl>
    <w:lvl w:ilvl="7" w:tentative="0">
      <w:start w:val="1"/>
      <w:numFmt w:val="lowerLetter"/>
      <w:lvlText w:val="%8)"/>
      <w:lvlJc w:val="left"/>
      <w:pPr>
        <w:ind w:left="3960" w:hanging="420"/>
      </w:pPr>
      <w:rPr>
        <w:rFonts w:hint="default" w:ascii="Times New Roman" w:hAnsi="Times New Roman" w:cs="Times New Roman"/>
      </w:rPr>
    </w:lvl>
    <w:lvl w:ilvl="8" w:tentative="0">
      <w:start w:val="1"/>
      <w:numFmt w:val="lowerRoman"/>
      <w:lvlText w:val="%9."/>
      <w:lvlJc w:val="right"/>
      <w:pPr>
        <w:ind w:left="4380" w:hanging="420"/>
      </w:pPr>
      <w:rPr>
        <w:rFonts w:hint="default" w:ascii="Times New Roman" w:hAnsi="Times New Roman" w:cs="Times New Roman"/>
      </w:rPr>
    </w:lvl>
  </w:abstractNum>
  <w:abstractNum w:abstractNumId="6">
    <w:nsid w:val="19063A6D"/>
    <w:multiLevelType w:val="singleLevel"/>
    <w:tmpl w:val="19063A6D"/>
    <w:lvl w:ilvl="0" w:tentative="0">
      <w:start w:val="1"/>
      <w:numFmt w:val="decimal"/>
      <w:lvlText w:val="(%1)"/>
      <w:lvlJc w:val="left"/>
      <w:pPr>
        <w:tabs>
          <w:tab w:val="left" w:pos="907"/>
        </w:tabs>
        <w:ind w:left="907" w:hanging="482"/>
      </w:pPr>
      <w:rPr>
        <w:rFonts w:hint="eastAsia"/>
        <w:b w:val="0"/>
        <w:i w:val="0"/>
        <w:u w:val="none"/>
      </w:rPr>
    </w:lvl>
  </w:abstractNum>
  <w:abstractNum w:abstractNumId="7">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8">
    <w:nsid w:val="5CC6446E"/>
    <w:multiLevelType w:val="singleLevel"/>
    <w:tmpl w:val="5CC6446E"/>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9">
    <w:nsid w:val="5CC6448F"/>
    <w:multiLevelType w:val="singleLevel"/>
    <w:tmpl w:val="5CC6448F"/>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0">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130"/>
      <w:lvlText w:val=""/>
      <w:lvlJc w:val="left"/>
      <w:pPr>
        <w:tabs>
          <w:tab w:val="left" w:pos="3780"/>
        </w:tabs>
        <w:ind w:left="3780" w:hanging="420"/>
      </w:pPr>
      <w:rPr>
        <w:rFonts w:hint="default" w:ascii="Wingdings" w:hAnsi="Wingdings"/>
      </w:rPr>
    </w:lvl>
  </w:abstractNum>
  <w:num w:numId="1">
    <w:abstractNumId w:val="7"/>
  </w:num>
  <w:num w:numId="2">
    <w:abstractNumId w:val="8"/>
  </w:num>
  <w:num w:numId="3">
    <w:abstractNumId w:val="9"/>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14E74"/>
    <w:rsid w:val="11540CEE"/>
    <w:rsid w:val="15D00B47"/>
    <w:rsid w:val="1EE66B31"/>
    <w:rsid w:val="34FD4A91"/>
    <w:rsid w:val="497234B1"/>
    <w:rsid w:val="537C6A77"/>
    <w:rsid w:val="580F3F7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59"/>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3">
    <w:name w:val="heading 2"/>
    <w:basedOn w:val="1"/>
    <w:next w:val="1"/>
    <w:link w:val="60"/>
    <w:qFormat/>
    <w:uiPriority w:val="0"/>
    <w:pPr>
      <w:keepNext/>
      <w:keepLines/>
      <w:spacing w:before="260" w:after="260" w:line="360" w:lineRule="auto"/>
      <w:jc w:val="center"/>
      <w:outlineLvl w:val="1"/>
    </w:pPr>
    <w:rPr>
      <w:rFonts w:ascii="Arial" w:hAnsi="Arial" w:eastAsia="宋体" w:cs="Times New Roman"/>
      <w:b/>
      <w:bCs/>
      <w:kern w:val="0"/>
      <w:sz w:val="28"/>
      <w:szCs w:val="32"/>
    </w:rPr>
  </w:style>
  <w:style w:type="paragraph" w:styleId="4">
    <w:name w:val="heading 3"/>
    <w:basedOn w:val="1"/>
    <w:next w:val="1"/>
    <w:link w:val="61"/>
    <w:qFormat/>
    <w:uiPriority w:val="0"/>
    <w:pPr>
      <w:keepNext/>
      <w:numPr>
        <w:ilvl w:val="0"/>
        <w:numId w:val="1"/>
      </w:numPr>
      <w:spacing w:line="216" w:lineRule="auto"/>
      <w:outlineLvl w:val="2"/>
    </w:pPr>
    <w:rPr>
      <w:rFonts w:ascii="宋体" w:hAnsi="Times New Roman" w:eastAsia="宋体" w:cs="Times New Roman"/>
      <w:b/>
      <w:kern w:val="0"/>
      <w:sz w:val="28"/>
      <w:szCs w:val="20"/>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63"/>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1"/>
    <w:link w:val="64"/>
    <w:qFormat/>
    <w:uiPriority w:val="0"/>
    <w:pPr>
      <w:keepNext/>
      <w:keepLines/>
      <w:spacing w:before="240" w:after="64" w:line="320" w:lineRule="auto"/>
      <w:outlineLvl w:val="5"/>
    </w:pPr>
    <w:rPr>
      <w:rFonts w:ascii="Arial" w:hAnsi="Arial" w:eastAsia="黑体" w:cs="Times New Roman"/>
      <w:b/>
      <w:bCs/>
      <w:kern w:val="0"/>
    </w:rPr>
  </w:style>
  <w:style w:type="paragraph" w:styleId="8">
    <w:name w:val="heading 7"/>
    <w:basedOn w:val="1"/>
    <w:next w:val="1"/>
    <w:link w:val="65"/>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kern w:val="0"/>
    </w:rPr>
  </w:style>
  <w:style w:type="paragraph" w:styleId="9">
    <w:name w:val="heading 8"/>
    <w:basedOn w:val="1"/>
    <w:next w:val="1"/>
    <w:link w:val="66"/>
    <w:qFormat/>
    <w:uiPriority w:val="0"/>
    <w:pPr>
      <w:keepNext/>
      <w:keepLines/>
      <w:tabs>
        <w:tab w:val="left" w:pos="1440"/>
      </w:tabs>
      <w:spacing w:before="240" w:after="64" w:line="320" w:lineRule="auto"/>
      <w:ind w:left="1440" w:hanging="1440"/>
      <w:outlineLvl w:val="7"/>
    </w:pPr>
    <w:rPr>
      <w:rFonts w:ascii="Arial" w:hAnsi="Arial" w:eastAsia="黑体" w:cs="Times New Roman"/>
      <w:kern w:val="0"/>
    </w:rPr>
  </w:style>
  <w:style w:type="paragraph" w:styleId="10">
    <w:name w:val="heading 9"/>
    <w:basedOn w:val="1"/>
    <w:next w:val="1"/>
    <w:link w:val="67"/>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eastAsia="宋体" w:cs="Times New Roman"/>
      <w:sz w:val="21"/>
    </w:rPr>
  </w:style>
  <w:style w:type="paragraph" w:styleId="12">
    <w:name w:val="annotation subject"/>
    <w:basedOn w:val="13"/>
    <w:next w:val="13"/>
    <w:link w:val="95"/>
    <w:semiHidden/>
    <w:qFormat/>
    <w:uiPriority w:val="0"/>
    <w:rPr>
      <w:rFonts w:ascii="Times New Roman" w:hAnsi="Times New Roman" w:eastAsia="宋体" w:cs="Times New Roman"/>
      <w:b/>
      <w:bCs/>
      <w:kern w:val="0"/>
      <w:sz w:val="20"/>
    </w:rPr>
  </w:style>
  <w:style w:type="paragraph" w:styleId="13">
    <w:name w:val="annotation text"/>
    <w:basedOn w:val="1"/>
    <w:link w:val="103"/>
    <w:unhideWhenUsed/>
    <w:qFormat/>
    <w:uiPriority w:val="0"/>
    <w:pPr>
      <w:jc w:val="left"/>
    </w:pPr>
  </w:style>
  <w:style w:type="paragraph" w:styleId="14">
    <w:name w:val="toc 7"/>
    <w:basedOn w:val="1"/>
    <w:next w:val="1"/>
    <w:qFormat/>
    <w:uiPriority w:val="0"/>
    <w:pPr>
      <w:ind w:left="1260"/>
      <w:jc w:val="left"/>
    </w:pPr>
    <w:rPr>
      <w:rFonts w:ascii="Times New Roman" w:hAnsi="Times New Roman" w:eastAsia="宋体" w:cs="Times New Roman"/>
      <w:sz w:val="20"/>
      <w:szCs w:val="20"/>
    </w:rPr>
  </w:style>
  <w:style w:type="paragraph" w:styleId="15">
    <w:name w:val="Body Text First Indent"/>
    <w:basedOn w:val="16"/>
    <w:link w:val="90"/>
    <w:qFormat/>
    <w:uiPriority w:val="0"/>
    <w:pPr>
      <w:ind w:firstLine="420" w:firstLineChars="100"/>
    </w:pPr>
    <w:rPr>
      <w:rFonts w:ascii="Times New Roman" w:hAnsi="Times New Roman" w:eastAsia="宋体" w:cs="Times New Roman"/>
      <w:kern w:val="0"/>
      <w:sz w:val="20"/>
    </w:rPr>
  </w:style>
  <w:style w:type="paragraph" w:styleId="16">
    <w:name w:val="Body Text"/>
    <w:basedOn w:val="1"/>
    <w:link w:val="106"/>
    <w:unhideWhenUsed/>
    <w:qFormat/>
    <w:uiPriority w:val="0"/>
    <w:pPr>
      <w:spacing w:after="120"/>
    </w:pPr>
  </w:style>
  <w:style w:type="paragraph" w:styleId="17">
    <w:name w:val="table of authorities"/>
    <w:basedOn w:val="1"/>
    <w:next w:val="1"/>
    <w:qFormat/>
    <w:uiPriority w:val="0"/>
    <w:pPr>
      <w:ind w:left="420" w:leftChars="200"/>
    </w:pPr>
    <w:rPr>
      <w:rFonts w:ascii="Times New Roman" w:hAnsi="Times New Roman" w:eastAsia="宋体" w:cs="Times New Roman"/>
      <w:sz w:val="21"/>
    </w:rPr>
  </w:style>
  <w:style w:type="paragraph" w:styleId="18">
    <w:name w:val="Normal Indent"/>
    <w:basedOn w:val="1"/>
    <w:qFormat/>
    <w:uiPriority w:val="0"/>
    <w:pPr>
      <w:ind w:firstLine="420"/>
    </w:pPr>
    <w:rPr>
      <w:rFonts w:ascii="Times New Roman" w:hAnsi="Times New Roman" w:eastAsia="宋体" w:cs="Times New Roman"/>
      <w:sz w:val="21"/>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qFormat/>
    <w:uiPriority w:val="0"/>
    <w:pPr>
      <w:ind w:left="800" w:leftChars="800"/>
    </w:pPr>
    <w:rPr>
      <w:rFonts w:ascii="Times New Roman" w:hAnsi="Times New Roman" w:eastAsia="宋体" w:cs="Times New Roman"/>
      <w:sz w:val="21"/>
    </w:rPr>
  </w:style>
  <w:style w:type="paragraph" w:styleId="21">
    <w:name w:val="List Bullet"/>
    <w:basedOn w:val="1"/>
    <w:qFormat/>
    <w:uiPriority w:val="0"/>
    <w:pPr>
      <w:numPr>
        <w:ilvl w:val="0"/>
        <w:numId w:val="2"/>
      </w:numPr>
    </w:pPr>
  </w:style>
  <w:style w:type="paragraph" w:styleId="22">
    <w:name w:val="Document Map"/>
    <w:basedOn w:val="1"/>
    <w:link w:val="71"/>
    <w:qFormat/>
    <w:uiPriority w:val="0"/>
    <w:pPr>
      <w:shd w:val="clear" w:color="auto" w:fill="000080"/>
    </w:pPr>
    <w:rPr>
      <w:rFonts w:ascii="Times New Roman" w:hAnsi="Times New Roman" w:eastAsia="宋体" w:cs="Times New Roman"/>
      <w:kern w:val="0"/>
      <w:sz w:val="20"/>
    </w:rPr>
  </w:style>
  <w:style w:type="paragraph" w:styleId="23">
    <w:name w:val="Body Text 3"/>
    <w:basedOn w:val="1"/>
    <w:link w:val="83"/>
    <w:qFormat/>
    <w:uiPriority w:val="0"/>
    <w:pPr>
      <w:adjustRightInd w:val="0"/>
      <w:spacing w:after="120" w:line="360" w:lineRule="atLeast"/>
      <w:textAlignment w:val="baseline"/>
    </w:pPr>
    <w:rPr>
      <w:rFonts w:ascii="Times New Roman" w:hAnsi="Times New Roman" w:eastAsia="宋体" w:cs="Times New Roman"/>
      <w:kern w:val="0"/>
      <w:sz w:val="16"/>
      <w:szCs w:val="16"/>
    </w:rPr>
  </w:style>
  <w:style w:type="paragraph" w:styleId="24">
    <w:name w:val="Body Text Indent"/>
    <w:basedOn w:val="1"/>
    <w:link w:val="79"/>
    <w:qFormat/>
    <w:uiPriority w:val="0"/>
    <w:pPr>
      <w:ind w:firstLine="560" w:firstLineChars="200"/>
    </w:pPr>
    <w:rPr>
      <w:rFonts w:ascii="宋体" w:hAnsi="宋体" w:eastAsia="宋体" w:cs="Times New Roman"/>
      <w:kern w:val="0"/>
      <w:sz w:val="28"/>
      <w:szCs w:val="28"/>
    </w:rPr>
  </w:style>
  <w:style w:type="paragraph" w:styleId="25">
    <w:name w:val="List 2"/>
    <w:basedOn w:val="1"/>
    <w:qFormat/>
    <w:uiPriority w:val="0"/>
    <w:pPr>
      <w:ind w:left="100" w:leftChars="200" w:hanging="200" w:hangingChars="200"/>
    </w:pPr>
    <w:rPr>
      <w:rFonts w:ascii="Times New Roman" w:hAnsi="Times New Roman" w:eastAsia="宋体" w:cs="Times New Roman"/>
      <w:sz w:val="21"/>
    </w:rPr>
  </w:style>
  <w:style w:type="paragraph" w:styleId="26">
    <w:name w:val="List Continue"/>
    <w:basedOn w:val="1"/>
    <w:qFormat/>
    <w:uiPriority w:val="0"/>
    <w:pPr>
      <w:spacing w:after="120"/>
      <w:ind w:left="420" w:leftChars="200"/>
    </w:pPr>
    <w:rPr>
      <w:rFonts w:ascii="Times New Roman" w:hAnsi="Times New Roman" w:eastAsia="宋体" w:cs="Times New Roman"/>
      <w:sz w:val="21"/>
    </w:rPr>
  </w:style>
  <w:style w:type="paragraph" w:styleId="27">
    <w:name w:val="Block Text"/>
    <w:basedOn w:val="1"/>
    <w:qFormat/>
    <w:uiPriority w:val="0"/>
    <w:pPr>
      <w:spacing w:before="120" w:after="120" w:line="360" w:lineRule="auto"/>
      <w:ind w:left="525" w:right="202"/>
    </w:pPr>
    <w:rPr>
      <w:rFonts w:ascii="宋体" w:hAnsi="宋体" w:eastAsia="宋体" w:cs="Times New Roman"/>
      <w:spacing w:val="-4"/>
    </w:rPr>
  </w:style>
  <w:style w:type="paragraph" w:styleId="28">
    <w:name w:val="List Bullet 2"/>
    <w:basedOn w:val="1"/>
    <w:qFormat/>
    <w:uiPriority w:val="0"/>
    <w:pPr>
      <w:numPr>
        <w:ilvl w:val="0"/>
        <w:numId w:val="3"/>
      </w:numPr>
    </w:pPr>
  </w:style>
  <w:style w:type="paragraph" w:styleId="29">
    <w:name w:val="toc 5"/>
    <w:basedOn w:val="1"/>
    <w:next w:val="1"/>
    <w:qFormat/>
    <w:uiPriority w:val="0"/>
    <w:pPr>
      <w:ind w:left="840"/>
      <w:jc w:val="left"/>
    </w:pPr>
    <w:rPr>
      <w:rFonts w:ascii="Times New Roman" w:hAnsi="Times New Roman" w:eastAsia="宋体" w:cs="Times New Roman"/>
      <w:sz w:val="20"/>
      <w:szCs w:val="20"/>
    </w:rPr>
  </w:style>
  <w:style w:type="paragraph" w:styleId="30">
    <w:name w:val="toc 3"/>
    <w:basedOn w:val="1"/>
    <w:next w:val="1"/>
    <w:qFormat/>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74"/>
    <w:qFormat/>
    <w:uiPriority w:val="0"/>
    <w:rPr>
      <w:rFonts w:ascii="宋体" w:hAnsi="Courier New" w:eastAsia="宋体" w:cs="Times New Roman"/>
      <w:kern w:val="0"/>
      <w:sz w:val="20"/>
      <w:szCs w:val="21"/>
    </w:rPr>
  </w:style>
  <w:style w:type="paragraph" w:styleId="32">
    <w:name w:val="toc 8"/>
    <w:basedOn w:val="1"/>
    <w:next w:val="1"/>
    <w:qFormat/>
    <w:uiPriority w:val="0"/>
    <w:pPr>
      <w:ind w:left="1470"/>
      <w:jc w:val="left"/>
    </w:pPr>
    <w:rPr>
      <w:rFonts w:ascii="Times New Roman" w:hAnsi="Times New Roman" w:eastAsia="宋体" w:cs="Times New Roman"/>
      <w:sz w:val="20"/>
      <w:szCs w:val="20"/>
    </w:rPr>
  </w:style>
  <w:style w:type="paragraph" w:styleId="33">
    <w:name w:val="Date"/>
    <w:basedOn w:val="1"/>
    <w:next w:val="1"/>
    <w:link w:val="68"/>
    <w:qFormat/>
    <w:uiPriority w:val="0"/>
    <w:pPr>
      <w:ind w:left="100" w:leftChars="2500"/>
    </w:pPr>
    <w:rPr>
      <w:rFonts w:ascii="Times New Roman" w:hAnsi="Times New Roman" w:eastAsia="宋体" w:cs="Times New Roman"/>
      <w:kern w:val="0"/>
      <w:sz w:val="20"/>
    </w:rPr>
  </w:style>
  <w:style w:type="paragraph" w:styleId="34">
    <w:name w:val="Body Text Indent 2"/>
    <w:basedOn w:val="1"/>
    <w:link w:val="94"/>
    <w:qFormat/>
    <w:uiPriority w:val="0"/>
    <w:pPr>
      <w:spacing w:after="120" w:line="480" w:lineRule="auto"/>
      <w:ind w:left="420" w:leftChars="200"/>
    </w:pPr>
    <w:rPr>
      <w:rFonts w:ascii="Times New Roman" w:hAnsi="Times New Roman" w:eastAsia="宋体" w:cs="Times New Roman"/>
      <w:kern w:val="0"/>
      <w:sz w:val="20"/>
    </w:rPr>
  </w:style>
  <w:style w:type="paragraph" w:styleId="35">
    <w:name w:val="Balloon Text"/>
    <w:basedOn w:val="1"/>
    <w:link w:val="69"/>
    <w:semiHidden/>
    <w:qFormat/>
    <w:uiPriority w:val="0"/>
    <w:rPr>
      <w:rFonts w:ascii="Times New Roman" w:hAnsi="Times New Roman" w:eastAsia="宋体" w:cs="Times New Roman"/>
      <w:kern w:val="0"/>
      <w:sz w:val="18"/>
      <w:szCs w:val="18"/>
    </w:rPr>
  </w:style>
  <w:style w:type="paragraph" w:styleId="36">
    <w:name w:val="footer"/>
    <w:basedOn w:val="1"/>
    <w:link w:val="87"/>
    <w:qFormat/>
    <w:uiPriority w:val="99"/>
    <w:pPr>
      <w:tabs>
        <w:tab w:val="center" w:pos="4153"/>
        <w:tab w:val="right" w:pos="8306"/>
      </w:tabs>
      <w:snapToGrid w:val="0"/>
      <w:jc w:val="left"/>
    </w:pPr>
    <w:rPr>
      <w:rFonts w:ascii="Times New Roman" w:hAnsi="Times New Roman" w:eastAsia="宋体" w:cs="Times New Roman"/>
      <w:kern w:val="0"/>
      <w:sz w:val="18"/>
      <w:szCs w:val="20"/>
    </w:rPr>
  </w:style>
  <w:style w:type="paragraph" w:styleId="37">
    <w:name w:val="Body Text First Indent 2"/>
    <w:basedOn w:val="24"/>
    <w:link w:val="78"/>
    <w:qFormat/>
    <w:uiPriority w:val="0"/>
    <w:pPr>
      <w:spacing w:after="120"/>
      <w:ind w:left="420" w:leftChars="200" w:firstLine="420"/>
    </w:pPr>
    <w:rPr>
      <w:szCs w:val="24"/>
    </w:rPr>
  </w:style>
  <w:style w:type="paragraph" w:styleId="38">
    <w:name w:val="header"/>
    <w:basedOn w:val="1"/>
    <w:link w:val="8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39">
    <w:name w:val="toc 1"/>
    <w:basedOn w:val="1"/>
    <w:next w:val="1"/>
    <w:qFormat/>
    <w:uiPriority w:val="39"/>
    <w:pPr>
      <w:adjustRightInd w:val="0"/>
      <w:snapToGrid w:val="0"/>
    </w:pPr>
    <w:rPr>
      <w:rFonts w:ascii="Times New Roman" w:hAnsi="Times New Roman" w:eastAsia="仿宋" w:cs="Times New Roman"/>
      <w:sz w:val="21"/>
    </w:rPr>
  </w:style>
  <w:style w:type="paragraph" w:styleId="40">
    <w:name w:val="toc 4"/>
    <w:basedOn w:val="1"/>
    <w:next w:val="1"/>
    <w:qFormat/>
    <w:uiPriority w:val="0"/>
    <w:pPr>
      <w:ind w:left="630"/>
      <w:jc w:val="left"/>
    </w:pPr>
    <w:rPr>
      <w:rFonts w:ascii="楷体_GB2312" w:hAnsi="Times New Roman" w:eastAsia="楷体_GB2312" w:cs="Times New Roman"/>
      <w:sz w:val="28"/>
      <w:szCs w:val="20"/>
    </w:rPr>
  </w:style>
  <w:style w:type="paragraph" w:styleId="41">
    <w:name w:val="List"/>
    <w:basedOn w:val="1"/>
    <w:qFormat/>
    <w:uiPriority w:val="0"/>
    <w:pPr>
      <w:ind w:left="200" w:hanging="200" w:hangingChars="200"/>
    </w:pPr>
    <w:rPr>
      <w:rFonts w:ascii="Times New Roman" w:hAnsi="Times New Roman" w:eastAsia="宋体" w:cs="Times New Roman"/>
      <w:sz w:val="21"/>
    </w:rPr>
  </w:style>
  <w:style w:type="paragraph" w:styleId="42">
    <w:name w:val="toc 6"/>
    <w:basedOn w:val="1"/>
    <w:next w:val="1"/>
    <w:qFormat/>
    <w:uiPriority w:val="0"/>
    <w:pPr>
      <w:ind w:left="1050"/>
      <w:jc w:val="left"/>
    </w:pPr>
    <w:rPr>
      <w:rFonts w:ascii="Times New Roman" w:hAnsi="Times New Roman" w:eastAsia="宋体" w:cs="Times New Roman"/>
      <w:sz w:val="20"/>
      <w:szCs w:val="20"/>
    </w:rPr>
  </w:style>
  <w:style w:type="paragraph" w:styleId="43">
    <w:name w:val="Body Text Indent 3"/>
    <w:basedOn w:val="1"/>
    <w:link w:val="89"/>
    <w:qFormat/>
    <w:uiPriority w:val="0"/>
    <w:pPr>
      <w:spacing w:after="120"/>
      <w:ind w:left="420" w:leftChars="200"/>
    </w:pPr>
    <w:rPr>
      <w:rFonts w:ascii="Times New Roman" w:hAnsi="Times New Roman" w:eastAsia="宋体" w:cs="Times New Roman"/>
      <w:kern w:val="0"/>
      <w:sz w:val="16"/>
      <w:szCs w:val="16"/>
    </w:rPr>
  </w:style>
  <w:style w:type="paragraph" w:styleId="44">
    <w:name w:val="toc 2"/>
    <w:basedOn w:val="1"/>
    <w:next w:val="1"/>
    <w:qFormat/>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5">
    <w:name w:val="toc 9"/>
    <w:basedOn w:val="1"/>
    <w:next w:val="1"/>
    <w:qFormat/>
    <w:uiPriority w:val="0"/>
    <w:pPr>
      <w:ind w:left="1680"/>
      <w:jc w:val="left"/>
    </w:pPr>
    <w:rPr>
      <w:rFonts w:ascii="Times New Roman" w:hAnsi="Times New Roman" w:eastAsia="宋体" w:cs="Times New Roman"/>
      <w:sz w:val="20"/>
      <w:szCs w:val="20"/>
    </w:rPr>
  </w:style>
  <w:style w:type="paragraph" w:styleId="46">
    <w:name w:val="Body Text 2"/>
    <w:basedOn w:val="1"/>
    <w:link w:val="70"/>
    <w:unhideWhenUsed/>
    <w:qFormat/>
    <w:uiPriority w:val="0"/>
    <w:pPr>
      <w:spacing w:after="120" w:line="480" w:lineRule="auto"/>
    </w:pPr>
    <w:rPr>
      <w:rFonts w:ascii="Times New Roman" w:hAnsi="Times New Roman" w:eastAsia="宋体" w:cs="Times New Roman"/>
      <w:kern w:val="0"/>
      <w:sz w:val="20"/>
    </w:rPr>
  </w:style>
  <w:style w:type="paragraph" w:styleId="47">
    <w:name w:val="List 4"/>
    <w:basedOn w:val="1"/>
    <w:qFormat/>
    <w:uiPriority w:val="0"/>
    <w:pPr>
      <w:ind w:left="100" w:leftChars="600" w:hanging="200" w:hangingChars="200"/>
    </w:pPr>
    <w:rPr>
      <w:rFonts w:ascii="Times New Roman" w:hAnsi="Times New Roman" w:eastAsia="宋体" w:cs="Times New Roman"/>
      <w:sz w:val="21"/>
    </w:rPr>
  </w:style>
  <w:style w:type="paragraph" w:styleId="48">
    <w:name w:val="List Continue 2"/>
    <w:basedOn w:val="1"/>
    <w:qFormat/>
    <w:uiPriority w:val="0"/>
    <w:pPr>
      <w:spacing w:after="120"/>
      <w:ind w:left="840" w:leftChars="400"/>
    </w:pPr>
    <w:rPr>
      <w:rFonts w:ascii="Times New Roman" w:hAnsi="Times New Roman" w:eastAsia="宋体" w:cs="Times New Roman"/>
      <w:sz w:val="21"/>
    </w:rPr>
  </w:style>
  <w:style w:type="paragraph" w:styleId="49">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qFormat/>
    <w:uiPriority w:val="0"/>
    <w:pPr>
      <w:adjustRightInd w:val="0"/>
      <w:snapToGrid w:val="0"/>
      <w:jc w:val="center"/>
    </w:pPr>
    <w:rPr>
      <w:rFonts w:ascii="Times New Roman" w:hAnsi="Times New Roman" w:eastAsia="宋体" w:cs="Times New Roman"/>
      <w:sz w:val="21"/>
      <w:szCs w:val="20"/>
    </w:rPr>
  </w:style>
  <w:style w:type="paragraph" w:styleId="51">
    <w:name w:val="Title"/>
    <w:basedOn w:val="1"/>
    <w:next w:val="1"/>
    <w:link w:val="96"/>
    <w:qFormat/>
    <w:uiPriority w:val="99"/>
    <w:pPr>
      <w:spacing w:before="60" w:after="60"/>
      <w:jc w:val="center"/>
      <w:outlineLvl w:val="0"/>
    </w:pPr>
    <w:rPr>
      <w:rFonts w:ascii="Cambria" w:hAnsi="Cambria" w:eastAsia="黑体" w:cs="Times New Roman"/>
      <w:b/>
      <w:bCs/>
      <w:kern w:val="0"/>
      <w:sz w:val="32"/>
      <w:szCs w:val="32"/>
    </w:rPr>
  </w:style>
  <w:style w:type="character" w:styleId="53">
    <w:name w:val="Strong"/>
    <w:qFormat/>
    <w:uiPriority w:val="0"/>
    <w:rPr>
      <w:rFonts w:asciiTheme="minorHAnsi" w:hAnsiTheme="minorHAnsi" w:eastAsiaTheme="minorEastAsia" w:cstheme="minorBidi"/>
      <w:b/>
      <w:bCs/>
    </w:rPr>
  </w:style>
  <w:style w:type="character" w:styleId="54">
    <w:name w:val="page number"/>
    <w:basedOn w:val="52"/>
    <w:qFormat/>
    <w:uiPriority w:val="0"/>
    <w:rPr>
      <w:rFonts w:asciiTheme="minorHAnsi" w:hAnsiTheme="minorHAnsi" w:eastAsiaTheme="minorEastAsia" w:cstheme="minorBidi"/>
    </w:rPr>
  </w:style>
  <w:style w:type="character" w:styleId="55">
    <w:name w:val="FollowedHyperlink"/>
    <w:unhideWhenUsed/>
    <w:qFormat/>
    <w:uiPriority w:val="99"/>
    <w:rPr>
      <w:rFonts w:asciiTheme="minorHAnsi" w:hAnsiTheme="minorHAnsi" w:eastAsiaTheme="minorEastAsia" w:cstheme="minorBidi"/>
      <w:color w:val="800080"/>
      <w:u w:val="single"/>
    </w:rPr>
  </w:style>
  <w:style w:type="character" w:styleId="56">
    <w:name w:val="Hyperlink"/>
    <w:qFormat/>
    <w:uiPriority w:val="99"/>
    <w:rPr>
      <w:rFonts w:asciiTheme="minorHAnsi" w:hAnsiTheme="minorHAnsi" w:eastAsiaTheme="minorEastAsia" w:cstheme="minorBidi"/>
      <w:color w:val="0000FF"/>
      <w:u w:val="single"/>
    </w:rPr>
  </w:style>
  <w:style w:type="character" w:styleId="57">
    <w:name w:val="annotation reference"/>
    <w:semiHidden/>
    <w:qFormat/>
    <w:uiPriority w:val="0"/>
    <w:rPr>
      <w:rFonts w:asciiTheme="minorHAnsi" w:hAnsiTheme="minorHAnsi" w:eastAsiaTheme="minorEastAsia" w:cstheme="minorBidi"/>
      <w:sz w:val="21"/>
      <w:szCs w:val="21"/>
    </w:rPr>
  </w:style>
  <w:style w:type="character" w:customStyle="1" w:styleId="59">
    <w:name w:val="标题 1 字符"/>
    <w:basedOn w:val="52"/>
    <w:link w:val="2"/>
    <w:qFormat/>
    <w:uiPriority w:val="0"/>
    <w:rPr>
      <w:rFonts w:ascii="Times New Roman" w:hAnsi="Times New Roman" w:eastAsia="宋体" w:cs="Times New Roman"/>
      <w:b/>
      <w:bCs/>
      <w:kern w:val="44"/>
      <w:sz w:val="30"/>
      <w:szCs w:val="44"/>
    </w:rPr>
  </w:style>
  <w:style w:type="character" w:customStyle="1" w:styleId="60">
    <w:name w:val="标题 2 字符"/>
    <w:basedOn w:val="52"/>
    <w:link w:val="3"/>
    <w:qFormat/>
    <w:uiPriority w:val="0"/>
    <w:rPr>
      <w:rFonts w:ascii="Arial" w:hAnsi="Arial" w:eastAsia="宋体" w:cs="Times New Roman"/>
      <w:b/>
      <w:bCs/>
      <w:kern w:val="0"/>
      <w:sz w:val="28"/>
      <w:szCs w:val="32"/>
    </w:rPr>
  </w:style>
  <w:style w:type="character" w:customStyle="1" w:styleId="61">
    <w:name w:val="标题 3 字符"/>
    <w:basedOn w:val="52"/>
    <w:link w:val="4"/>
    <w:qFormat/>
    <w:uiPriority w:val="0"/>
    <w:rPr>
      <w:rFonts w:ascii="宋体" w:hAnsi="Times New Roman" w:eastAsia="宋体" w:cs="Times New Roman"/>
      <w:b/>
      <w:kern w:val="0"/>
      <w:sz w:val="28"/>
      <w:szCs w:val="20"/>
    </w:rPr>
  </w:style>
  <w:style w:type="character" w:customStyle="1" w:styleId="62">
    <w:name w:val="标题 4 字符"/>
    <w:basedOn w:val="52"/>
    <w:link w:val="5"/>
    <w:qFormat/>
    <w:uiPriority w:val="0"/>
    <w:rPr>
      <w:rFonts w:ascii="Arial" w:hAnsi="Arial" w:eastAsia="黑体" w:cs="Times New Roman"/>
      <w:b/>
      <w:bCs/>
      <w:kern w:val="0"/>
      <w:sz w:val="28"/>
      <w:szCs w:val="28"/>
    </w:rPr>
  </w:style>
  <w:style w:type="character" w:customStyle="1" w:styleId="63">
    <w:name w:val="标题 5 字符"/>
    <w:basedOn w:val="52"/>
    <w:link w:val="6"/>
    <w:qFormat/>
    <w:uiPriority w:val="0"/>
    <w:rPr>
      <w:rFonts w:ascii="Times New Roman" w:hAnsi="Times New Roman" w:eastAsia="宋体" w:cs="Times New Roman"/>
      <w:b/>
      <w:bCs/>
      <w:kern w:val="0"/>
      <w:sz w:val="28"/>
      <w:szCs w:val="28"/>
    </w:rPr>
  </w:style>
  <w:style w:type="character" w:customStyle="1" w:styleId="64">
    <w:name w:val="标题 6 字符"/>
    <w:basedOn w:val="52"/>
    <w:link w:val="7"/>
    <w:qFormat/>
    <w:uiPriority w:val="0"/>
    <w:rPr>
      <w:rFonts w:ascii="Arial" w:hAnsi="Arial" w:eastAsia="黑体" w:cs="Times New Roman"/>
      <w:b/>
      <w:bCs/>
      <w:kern w:val="0"/>
    </w:rPr>
  </w:style>
  <w:style w:type="character" w:customStyle="1" w:styleId="65">
    <w:name w:val="标题 7 字符"/>
    <w:basedOn w:val="52"/>
    <w:link w:val="8"/>
    <w:qFormat/>
    <w:uiPriority w:val="0"/>
    <w:rPr>
      <w:rFonts w:ascii="Times New Roman" w:hAnsi="Times New Roman" w:eastAsia="宋体" w:cs="Times New Roman"/>
      <w:b/>
      <w:bCs/>
      <w:kern w:val="0"/>
    </w:rPr>
  </w:style>
  <w:style w:type="character" w:customStyle="1" w:styleId="66">
    <w:name w:val="标题 8 字符"/>
    <w:basedOn w:val="52"/>
    <w:link w:val="9"/>
    <w:qFormat/>
    <w:uiPriority w:val="0"/>
    <w:rPr>
      <w:rFonts w:ascii="Arial" w:hAnsi="Arial" w:eastAsia="黑体" w:cs="Times New Roman"/>
      <w:kern w:val="0"/>
    </w:rPr>
  </w:style>
  <w:style w:type="character" w:customStyle="1" w:styleId="67">
    <w:name w:val="标题 9 字符"/>
    <w:basedOn w:val="52"/>
    <w:link w:val="10"/>
    <w:qFormat/>
    <w:uiPriority w:val="0"/>
    <w:rPr>
      <w:rFonts w:ascii="Arial" w:hAnsi="Arial" w:eastAsia="黑体" w:cs="Times New Roman"/>
      <w:kern w:val="0"/>
      <w:sz w:val="20"/>
      <w:szCs w:val="21"/>
    </w:rPr>
  </w:style>
  <w:style w:type="character" w:customStyle="1" w:styleId="68">
    <w:name w:val="日期 字符"/>
    <w:link w:val="33"/>
    <w:qFormat/>
    <w:uiPriority w:val="0"/>
    <w:rPr>
      <w:rFonts w:ascii="Times New Roman" w:hAnsi="Times New Roman" w:eastAsia="宋体" w:cs="Times New Roman"/>
      <w:kern w:val="0"/>
      <w:sz w:val="20"/>
    </w:rPr>
  </w:style>
  <w:style w:type="character" w:customStyle="1" w:styleId="69">
    <w:name w:val="批注框文本 字符"/>
    <w:link w:val="35"/>
    <w:semiHidden/>
    <w:qFormat/>
    <w:uiPriority w:val="0"/>
    <w:rPr>
      <w:rFonts w:ascii="Times New Roman" w:hAnsi="Times New Roman" w:eastAsia="宋体" w:cs="Times New Roman"/>
      <w:kern w:val="0"/>
      <w:sz w:val="18"/>
      <w:szCs w:val="18"/>
    </w:rPr>
  </w:style>
  <w:style w:type="character" w:customStyle="1" w:styleId="70">
    <w:name w:val="正文文本 2 字符"/>
    <w:link w:val="46"/>
    <w:qFormat/>
    <w:uiPriority w:val="0"/>
    <w:rPr>
      <w:rFonts w:ascii="Times New Roman" w:hAnsi="Times New Roman" w:eastAsia="宋体" w:cs="Times New Roman"/>
      <w:kern w:val="0"/>
      <w:sz w:val="20"/>
    </w:rPr>
  </w:style>
  <w:style w:type="character" w:customStyle="1" w:styleId="71">
    <w:name w:val="文档结构图 字符"/>
    <w:link w:val="22"/>
    <w:qFormat/>
    <w:uiPriority w:val="0"/>
    <w:rPr>
      <w:rFonts w:ascii="Times New Roman" w:hAnsi="Times New Roman" w:eastAsia="宋体" w:cs="Times New Roman"/>
      <w:kern w:val="0"/>
      <w:sz w:val="20"/>
    </w:rPr>
  </w:style>
  <w:style w:type="character" w:customStyle="1" w:styleId="72">
    <w:name w:val="font51"/>
    <w:qFormat/>
    <w:uiPriority w:val="0"/>
    <w:rPr>
      <w:rFonts w:hint="default" w:ascii="Times New Roman" w:hAnsi="Times New Roman" w:cs="Times New Roman" w:eastAsiaTheme="minorEastAsia"/>
      <w:b/>
      <w:color w:val="000000"/>
      <w:sz w:val="24"/>
      <w:szCs w:val="24"/>
      <w:u w:val="none"/>
    </w:rPr>
  </w:style>
  <w:style w:type="character" w:customStyle="1" w:styleId="73">
    <w:name w:val="Char Char"/>
    <w:qFormat/>
    <w:uiPriority w:val="0"/>
    <w:rPr>
      <w:rFonts w:ascii="宋体" w:hAnsi="Courier New" w:eastAsia="宋体" w:cs="Courier New"/>
      <w:kern w:val="2"/>
      <w:sz w:val="21"/>
      <w:szCs w:val="21"/>
      <w:lang w:val="en-US" w:eastAsia="zh-CN" w:bidi="ar-SA"/>
    </w:rPr>
  </w:style>
  <w:style w:type="character" w:customStyle="1" w:styleId="74">
    <w:name w:val="纯文本 字符"/>
    <w:link w:val="31"/>
    <w:qFormat/>
    <w:uiPriority w:val="0"/>
    <w:rPr>
      <w:rFonts w:ascii="宋体" w:hAnsi="Courier New" w:eastAsia="宋体" w:cs="Times New Roman"/>
      <w:kern w:val="0"/>
      <w:sz w:val="20"/>
      <w:szCs w:val="21"/>
    </w:rPr>
  </w:style>
  <w:style w:type="character" w:customStyle="1" w:styleId="75">
    <w:name w:val="注释文本字符"/>
    <w:semiHidden/>
    <w:qFormat/>
    <w:uiPriority w:val="0"/>
    <w:rPr>
      <w:rFonts w:ascii="Times New Roman" w:hAnsi="Times New Roman" w:eastAsia="宋体" w:cs="Times New Roman"/>
      <w:kern w:val="0"/>
      <w:sz w:val="20"/>
      <w:szCs w:val="24"/>
    </w:rPr>
  </w:style>
  <w:style w:type="character" w:customStyle="1" w:styleId="76">
    <w:name w:val="Char Char3"/>
    <w:qFormat/>
    <w:uiPriority w:val="0"/>
    <w:rPr>
      <w:rFonts w:eastAsia="宋体" w:asciiTheme="minorHAnsi" w:hAnsiTheme="minorHAnsi" w:cstheme="minorBidi"/>
      <w:kern w:val="2"/>
      <w:sz w:val="18"/>
      <w:szCs w:val="18"/>
      <w:lang w:val="en-US" w:eastAsia="zh-CN" w:bidi="ar-SA"/>
    </w:rPr>
  </w:style>
  <w:style w:type="character" w:customStyle="1" w:styleId="77">
    <w:name w:val="font61"/>
    <w:qFormat/>
    <w:uiPriority w:val="0"/>
    <w:rPr>
      <w:rFonts w:hint="default" w:ascii="Times New Roman" w:hAnsi="Times New Roman" w:cs="Times New Roman" w:eastAsiaTheme="minorEastAsia"/>
      <w:color w:val="000000"/>
      <w:sz w:val="24"/>
      <w:szCs w:val="24"/>
      <w:u w:val="none"/>
    </w:rPr>
  </w:style>
  <w:style w:type="character" w:customStyle="1" w:styleId="78">
    <w:name w:val="正文首行缩进 2 字符"/>
    <w:link w:val="37"/>
    <w:qFormat/>
    <w:uiPriority w:val="0"/>
    <w:rPr>
      <w:rFonts w:asciiTheme="minorHAnsi" w:hAnsiTheme="minorHAnsi" w:eastAsiaTheme="minorEastAsia" w:cstheme="minorBidi"/>
      <w:szCs w:val="24"/>
    </w:rPr>
  </w:style>
  <w:style w:type="character" w:customStyle="1" w:styleId="79">
    <w:name w:val="正文文本缩进 字符"/>
    <w:link w:val="24"/>
    <w:qFormat/>
    <w:uiPriority w:val="0"/>
    <w:rPr>
      <w:rFonts w:ascii="宋体" w:hAnsi="宋体" w:eastAsia="宋体" w:cs="Times New Roman"/>
      <w:kern w:val="0"/>
      <w:sz w:val="28"/>
      <w:szCs w:val="28"/>
    </w:rPr>
  </w:style>
  <w:style w:type="character" w:customStyle="1" w:styleId="80">
    <w:name w:val="font21"/>
    <w:qFormat/>
    <w:uiPriority w:val="0"/>
    <w:rPr>
      <w:rFonts w:hint="default" w:ascii="Times New Roman" w:hAnsi="Times New Roman" w:cs="Times New Roman" w:eastAsiaTheme="minorEastAsia"/>
      <w:color w:val="000000"/>
      <w:sz w:val="24"/>
      <w:szCs w:val="24"/>
      <w:u w:val="none"/>
      <w:vertAlign w:val="superscript"/>
    </w:rPr>
  </w:style>
  <w:style w:type="character" w:customStyle="1" w:styleId="81">
    <w:name w:val="font71"/>
    <w:qFormat/>
    <w:uiPriority w:val="0"/>
    <w:rPr>
      <w:rFonts w:hint="eastAsia" w:ascii="宋体" w:hAnsi="宋体" w:eastAsia="宋体" w:cs="宋体"/>
      <w:color w:val="000000"/>
      <w:sz w:val="24"/>
      <w:szCs w:val="24"/>
      <w:u w:val="none"/>
    </w:rPr>
  </w:style>
  <w:style w:type="character" w:customStyle="1" w:styleId="82">
    <w:name w:val="zbggmain style9"/>
    <w:basedOn w:val="52"/>
    <w:qFormat/>
    <w:uiPriority w:val="0"/>
    <w:rPr>
      <w:rFonts w:asciiTheme="minorHAnsi" w:hAnsiTheme="minorHAnsi" w:eastAsiaTheme="minorEastAsia" w:cstheme="minorBidi"/>
    </w:rPr>
  </w:style>
  <w:style w:type="character" w:customStyle="1" w:styleId="83">
    <w:name w:val="正文文本 3 字符"/>
    <w:link w:val="23"/>
    <w:qFormat/>
    <w:uiPriority w:val="0"/>
    <w:rPr>
      <w:rFonts w:ascii="Times New Roman" w:hAnsi="Times New Roman" w:eastAsia="宋体" w:cs="Times New Roman"/>
      <w:kern w:val="0"/>
      <w:sz w:val="16"/>
      <w:szCs w:val="16"/>
    </w:rPr>
  </w:style>
  <w:style w:type="character" w:customStyle="1" w:styleId="84">
    <w:name w:val="px1233"/>
    <w:basedOn w:val="52"/>
    <w:qFormat/>
    <w:uiPriority w:val="0"/>
    <w:rPr>
      <w:rFonts w:asciiTheme="minorHAnsi" w:hAnsiTheme="minorHAnsi" w:eastAsiaTheme="minorEastAsia" w:cstheme="minorBidi"/>
    </w:rPr>
  </w:style>
  <w:style w:type="character" w:customStyle="1" w:styleId="85">
    <w:name w:val="font11"/>
    <w:qFormat/>
    <w:uiPriority w:val="0"/>
    <w:rPr>
      <w:rFonts w:hint="default" w:ascii="Times New Roman" w:hAnsi="Times New Roman" w:cs="Times New Roman" w:eastAsiaTheme="minorEastAsia"/>
      <w:color w:val="000000"/>
      <w:sz w:val="21"/>
      <w:szCs w:val="21"/>
      <w:u w:val="none"/>
    </w:rPr>
  </w:style>
  <w:style w:type="character" w:customStyle="1" w:styleId="86">
    <w:name w:val="页眉 字符"/>
    <w:link w:val="38"/>
    <w:qFormat/>
    <w:uiPriority w:val="0"/>
    <w:rPr>
      <w:rFonts w:ascii="Times New Roman" w:hAnsi="Times New Roman" w:eastAsia="宋体" w:cs="Times New Roman"/>
      <w:kern w:val="0"/>
      <w:sz w:val="18"/>
      <w:szCs w:val="20"/>
    </w:rPr>
  </w:style>
  <w:style w:type="character" w:customStyle="1" w:styleId="87">
    <w:name w:val="页脚 字符"/>
    <w:link w:val="36"/>
    <w:qFormat/>
    <w:uiPriority w:val="99"/>
    <w:rPr>
      <w:rFonts w:ascii="Times New Roman" w:hAnsi="Times New Roman" w:eastAsia="宋体" w:cs="Times New Roman"/>
      <w:kern w:val="0"/>
      <w:sz w:val="18"/>
      <w:szCs w:val="20"/>
    </w:rPr>
  </w:style>
  <w:style w:type="character" w:customStyle="1" w:styleId="88">
    <w:name w:val="font41"/>
    <w:qFormat/>
    <w:uiPriority w:val="0"/>
    <w:rPr>
      <w:rFonts w:hint="eastAsia" w:ascii="宋体" w:hAnsi="宋体" w:eastAsia="宋体" w:cs="宋体"/>
      <w:b/>
      <w:color w:val="000000"/>
      <w:sz w:val="24"/>
      <w:szCs w:val="24"/>
      <w:u w:val="none"/>
    </w:rPr>
  </w:style>
  <w:style w:type="character" w:customStyle="1" w:styleId="89">
    <w:name w:val="正文文本缩进 3 字符"/>
    <w:link w:val="43"/>
    <w:qFormat/>
    <w:uiPriority w:val="0"/>
    <w:rPr>
      <w:rFonts w:ascii="Times New Roman" w:hAnsi="Times New Roman" w:eastAsia="宋体" w:cs="Times New Roman"/>
      <w:kern w:val="0"/>
      <w:sz w:val="16"/>
      <w:szCs w:val="16"/>
    </w:rPr>
  </w:style>
  <w:style w:type="character" w:customStyle="1" w:styleId="90">
    <w:name w:val="正文首行缩进 字符"/>
    <w:basedOn w:val="91"/>
    <w:link w:val="15"/>
    <w:qFormat/>
    <w:uiPriority w:val="0"/>
    <w:rPr>
      <w:rFonts w:ascii="Times New Roman" w:hAnsi="Times New Roman" w:eastAsia="宋体" w:cs="Times New Roman"/>
      <w:kern w:val="0"/>
      <w:sz w:val="20"/>
      <w:szCs w:val="24"/>
    </w:rPr>
  </w:style>
  <w:style w:type="character" w:customStyle="1" w:styleId="91">
    <w:name w:val="正文文本字符"/>
    <w:qFormat/>
    <w:uiPriority w:val="0"/>
    <w:rPr>
      <w:rFonts w:ascii="Times New Roman" w:hAnsi="Times New Roman" w:eastAsia="宋体" w:cs="Times New Roman"/>
      <w:kern w:val="0"/>
      <w:sz w:val="20"/>
      <w:szCs w:val="24"/>
    </w:rPr>
  </w:style>
  <w:style w:type="character" w:customStyle="1" w:styleId="92">
    <w:name w:val="Char Char2"/>
    <w:qFormat/>
    <w:uiPriority w:val="0"/>
    <w:rPr>
      <w:rFonts w:eastAsia="宋体" w:asciiTheme="minorHAnsi" w:hAnsiTheme="minorHAnsi" w:cstheme="minorBidi"/>
      <w:kern w:val="2"/>
      <w:sz w:val="18"/>
      <w:szCs w:val="18"/>
      <w:lang w:val="en-US" w:eastAsia="zh-CN" w:bidi="ar-SA"/>
    </w:rPr>
  </w:style>
  <w:style w:type="character" w:customStyle="1" w:styleId="93">
    <w:name w:val="font01"/>
    <w:qFormat/>
    <w:uiPriority w:val="0"/>
    <w:rPr>
      <w:rFonts w:hint="eastAsia" w:ascii="宋体" w:hAnsi="宋体" w:eastAsia="宋体" w:cs="宋体"/>
      <w:color w:val="000000"/>
      <w:sz w:val="21"/>
      <w:szCs w:val="21"/>
      <w:u w:val="none"/>
    </w:rPr>
  </w:style>
  <w:style w:type="character" w:customStyle="1" w:styleId="94">
    <w:name w:val="正文文本缩进 2 字符"/>
    <w:link w:val="34"/>
    <w:qFormat/>
    <w:uiPriority w:val="0"/>
    <w:rPr>
      <w:rFonts w:ascii="Times New Roman" w:hAnsi="Times New Roman" w:eastAsia="宋体" w:cs="Times New Roman"/>
      <w:kern w:val="0"/>
      <w:sz w:val="20"/>
    </w:rPr>
  </w:style>
  <w:style w:type="character" w:customStyle="1" w:styleId="95">
    <w:name w:val="批注主题 字符"/>
    <w:link w:val="12"/>
    <w:semiHidden/>
    <w:qFormat/>
    <w:uiPriority w:val="0"/>
    <w:rPr>
      <w:rFonts w:ascii="Times New Roman" w:hAnsi="Times New Roman" w:eastAsia="宋体" w:cs="Times New Roman"/>
      <w:b/>
      <w:bCs/>
      <w:kern w:val="0"/>
      <w:sz w:val="20"/>
    </w:rPr>
  </w:style>
  <w:style w:type="character" w:customStyle="1" w:styleId="96">
    <w:name w:val="标题 字符"/>
    <w:link w:val="51"/>
    <w:qFormat/>
    <w:uiPriority w:val="99"/>
    <w:rPr>
      <w:rFonts w:ascii="Cambria" w:hAnsi="Cambria" w:eastAsia="黑体" w:cs="Times New Roman"/>
      <w:b/>
      <w:bCs/>
      <w:kern w:val="0"/>
      <w:sz w:val="32"/>
      <w:szCs w:val="32"/>
    </w:rPr>
  </w:style>
  <w:style w:type="paragraph" w:customStyle="1" w:styleId="97">
    <w:name w:val="样式1"/>
    <w:basedOn w:val="5"/>
    <w:qFormat/>
    <w:uiPriority w:val="0"/>
    <w:pPr>
      <w:tabs>
        <w:tab w:val="left" w:pos="864"/>
      </w:tabs>
      <w:spacing w:before="120" w:after="120" w:line="360" w:lineRule="auto"/>
      <w:ind w:left="864" w:hanging="864"/>
    </w:pPr>
    <w:rPr>
      <w:b w:val="0"/>
      <w:bCs w:val="0"/>
    </w:rPr>
  </w:style>
  <w:style w:type="paragraph" w:customStyle="1" w:styleId="98">
    <w:name w:val="Char Char Char1 Char Char Char Char"/>
    <w:basedOn w:val="1"/>
    <w:qFormat/>
    <w:uiPriority w:val="0"/>
    <w:rPr>
      <w:rFonts w:ascii="Times New Roman" w:hAnsi="Times New Roman" w:eastAsia="宋体" w:cs="Times New Roman"/>
      <w:sz w:val="21"/>
    </w:rPr>
  </w:style>
  <w:style w:type="paragraph" w:customStyle="1" w:styleId="99">
    <w:name w:val="Char Char Char Char Char Char"/>
    <w:basedOn w:val="1"/>
    <w:qFormat/>
    <w:uiPriority w:val="0"/>
    <w:rPr>
      <w:rFonts w:ascii="Times New Roman" w:hAnsi="Times New Roman" w:eastAsia="宋体" w:cs="Times New Roman"/>
      <w:sz w:val="21"/>
    </w:rPr>
  </w:style>
  <w:style w:type="character" w:customStyle="1" w:styleId="100">
    <w:name w:val="批注框文本字符1"/>
    <w:basedOn w:val="52"/>
    <w:semiHidden/>
    <w:qFormat/>
    <w:uiPriority w:val="99"/>
    <w:rPr>
      <w:rFonts w:ascii="Heiti SC Light" w:eastAsia="Heiti SC Light" w:hAnsiTheme="minorHAnsi" w:cstheme="minorBidi"/>
      <w:sz w:val="18"/>
      <w:szCs w:val="18"/>
    </w:rPr>
  </w:style>
  <w:style w:type="character" w:customStyle="1" w:styleId="101">
    <w:name w:val="日期字符1"/>
    <w:basedOn w:val="52"/>
    <w:semiHidden/>
    <w:qFormat/>
    <w:uiPriority w:val="99"/>
    <w:rPr>
      <w:rFonts w:asciiTheme="minorHAnsi" w:hAnsiTheme="minorHAnsi" w:eastAsiaTheme="minorEastAsia" w:cstheme="minorBidi"/>
    </w:rPr>
  </w:style>
  <w:style w:type="character" w:customStyle="1" w:styleId="102">
    <w:name w:val="纯文本字符1"/>
    <w:basedOn w:val="52"/>
    <w:semiHidden/>
    <w:qFormat/>
    <w:uiPriority w:val="99"/>
    <w:rPr>
      <w:rFonts w:ascii="宋体" w:hAnsi="Courier" w:eastAsia="宋体" w:cstheme="minorBidi"/>
    </w:rPr>
  </w:style>
  <w:style w:type="character" w:customStyle="1" w:styleId="103">
    <w:name w:val="批注文字 字符"/>
    <w:basedOn w:val="52"/>
    <w:link w:val="13"/>
    <w:semiHidden/>
    <w:qFormat/>
    <w:uiPriority w:val="99"/>
    <w:rPr>
      <w:rFonts w:asciiTheme="minorHAnsi" w:hAnsiTheme="minorHAnsi" w:eastAsiaTheme="minorEastAsia" w:cstheme="minorBidi"/>
    </w:rPr>
  </w:style>
  <w:style w:type="character" w:customStyle="1" w:styleId="104">
    <w:name w:val="批注主题字符1"/>
    <w:basedOn w:val="103"/>
    <w:semiHidden/>
    <w:qFormat/>
    <w:uiPriority w:val="99"/>
    <w:rPr>
      <w:rFonts w:asciiTheme="minorHAnsi" w:hAnsiTheme="minorHAnsi" w:eastAsiaTheme="minorEastAsia" w:cstheme="minorBidi"/>
      <w:b/>
      <w:bCs/>
    </w:rPr>
  </w:style>
  <w:style w:type="paragraph" w:customStyle="1" w:styleId="105">
    <w:name w:val="Char Char Char Char"/>
    <w:basedOn w:val="1"/>
    <w:qFormat/>
    <w:uiPriority w:val="0"/>
    <w:rPr>
      <w:rFonts w:ascii="Times New Roman" w:hAnsi="Times New Roman" w:eastAsia="宋体" w:cs="Times New Roman"/>
      <w:sz w:val="21"/>
    </w:rPr>
  </w:style>
  <w:style w:type="character" w:customStyle="1" w:styleId="106">
    <w:name w:val="正文文本 字符"/>
    <w:basedOn w:val="52"/>
    <w:link w:val="16"/>
    <w:semiHidden/>
    <w:qFormat/>
    <w:uiPriority w:val="99"/>
    <w:rPr>
      <w:rFonts w:asciiTheme="minorHAnsi" w:hAnsiTheme="minorHAnsi" w:eastAsiaTheme="minorEastAsia" w:cstheme="minorBidi"/>
    </w:rPr>
  </w:style>
  <w:style w:type="character" w:customStyle="1" w:styleId="107">
    <w:name w:val="正文首行缩进字符1"/>
    <w:basedOn w:val="106"/>
    <w:semiHidden/>
    <w:qFormat/>
    <w:uiPriority w:val="99"/>
    <w:rPr>
      <w:rFonts w:asciiTheme="minorHAnsi" w:hAnsiTheme="minorHAnsi" w:eastAsiaTheme="minorEastAsia" w:cstheme="minorBidi"/>
    </w:rPr>
  </w:style>
  <w:style w:type="character" w:customStyle="1" w:styleId="108">
    <w:name w:val="正文文本缩进 3字符1"/>
    <w:basedOn w:val="52"/>
    <w:semiHidden/>
    <w:qFormat/>
    <w:uiPriority w:val="99"/>
    <w:rPr>
      <w:rFonts w:asciiTheme="minorHAnsi" w:hAnsiTheme="minorHAnsi" w:eastAsiaTheme="minorEastAsia" w:cstheme="minorBidi"/>
      <w:sz w:val="16"/>
      <w:szCs w:val="16"/>
    </w:rPr>
  </w:style>
  <w:style w:type="paragraph" w:customStyle="1" w:styleId="109">
    <w:name w:val="p0"/>
    <w:basedOn w:val="1"/>
    <w:qFormat/>
    <w:uiPriority w:val="0"/>
    <w:pPr>
      <w:widowControl/>
    </w:pPr>
    <w:rPr>
      <w:rFonts w:ascii="Times New Roman" w:hAnsi="Times New Roman" w:eastAsia="宋体" w:cs="Times New Roman"/>
      <w:kern w:val="0"/>
      <w:sz w:val="21"/>
      <w:szCs w:val="21"/>
    </w:rPr>
  </w:style>
  <w:style w:type="character" w:customStyle="1" w:styleId="110">
    <w:name w:val="文档结构图 字符1"/>
    <w:basedOn w:val="52"/>
    <w:semiHidden/>
    <w:qFormat/>
    <w:uiPriority w:val="99"/>
    <w:rPr>
      <w:rFonts w:ascii="Heiti SC Light" w:eastAsia="Heiti SC Light" w:hAnsiTheme="minorHAnsi" w:cstheme="minorBidi"/>
    </w:rPr>
  </w:style>
  <w:style w:type="character" w:customStyle="1" w:styleId="111">
    <w:name w:val="正文文本 3字符1"/>
    <w:basedOn w:val="52"/>
    <w:semiHidden/>
    <w:qFormat/>
    <w:uiPriority w:val="99"/>
    <w:rPr>
      <w:rFonts w:asciiTheme="minorHAnsi" w:hAnsiTheme="minorHAnsi" w:eastAsiaTheme="minorEastAsia" w:cstheme="minorBidi"/>
      <w:sz w:val="16"/>
      <w:szCs w:val="16"/>
    </w:rPr>
  </w:style>
  <w:style w:type="character" w:customStyle="1" w:styleId="112">
    <w:name w:val="正文文本缩进字符1"/>
    <w:basedOn w:val="52"/>
    <w:semiHidden/>
    <w:qFormat/>
    <w:uiPriority w:val="99"/>
    <w:rPr>
      <w:rFonts w:asciiTheme="minorHAnsi" w:hAnsiTheme="minorHAnsi" w:eastAsiaTheme="minorEastAsia" w:cstheme="minorBidi"/>
    </w:rPr>
  </w:style>
  <w:style w:type="character" w:customStyle="1" w:styleId="113">
    <w:name w:val="正文文本缩进 2字符1"/>
    <w:basedOn w:val="52"/>
    <w:semiHidden/>
    <w:qFormat/>
    <w:uiPriority w:val="99"/>
    <w:rPr>
      <w:rFonts w:asciiTheme="minorHAnsi" w:hAnsiTheme="minorHAnsi" w:eastAsiaTheme="minorEastAsia" w:cstheme="minorBidi"/>
    </w:rPr>
  </w:style>
  <w:style w:type="paragraph" w:customStyle="1" w:styleId="114">
    <w:name w:val="Legal 3"/>
    <w:basedOn w:val="115"/>
    <w:next w:val="115"/>
    <w:qFormat/>
    <w:uiPriority w:val="0"/>
    <w:pPr>
      <w:spacing w:after="120"/>
    </w:pPr>
    <w:rPr>
      <w:rFonts w:cs="Times New Roman"/>
      <w:color w:val="auto"/>
    </w:rPr>
  </w:style>
  <w:style w:type="paragraph" w:customStyle="1" w:styleId="1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6">
    <w:name w:val="页脚字符1"/>
    <w:basedOn w:val="52"/>
    <w:semiHidden/>
    <w:qFormat/>
    <w:uiPriority w:val="99"/>
    <w:rPr>
      <w:rFonts w:asciiTheme="minorHAnsi" w:hAnsiTheme="minorHAnsi" w:eastAsiaTheme="minorEastAsia" w:cstheme="minorBidi"/>
      <w:sz w:val="18"/>
      <w:szCs w:val="18"/>
    </w:rPr>
  </w:style>
  <w:style w:type="character" w:customStyle="1" w:styleId="117">
    <w:name w:val="正文首行缩进 2字符1"/>
    <w:basedOn w:val="112"/>
    <w:semiHidden/>
    <w:qFormat/>
    <w:uiPriority w:val="99"/>
    <w:rPr>
      <w:rFonts w:asciiTheme="minorHAnsi" w:hAnsiTheme="minorHAnsi" w:eastAsiaTheme="minorEastAsia" w:cstheme="minorBidi"/>
    </w:rPr>
  </w:style>
  <w:style w:type="character" w:customStyle="1" w:styleId="118">
    <w:name w:val="页眉字符1"/>
    <w:basedOn w:val="52"/>
    <w:semiHidden/>
    <w:qFormat/>
    <w:uiPriority w:val="99"/>
    <w:rPr>
      <w:rFonts w:asciiTheme="minorHAnsi" w:hAnsiTheme="minorHAnsi" w:eastAsiaTheme="minorEastAsia" w:cstheme="minorBidi"/>
      <w:sz w:val="18"/>
      <w:szCs w:val="18"/>
    </w:rPr>
  </w:style>
  <w:style w:type="character" w:customStyle="1" w:styleId="119">
    <w:name w:val="正文文本 2字符1"/>
    <w:basedOn w:val="52"/>
    <w:semiHidden/>
    <w:qFormat/>
    <w:uiPriority w:val="99"/>
    <w:rPr>
      <w:rFonts w:asciiTheme="minorHAnsi" w:hAnsiTheme="minorHAnsi" w:eastAsiaTheme="minorEastAsia" w:cstheme="minorBidi"/>
    </w:rPr>
  </w:style>
  <w:style w:type="character" w:customStyle="1" w:styleId="120">
    <w:name w:val="标题字符1"/>
    <w:basedOn w:val="52"/>
    <w:qFormat/>
    <w:uiPriority w:val="10"/>
    <w:rPr>
      <w:rFonts w:eastAsia="宋体" w:asciiTheme="majorHAnsi" w:hAnsiTheme="majorHAnsi" w:cstheme="majorBidi"/>
      <w:b/>
      <w:bCs/>
      <w:sz w:val="32"/>
      <w:szCs w:val="32"/>
    </w:rPr>
  </w:style>
  <w:style w:type="paragraph" w:customStyle="1" w:styleId="121">
    <w:name w:val="列出段落1"/>
    <w:basedOn w:val="1"/>
    <w:unhideWhenUsed/>
    <w:qFormat/>
    <w:uiPriority w:val="99"/>
    <w:pPr>
      <w:ind w:firstLine="420" w:firstLineChars="200"/>
    </w:pPr>
    <w:rPr>
      <w:rFonts w:ascii="Calibri" w:hAnsi="Calibri" w:eastAsia="宋体" w:cs="Times New Roman"/>
      <w:sz w:val="21"/>
      <w:szCs w:val="22"/>
    </w:rPr>
  </w:style>
  <w:style w:type="paragraph" w:customStyle="1" w:styleId="122">
    <w:name w:val="图表标题"/>
    <w:basedOn w:val="1"/>
    <w:next w:val="16"/>
    <w:qFormat/>
    <w:uiPriority w:val="0"/>
    <w:rPr>
      <w:rFonts w:ascii="Times New Roman" w:hAnsi="Times New Roman" w:eastAsia="宋体" w:cs="Times New Roman"/>
      <w:sz w:val="30"/>
      <w:szCs w:val="20"/>
    </w:rPr>
  </w:style>
  <w:style w:type="paragraph" w:customStyle="1" w:styleId="123">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 w:val="21"/>
      <w:szCs w:val="20"/>
    </w:rPr>
  </w:style>
  <w:style w:type="paragraph" w:customStyle="1" w:styleId="124">
    <w:name w:val="Char"/>
    <w:basedOn w:val="1"/>
    <w:qFormat/>
    <w:uiPriority w:val="0"/>
    <w:rPr>
      <w:rFonts w:ascii="仿宋_GB2312" w:hAnsi="Times New Roman" w:eastAsia="仿宋_GB2312" w:cs="Times New Roman"/>
      <w:b/>
      <w:sz w:val="32"/>
      <w:szCs w:val="32"/>
    </w:rPr>
  </w:style>
  <w:style w:type="paragraph" w:customStyle="1" w:styleId="125">
    <w:name w:val="Char4 Char Char Char"/>
    <w:basedOn w:val="22"/>
    <w:qFormat/>
    <w:uiPriority w:val="0"/>
    <w:rPr>
      <w:rFonts w:ascii="Tahoma" w:hAnsi="Tahoma"/>
      <w:sz w:val="24"/>
    </w:rPr>
  </w:style>
  <w:style w:type="paragraph" w:customStyle="1" w:styleId="126">
    <w:name w:val="表内文字"/>
    <w:basedOn w:val="1"/>
    <w:qFormat/>
    <w:uiPriority w:val="0"/>
    <w:pPr>
      <w:widowControl/>
      <w:ind w:firstLine="120" w:firstLineChars="50"/>
    </w:pPr>
    <w:rPr>
      <w:rFonts w:ascii="宋体" w:hAnsi="宋体" w:eastAsia="宋体" w:cs="Times New Roman"/>
      <w:szCs w:val="20"/>
    </w:rPr>
  </w:style>
  <w:style w:type="paragraph" w:customStyle="1" w:styleId="127">
    <w:name w:val="Char Char Char"/>
    <w:basedOn w:val="1"/>
    <w:qFormat/>
    <w:uiPriority w:val="0"/>
    <w:pPr>
      <w:ind w:firstLine="360" w:firstLineChars="150"/>
    </w:pPr>
    <w:rPr>
      <w:rFonts w:ascii="Tahoma" w:hAnsi="Tahoma" w:eastAsia="宋体" w:cs="Times New Roman"/>
      <w:szCs w:val="20"/>
    </w:rPr>
  </w:style>
  <w:style w:type="paragraph" w:customStyle="1" w:styleId="128">
    <w:name w:val="样式 样式1 + 首行缩进:  2 字符"/>
    <w:basedOn w:val="1"/>
    <w:qFormat/>
    <w:uiPriority w:val="0"/>
    <w:pPr>
      <w:spacing w:line="360" w:lineRule="exact"/>
      <w:ind w:firstLine="420" w:firstLineChars="200"/>
    </w:pPr>
    <w:rPr>
      <w:rFonts w:ascii="Arial" w:hAnsi="Arial" w:eastAsia="宋体" w:cs="Times New Roman"/>
      <w:sz w:val="21"/>
      <w:szCs w:val="20"/>
    </w:rPr>
  </w:style>
  <w:style w:type="paragraph" w:customStyle="1" w:styleId="129">
    <w:name w:val="legal 2"/>
    <w:basedOn w:val="115"/>
    <w:next w:val="115"/>
    <w:qFormat/>
    <w:uiPriority w:val="0"/>
    <w:pPr>
      <w:spacing w:after="120"/>
    </w:pPr>
    <w:rPr>
      <w:rFonts w:cs="Times New Roman"/>
      <w:color w:val="auto"/>
    </w:rPr>
  </w:style>
  <w:style w:type="paragraph" w:customStyle="1" w:styleId="130">
    <w:name w:val="列表延续"/>
    <w:basedOn w:val="1"/>
    <w:qFormat/>
    <w:uiPriority w:val="0"/>
    <w:pPr>
      <w:numPr>
        <w:ilvl w:val="8"/>
        <w:numId w:val="4"/>
      </w:numPr>
      <w:adjustRightInd w:val="0"/>
      <w:spacing w:line="360" w:lineRule="auto"/>
      <w:textAlignment w:val="baseline"/>
    </w:pPr>
    <w:rPr>
      <w:rFonts w:ascii="Times New Roman" w:hAnsi="Tms Rmn" w:eastAsia="楷体_GB2312" w:cs="Times New Roman"/>
      <w:kern w:val="28"/>
      <w:sz w:val="28"/>
      <w:szCs w:val="20"/>
    </w:rPr>
  </w:style>
  <w:style w:type="paragraph" w:customStyle="1" w:styleId="131">
    <w:name w:val="Legal 5"/>
    <w:basedOn w:val="115"/>
    <w:next w:val="115"/>
    <w:qFormat/>
    <w:uiPriority w:val="0"/>
    <w:pPr>
      <w:spacing w:after="120"/>
    </w:pPr>
    <w:rPr>
      <w:rFonts w:cs="Times New Roman"/>
      <w:color w:val="auto"/>
    </w:rPr>
  </w:style>
  <w:style w:type="paragraph" w:customStyle="1" w:styleId="13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
    <w:name w:val="Legal 4"/>
    <w:basedOn w:val="115"/>
    <w:next w:val="115"/>
    <w:qFormat/>
    <w:uiPriority w:val="0"/>
    <w:pPr>
      <w:spacing w:after="120"/>
    </w:pPr>
    <w:rPr>
      <w:rFonts w:cs="Times New Roman"/>
      <w:color w:val="auto"/>
    </w:rPr>
  </w:style>
  <w:style w:type="paragraph" w:customStyle="1" w:styleId="134">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
    <w:name w:val="正文文字3"/>
    <w:basedOn w:val="16"/>
    <w:qFormat/>
    <w:uiPriority w:val="0"/>
    <w:pPr>
      <w:adjustRightInd w:val="0"/>
      <w:spacing w:after="0" w:line="360" w:lineRule="atLeast"/>
      <w:ind w:left="30" w:leftChars="30" w:right="30" w:rightChars="30"/>
      <w:textAlignment w:val="baseline"/>
    </w:pPr>
    <w:rPr>
      <w:rFonts w:ascii="Times New Roman" w:hAnsi="Times New Roman" w:eastAsia="宋体" w:cs="Times New Roman"/>
      <w:kern w:val="0"/>
      <w:sz w:val="20"/>
      <w:szCs w:val="20"/>
    </w:rPr>
  </w:style>
  <w:style w:type="paragraph" w:customStyle="1" w:styleId="136">
    <w:name w:val="1"/>
    <w:basedOn w:val="1"/>
    <w:qFormat/>
    <w:uiPriority w:val="0"/>
    <w:rPr>
      <w:rFonts w:ascii="仿宋_GB2312" w:hAnsi="Times New Roman" w:eastAsia="仿宋_GB2312" w:cs="Times New Roman"/>
      <w:b/>
      <w:sz w:val="32"/>
      <w:szCs w:val="32"/>
    </w:rPr>
  </w:style>
  <w:style w:type="paragraph" w:customStyle="1" w:styleId="137">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38">
    <w:name w:val="p16"/>
    <w:basedOn w:val="1"/>
    <w:qFormat/>
    <w:uiPriority w:val="0"/>
    <w:pPr>
      <w:widowControl/>
      <w:spacing w:line="360" w:lineRule="auto"/>
      <w:ind w:left="-2" w:firstLine="2"/>
      <w:jc w:val="left"/>
    </w:pPr>
    <w:rPr>
      <w:rFonts w:ascii="宋体" w:hAnsi="宋体" w:eastAsia="宋体" w:cs="宋体"/>
      <w:kern w:val="0"/>
      <w:sz w:val="30"/>
      <w:szCs w:val="30"/>
    </w:rPr>
  </w:style>
  <w:style w:type="paragraph" w:customStyle="1" w:styleId="139">
    <w:name w:val="第二层标题"/>
    <w:basedOn w:val="3"/>
    <w:qFormat/>
    <w:uiPriority w:val="0"/>
    <w:pPr>
      <w:spacing w:before="140" w:after="140" w:line="400" w:lineRule="exact"/>
    </w:pPr>
    <w:rPr>
      <w:b w:val="0"/>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zcmec</Company>
  <Pages>39</Pages>
  <Words>3431</Words>
  <Characters>19563</Characters>
  <Lines>163</Lines>
  <Paragraphs>45</Paragraphs>
  <ScaleCrop>false</ScaleCrop>
  <LinksUpToDate>false</LinksUpToDate>
  <CharactersWithSpaces>22949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2016-05-27T04:41:00Z</dcterms:created>
  <dc:creator>y z</dc:creator>
  <cp:lastModifiedBy>贾思勰</cp:lastModifiedBy>
  <cp:lastPrinted>2019-04-25T06:57:00Z</cp:lastPrinted>
  <dcterms:modified xsi:type="dcterms:W3CDTF">2019-05-05T07:30:03Z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