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color w:val="auto"/>
          <w:sz w:val="44"/>
          <w:szCs w:val="44"/>
          <w:highlight w:val="none"/>
        </w:rPr>
      </w:pPr>
    </w:p>
    <w:p>
      <w:pPr>
        <w:widowControl/>
        <w:autoSpaceDE w:val="0"/>
        <w:autoSpaceDN w:val="0"/>
        <w:jc w:val="center"/>
        <w:textAlignment w:val="bottom"/>
        <w:rPr>
          <w:rFonts w:ascii="黑体" w:hAnsi="黑体" w:eastAsia="黑体"/>
          <w:b/>
          <w:color w:val="auto"/>
          <w:sz w:val="44"/>
          <w:szCs w:val="44"/>
          <w:highlight w:val="none"/>
        </w:rPr>
      </w:pPr>
    </w:p>
    <w:p>
      <w:pPr>
        <w:widowControl/>
        <w:autoSpaceDE w:val="0"/>
        <w:autoSpaceDN w:val="0"/>
        <w:jc w:val="center"/>
        <w:textAlignment w:val="bottom"/>
        <w:rPr>
          <w:rFonts w:ascii="黑体" w:hAnsi="黑体" w:eastAsia="黑体"/>
          <w:b/>
          <w:color w:val="auto"/>
          <w:sz w:val="44"/>
          <w:szCs w:val="44"/>
          <w:highlight w:val="none"/>
        </w:rPr>
      </w:pPr>
      <w:r>
        <w:rPr>
          <w:rFonts w:hint="eastAsia" w:ascii="黑体" w:hAnsi="黑体" w:eastAsia="黑体"/>
          <w:b/>
          <w:color w:val="auto"/>
          <w:sz w:val="44"/>
          <w:szCs w:val="44"/>
          <w:highlight w:val="none"/>
        </w:rPr>
        <w:t>杭州萧山国际机场</w:t>
      </w:r>
    </w:p>
    <w:p>
      <w:pPr>
        <w:widowControl/>
        <w:autoSpaceDE w:val="0"/>
        <w:autoSpaceDN w:val="0"/>
        <w:jc w:val="center"/>
        <w:textAlignment w:val="bottom"/>
        <w:rPr>
          <w:rFonts w:ascii="黑体" w:hAnsi="黑体" w:eastAsia="黑体"/>
          <w:b/>
          <w:color w:val="auto"/>
          <w:spacing w:val="-6"/>
          <w:sz w:val="44"/>
          <w:szCs w:val="44"/>
          <w:highlight w:val="none"/>
        </w:rPr>
      </w:pPr>
      <w:r>
        <w:rPr>
          <w:rFonts w:hint="eastAsia" w:eastAsia="黑体" w:cs="Calibri"/>
          <w:b/>
          <w:color w:val="auto"/>
          <w:spacing w:val="-6"/>
          <w:sz w:val="44"/>
          <w:szCs w:val="44"/>
          <w:highlight w:val="none"/>
          <w:u w:val="single"/>
          <w:lang w:val="en-US" w:eastAsia="zh-CN"/>
        </w:rPr>
        <w:t>T3中央空调主机房电磁式冷热量表安装</w:t>
      </w:r>
      <w:r>
        <w:rPr>
          <w:rFonts w:hint="eastAsia" w:eastAsia="黑体" w:cs="Calibri"/>
          <w:b/>
          <w:color w:val="auto"/>
          <w:spacing w:val="-6"/>
          <w:sz w:val="44"/>
          <w:szCs w:val="44"/>
          <w:highlight w:val="none"/>
        </w:rPr>
        <w:t>工程</w:t>
      </w:r>
    </w:p>
    <w:p>
      <w:pPr>
        <w:widowControl/>
        <w:autoSpaceDE w:val="0"/>
        <w:autoSpaceDN w:val="0"/>
        <w:jc w:val="center"/>
        <w:textAlignment w:val="bottom"/>
        <w:rPr>
          <w:rFonts w:hint="eastAsia" w:ascii="黑体" w:hAnsi="黑体" w:eastAsia="黑体"/>
          <w:b/>
          <w:color w:val="auto"/>
          <w:sz w:val="44"/>
          <w:szCs w:val="44"/>
          <w:highlight w:val="none"/>
          <w:lang w:eastAsia="zh-CN"/>
        </w:rPr>
      </w:pPr>
      <w:r>
        <w:rPr>
          <w:rFonts w:hint="eastAsia" w:ascii="黑体" w:hAnsi="黑体" w:eastAsia="黑体"/>
          <w:b/>
          <w:color w:val="auto"/>
          <w:sz w:val="44"/>
          <w:szCs w:val="44"/>
          <w:highlight w:val="none"/>
          <w:lang w:eastAsia="zh-CN"/>
        </w:rPr>
        <w:t>（重新招标）</w:t>
      </w:r>
    </w:p>
    <w:p>
      <w:pPr>
        <w:widowControl/>
        <w:autoSpaceDE w:val="0"/>
        <w:autoSpaceDN w:val="0"/>
        <w:jc w:val="center"/>
        <w:textAlignment w:val="bottom"/>
        <w:rPr>
          <w:rFonts w:ascii="黑体" w:hAnsi="黑体" w:eastAsia="黑体"/>
          <w:b/>
          <w:color w:val="auto"/>
          <w:sz w:val="44"/>
          <w:szCs w:val="44"/>
          <w:highlight w:val="none"/>
        </w:rPr>
      </w:pPr>
    </w:p>
    <w:p>
      <w:pPr>
        <w:widowControl/>
        <w:autoSpaceDE w:val="0"/>
        <w:autoSpaceDN w:val="0"/>
        <w:jc w:val="center"/>
        <w:textAlignment w:val="bottom"/>
        <w:rPr>
          <w:rFonts w:ascii="黑体" w:hAnsi="黑体" w:eastAsia="黑体"/>
          <w:color w:val="auto"/>
          <w:sz w:val="84"/>
          <w:szCs w:val="84"/>
          <w:highlight w:val="none"/>
        </w:rPr>
      </w:pPr>
      <w:r>
        <w:rPr>
          <w:rFonts w:hint="eastAsia" w:ascii="黑体" w:hAnsi="黑体" w:eastAsia="黑体"/>
          <w:b/>
          <w:color w:val="auto"/>
          <w:sz w:val="84"/>
          <w:szCs w:val="84"/>
          <w:highlight w:val="none"/>
        </w:rPr>
        <w:t>施工</w:t>
      </w:r>
      <w:r>
        <w:rPr>
          <w:rFonts w:ascii="黑体" w:hAnsi="黑体" w:eastAsia="黑体"/>
          <w:b/>
          <w:color w:val="auto"/>
          <w:sz w:val="84"/>
          <w:szCs w:val="84"/>
          <w:highlight w:val="none"/>
        </w:rPr>
        <w:t>招标文件</w:t>
      </w:r>
    </w:p>
    <w:p>
      <w:pPr>
        <w:widowControl/>
        <w:autoSpaceDE w:val="0"/>
        <w:autoSpaceDN w:val="0"/>
        <w:snapToGrid w:val="0"/>
        <w:spacing w:line="560" w:lineRule="exact"/>
        <w:jc w:val="center"/>
        <w:textAlignment w:val="bottom"/>
        <w:rPr>
          <w:rFonts w:ascii="宋体" w:hAnsi="宋体"/>
          <w:b/>
          <w:color w:val="auto"/>
          <w:sz w:val="32"/>
          <w:szCs w:val="32"/>
          <w:highlight w:val="none"/>
        </w:rPr>
      </w:pPr>
    </w:p>
    <w:p>
      <w:pPr>
        <w:widowControl/>
        <w:autoSpaceDE w:val="0"/>
        <w:autoSpaceDN w:val="0"/>
        <w:snapToGrid w:val="0"/>
        <w:spacing w:line="560" w:lineRule="exact"/>
        <w:jc w:val="center"/>
        <w:textAlignment w:val="bottom"/>
        <w:rPr>
          <w:rFonts w:ascii="宋体" w:hAnsi="宋体"/>
          <w:b/>
          <w:color w:val="auto"/>
          <w:sz w:val="32"/>
          <w:szCs w:val="32"/>
          <w:highlight w:val="none"/>
        </w:rPr>
      </w:pPr>
    </w:p>
    <w:p>
      <w:pPr>
        <w:widowControl/>
        <w:autoSpaceDE w:val="0"/>
        <w:autoSpaceDN w:val="0"/>
        <w:snapToGrid w:val="0"/>
        <w:spacing w:line="560" w:lineRule="exact"/>
        <w:textAlignment w:val="bottom"/>
        <w:rPr>
          <w:rFonts w:ascii="宋体" w:hAnsi="宋体"/>
          <w:bCs/>
          <w:color w:val="auto"/>
          <w:sz w:val="32"/>
          <w:szCs w:val="32"/>
          <w:highlight w:val="none"/>
        </w:rPr>
      </w:pPr>
      <w:r>
        <w:rPr>
          <w:rFonts w:ascii="宋体" w:hAnsi="宋体"/>
          <w:b/>
          <w:color w:val="auto"/>
          <w:sz w:val="32"/>
          <w:szCs w:val="32"/>
          <w:highlight w:val="none"/>
        </w:rPr>
        <w:t xml:space="preserve">   </w:t>
      </w:r>
      <w:r>
        <w:rPr>
          <w:rFonts w:hint="eastAsia" w:ascii="宋体" w:hAnsi="宋体"/>
          <w:b/>
          <w:color w:val="auto"/>
          <w:sz w:val="32"/>
          <w:szCs w:val="32"/>
          <w:highlight w:val="none"/>
        </w:rPr>
        <w:t xml:space="preserve">                </w:t>
      </w:r>
      <w:r>
        <w:rPr>
          <w:rFonts w:ascii="宋体" w:hAnsi="宋体"/>
          <w:b/>
          <w:color w:val="auto"/>
          <w:sz w:val="32"/>
          <w:szCs w:val="32"/>
          <w:highlight w:val="none"/>
        </w:rPr>
        <w:t xml:space="preserve">      </w:t>
      </w:r>
      <w:r>
        <w:rPr>
          <w:rFonts w:hint="eastAsia" w:ascii="宋体" w:hAnsi="宋体"/>
          <w:b/>
          <w:color w:val="auto"/>
          <w:sz w:val="32"/>
          <w:szCs w:val="32"/>
          <w:highlight w:val="none"/>
        </w:rPr>
        <w:t xml:space="preserve">    </w:t>
      </w:r>
    </w:p>
    <w:p>
      <w:pPr>
        <w:widowControl/>
        <w:autoSpaceDE w:val="0"/>
        <w:autoSpaceDN w:val="0"/>
        <w:snapToGrid w:val="0"/>
        <w:spacing w:line="560" w:lineRule="exact"/>
        <w:textAlignment w:val="bottom"/>
        <w:rPr>
          <w:rFonts w:ascii="宋体" w:hAnsi="宋体"/>
          <w:b/>
          <w:color w:val="auto"/>
          <w:sz w:val="32"/>
          <w:szCs w:val="32"/>
          <w:highlight w:val="none"/>
        </w:rPr>
      </w:pPr>
      <w:r>
        <w:rPr>
          <w:rFonts w:ascii="宋体" w:hAnsi="宋体"/>
          <w:bCs/>
          <w:color w:val="auto"/>
          <w:sz w:val="32"/>
          <w:szCs w:val="32"/>
          <w:highlight w:val="none"/>
        </w:rPr>
        <w:t xml:space="preserve">                 </w:t>
      </w:r>
      <w:r>
        <w:rPr>
          <w:rFonts w:hint="eastAsia" w:ascii="宋体" w:hAnsi="宋体"/>
          <w:bCs/>
          <w:color w:val="auto"/>
          <w:sz w:val="32"/>
          <w:szCs w:val="32"/>
          <w:highlight w:val="none"/>
        </w:rPr>
        <w:t xml:space="preserve">            </w:t>
      </w:r>
    </w:p>
    <w:p>
      <w:pPr>
        <w:adjustRightInd w:val="0"/>
        <w:snapToGrid w:val="0"/>
        <w:spacing w:line="560" w:lineRule="exact"/>
        <w:jc w:val="center"/>
        <w:textAlignment w:val="bottom"/>
        <w:rPr>
          <w:rFonts w:ascii="宋体" w:hAnsi="宋体"/>
          <w:color w:val="auto"/>
          <w:sz w:val="32"/>
          <w:szCs w:val="32"/>
          <w:highlight w:val="none"/>
        </w:rPr>
      </w:pPr>
    </w:p>
    <w:p>
      <w:pPr>
        <w:adjustRightInd w:val="0"/>
        <w:snapToGrid w:val="0"/>
        <w:spacing w:line="560" w:lineRule="exact"/>
        <w:jc w:val="center"/>
        <w:textAlignment w:val="bottom"/>
        <w:rPr>
          <w:rFonts w:ascii="宋体" w:hAnsi="宋体"/>
          <w:color w:val="auto"/>
          <w:sz w:val="32"/>
          <w:szCs w:val="32"/>
          <w:highlight w:val="none"/>
        </w:rPr>
      </w:pPr>
    </w:p>
    <w:p>
      <w:pPr>
        <w:adjustRightInd w:val="0"/>
        <w:snapToGrid w:val="0"/>
        <w:spacing w:line="560" w:lineRule="exact"/>
        <w:jc w:val="center"/>
        <w:textAlignment w:val="bottom"/>
        <w:rPr>
          <w:rFonts w:ascii="宋体" w:hAnsi="宋体"/>
          <w:color w:val="auto"/>
          <w:sz w:val="32"/>
          <w:szCs w:val="32"/>
          <w:highlight w:val="none"/>
        </w:rPr>
      </w:pPr>
    </w:p>
    <w:p>
      <w:pPr>
        <w:adjustRightInd w:val="0"/>
        <w:snapToGrid w:val="0"/>
        <w:spacing w:line="560" w:lineRule="exact"/>
        <w:jc w:val="center"/>
        <w:textAlignment w:val="bottom"/>
        <w:rPr>
          <w:rFonts w:ascii="宋体" w:hAnsi="宋体"/>
          <w:color w:val="auto"/>
          <w:sz w:val="32"/>
          <w:szCs w:val="32"/>
          <w:highlight w:val="none"/>
        </w:rPr>
      </w:pPr>
    </w:p>
    <w:p>
      <w:pPr>
        <w:adjustRightInd w:val="0"/>
        <w:snapToGrid w:val="0"/>
        <w:spacing w:line="560" w:lineRule="exact"/>
        <w:jc w:val="center"/>
        <w:textAlignment w:val="bottom"/>
        <w:rPr>
          <w:rFonts w:ascii="宋体" w:hAnsi="宋体"/>
          <w:color w:val="auto"/>
          <w:sz w:val="32"/>
          <w:szCs w:val="32"/>
          <w:highlight w:val="none"/>
        </w:rPr>
      </w:pPr>
    </w:p>
    <w:p>
      <w:pPr>
        <w:adjustRightInd w:val="0"/>
        <w:snapToGrid w:val="0"/>
        <w:spacing w:line="560" w:lineRule="exact"/>
        <w:jc w:val="center"/>
        <w:textAlignment w:val="bottom"/>
        <w:rPr>
          <w:rFonts w:ascii="宋体" w:hAnsi="宋体"/>
          <w:color w:val="auto"/>
          <w:sz w:val="32"/>
          <w:szCs w:val="32"/>
          <w:highlight w:val="none"/>
        </w:rPr>
      </w:pPr>
    </w:p>
    <w:p>
      <w:pPr>
        <w:snapToGrid w:val="0"/>
        <w:jc w:val="center"/>
        <w:rPr>
          <w:rFonts w:eastAsia="黑体" w:cs="Calibri"/>
          <w:color w:val="auto"/>
          <w:sz w:val="32"/>
          <w:szCs w:val="32"/>
          <w:highlight w:val="none"/>
        </w:rPr>
      </w:pPr>
      <w:r>
        <w:rPr>
          <w:rFonts w:eastAsia="黑体" w:cs="Calibri"/>
          <w:color w:val="auto"/>
          <w:sz w:val="32"/>
          <w:szCs w:val="32"/>
          <w:highlight w:val="none"/>
        </w:rPr>
        <w:t>杭州萧山国际机场有限公司</w:t>
      </w:r>
    </w:p>
    <w:p>
      <w:pPr>
        <w:rPr>
          <w:rFonts w:eastAsia="黑体" w:cs="Calibri"/>
          <w:color w:val="auto"/>
          <w:sz w:val="32"/>
          <w:szCs w:val="32"/>
          <w:highlight w:val="none"/>
        </w:rPr>
      </w:pPr>
    </w:p>
    <w:p>
      <w:pPr>
        <w:pStyle w:val="31"/>
        <w:spacing w:line="480" w:lineRule="auto"/>
        <w:jc w:val="center"/>
        <w:rPr>
          <w:rFonts w:ascii="Calibri" w:hAnsi="Calibri" w:eastAsia="楷体_GB2312" w:cs="Calibri"/>
          <w:color w:val="auto"/>
          <w:sz w:val="24"/>
          <w:szCs w:val="24"/>
          <w:highlight w:val="none"/>
          <w:u w:val="single"/>
        </w:rPr>
      </w:pPr>
      <w:r>
        <w:rPr>
          <w:rFonts w:hint="eastAsia" w:ascii="Calibri" w:hAnsi="Calibri" w:eastAsia="黑体" w:cs="Calibri"/>
          <w:color w:val="auto"/>
          <w:sz w:val="32"/>
          <w:szCs w:val="32"/>
          <w:highlight w:val="none"/>
          <w:u w:val="single"/>
          <w:lang w:val="en-US" w:eastAsia="zh-CN"/>
        </w:rPr>
        <w:t>2019</w:t>
      </w:r>
      <w:r>
        <w:rPr>
          <w:rFonts w:hint="eastAsia" w:ascii="Calibri" w:hAnsi="Calibri" w:eastAsia="黑体" w:cs="Calibri"/>
          <w:color w:val="auto"/>
          <w:sz w:val="32"/>
          <w:szCs w:val="32"/>
          <w:highlight w:val="none"/>
        </w:rPr>
        <w:t>年</w:t>
      </w:r>
      <w:r>
        <w:rPr>
          <w:rFonts w:hint="eastAsia" w:ascii="Calibri" w:hAnsi="Calibri" w:eastAsia="黑体" w:cs="Calibri"/>
          <w:color w:val="auto"/>
          <w:sz w:val="32"/>
          <w:szCs w:val="32"/>
          <w:highlight w:val="none"/>
          <w:u w:val="single"/>
          <w:lang w:val="en-US" w:eastAsia="zh-CN"/>
        </w:rPr>
        <w:t>5</w:t>
      </w:r>
      <w:r>
        <w:rPr>
          <w:rFonts w:ascii="Calibri" w:hAnsi="Calibri" w:eastAsia="黑体" w:cs="Calibri"/>
          <w:color w:val="auto"/>
          <w:sz w:val="32"/>
          <w:szCs w:val="32"/>
          <w:highlight w:val="none"/>
        </w:rPr>
        <w:t>月</w:t>
      </w:r>
    </w:p>
    <w:p>
      <w:pPr>
        <w:snapToGrid w:val="0"/>
        <w:spacing w:line="560" w:lineRule="exact"/>
        <w:jc w:val="center"/>
        <w:rPr>
          <w:rFonts w:ascii="宋体" w:hAnsi="宋体"/>
          <w:b/>
          <w:bCs/>
          <w:color w:val="auto"/>
          <w:sz w:val="32"/>
          <w:szCs w:val="32"/>
          <w:highlight w:val="none"/>
        </w:rPr>
      </w:pPr>
    </w:p>
    <w:p>
      <w:pPr>
        <w:spacing w:line="560" w:lineRule="exact"/>
        <w:jc w:val="center"/>
        <w:rPr>
          <w:b/>
          <w:color w:val="auto"/>
          <w:highlight w:val="none"/>
        </w:rPr>
      </w:pPr>
    </w:p>
    <w:p>
      <w:pPr>
        <w:spacing w:line="560" w:lineRule="exact"/>
        <w:jc w:val="center"/>
        <w:rPr>
          <w:b/>
          <w:bCs/>
          <w:color w:val="auto"/>
          <w:sz w:val="44"/>
          <w:szCs w:val="44"/>
          <w:highlight w:val="none"/>
        </w:rPr>
      </w:pPr>
      <w:r>
        <w:rPr>
          <w:b/>
          <w:bCs/>
          <w:color w:val="auto"/>
          <w:sz w:val="44"/>
          <w:szCs w:val="44"/>
          <w:highlight w:val="none"/>
        </w:rPr>
        <w:br w:type="page"/>
      </w:r>
      <w:r>
        <w:rPr>
          <w:rFonts w:hint="eastAsia"/>
          <w:b/>
          <w:bCs/>
          <w:color w:val="auto"/>
          <w:sz w:val="44"/>
          <w:szCs w:val="44"/>
          <w:highlight w:val="none"/>
        </w:rPr>
        <w:t>目  录</w:t>
      </w:r>
    </w:p>
    <w:p>
      <w:pPr>
        <w:spacing w:line="560" w:lineRule="exact"/>
        <w:jc w:val="center"/>
        <w:rPr>
          <w:b/>
          <w:bCs/>
          <w:color w:val="auto"/>
          <w:sz w:val="44"/>
          <w:szCs w:val="44"/>
          <w:highlight w:val="none"/>
        </w:rPr>
      </w:pPr>
    </w:p>
    <w:p>
      <w:pPr>
        <w:spacing w:line="560" w:lineRule="exact"/>
        <w:jc w:val="center"/>
        <w:rPr>
          <w:b/>
          <w:color w:val="auto"/>
          <w:sz w:val="44"/>
          <w:szCs w:val="44"/>
          <w:highlight w:val="none"/>
        </w:rPr>
      </w:pPr>
    </w:p>
    <w:p>
      <w:pPr>
        <w:pStyle w:val="39"/>
        <w:tabs>
          <w:tab w:val="right" w:leader="dot" w:pos="8290"/>
        </w:tabs>
        <w:spacing w:line="360" w:lineRule="auto"/>
        <w:rPr>
          <w:rFonts w:ascii="宋体" w:hAnsi="宋体" w:eastAsia="宋体" w:cs="黑体"/>
          <w:color w:val="auto"/>
          <w:szCs w:val="22"/>
          <w:highlight w:val="none"/>
        </w:rPr>
      </w:pPr>
      <w:r>
        <w:rPr>
          <w:rFonts w:hint="eastAsia" w:ascii="宋体" w:hAnsi="宋体" w:eastAsia="宋体"/>
          <w:b/>
          <w:color w:val="auto"/>
          <w:sz w:val="22"/>
          <w:szCs w:val="22"/>
          <w:highlight w:val="none"/>
        </w:rPr>
        <w:fldChar w:fldCharType="begin"/>
      </w:r>
      <w:r>
        <w:rPr>
          <w:rFonts w:hint="eastAsia" w:ascii="宋体" w:hAnsi="宋体" w:eastAsia="宋体"/>
          <w:b/>
          <w:color w:val="auto"/>
          <w:sz w:val="22"/>
          <w:szCs w:val="22"/>
          <w:highlight w:val="none"/>
        </w:rPr>
        <w:instrText xml:space="preserve"> TOC \o "1-1" \h \z \u </w:instrText>
      </w:r>
      <w:r>
        <w:rPr>
          <w:rFonts w:hint="eastAsia" w:ascii="宋体" w:hAnsi="宋体" w:eastAsia="宋体"/>
          <w:b/>
          <w:color w:val="auto"/>
          <w:sz w:val="22"/>
          <w:szCs w:val="22"/>
          <w:highlight w:val="none"/>
        </w:rPr>
        <w:fldChar w:fldCharType="separate"/>
      </w:r>
      <w:r>
        <w:rPr>
          <w:color w:val="auto"/>
          <w:highlight w:val="none"/>
        </w:rPr>
        <w:fldChar w:fldCharType="begin"/>
      </w:r>
      <w:r>
        <w:rPr>
          <w:color w:val="auto"/>
          <w:highlight w:val="none"/>
        </w:rPr>
        <w:instrText xml:space="preserve">HYPERLINK  \l "_Toc450630556" </w:instrText>
      </w:r>
      <w:r>
        <w:rPr>
          <w:color w:val="auto"/>
          <w:highlight w:val="none"/>
        </w:rPr>
        <w:fldChar w:fldCharType="separate"/>
      </w:r>
      <w:r>
        <w:rPr>
          <w:rStyle w:val="56"/>
          <w:rFonts w:hint="eastAsia" w:ascii="宋体" w:hAnsi="宋体" w:eastAsia="宋体"/>
          <w:color w:val="auto"/>
          <w:highlight w:val="none"/>
        </w:rPr>
        <w:t>第一章</w:t>
      </w:r>
      <w:r>
        <w:rPr>
          <w:rStyle w:val="56"/>
          <w:rFonts w:ascii="宋体" w:hAnsi="宋体" w:eastAsia="宋体"/>
          <w:color w:val="auto"/>
          <w:highlight w:val="none"/>
        </w:rPr>
        <w:t xml:space="preserve"> </w:t>
      </w:r>
      <w:r>
        <w:rPr>
          <w:rStyle w:val="56"/>
          <w:rFonts w:hint="eastAsia" w:ascii="宋体" w:hAnsi="宋体" w:eastAsia="宋体"/>
          <w:color w:val="auto"/>
          <w:highlight w:val="none"/>
        </w:rPr>
        <w:t xml:space="preserve"> 招标公告</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_Toc450630556 \h </w:instrText>
      </w:r>
      <w:r>
        <w:rPr>
          <w:rFonts w:ascii="宋体" w:hAnsi="宋体" w:eastAsia="宋体"/>
          <w:color w:val="auto"/>
          <w:highlight w:val="none"/>
        </w:rPr>
        <w:fldChar w:fldCharType="separate"/>
      </w:r>
      <w:r>
        <w:rPr>
          <w:rFonts w:ascii="宋体" w:hAnsi="宋体" w:eastAsia="宋体"/>
          <w:color w:val="auto"/>
          <w:highlight w:val="none"/>
        </w:rPr>
        <w:t>- 2 -</w:t>
      </w:r>
      <w:r>
        <w:rPr>
          <w:rFonts w:ascii="宋体" w:hAnsi="宋体" w:eastAsia="宋体"/>
          <w:color w:val="auto"/>
          <w:highlight w:val="none"/>
        </w:rPr>
        <w:fldChar w:fldCharType="end"/>
      </w:r>
      <w:r>
        <w:rPr>
          <w:color w:val="auto"/>
          <w:highlight w:val="none"/>
        </w:rPr>
        <w:fldChar w:fldCharType="end"/>
      </w:r>
    </w:p>
    <w:p>
      <w:pPr>
        <w:pStyle w:val="39"/>
        <w:tabs>
          <w:tab w:val="right" w:leader="dot" w:pos="8290"/>
        </w:tabs>
        <w:spacing w:line="360" w:lineRule="auto"/>
        <w:rPr>
          <w:rFonts w:ascii="宋体" w:hAnsi="宋体" w:eastAsia="宋体" w:cs="黑体"/>
          <w:color w:val="auto"/>
          <w:szCs w:val="22"/>
          <w:highlight w:val="none"/>
        </w:rPr>
      </w:pPr>
      <w:r>
        <w:rPr>
          <w:color w:val="auto"/>
          <w:highlight w:val="none"/>
        </w:rPr>
        <w:fldChar w:fldCharType="begin"/>
      </w:r>
      <w:r>
        <w:rPr>
          <w:color w:val="auto"/>
          <w:highlight w:val="none"/>
        </w:rPr>
        <w:instrText xml:space="preserve">HYPERLINK  \l "_Toc450630558" </w:instrText>
      </w:r>
      <w:r>
        <w:rPr>
          <w:color w:val="auto"/>
          <w:highlight w:val="none"/>
        </w:rPr>
        <w:fldChar w:fldCharType="separate"/>
      </w:r>
      <w:r>
        <w:rPr>
          <w:rStyle w:val="56"/>
          <w:rFonts w:hint="eastAsia" w:ascii="宋体" w:hAnsi="宋体" w:eastAsia="宋体"/>
          <w:color w:val="auto"/>
          <w:highlight w:val="none"/>
        </w:rPr>
        <w:t>第二章</w:t>
      </w:r>
      <w:r>
        <w:rPr>
          <w:rStyle w:val="56"/>
          <w:rFonts w:ascii="宋体" w:hAnsi="宋体" w:eastAsia="宋体"/>
          <w:color w:val="auto"/>
          <w:highlight w:val="none"/>
        </w:rPr>
        <w:t xml:space="preserve">  </w:t>
      </w:r>
      <w:r>
        <w:rPr>
          <w:rStyle w:val="56"/>
          <w:rFonts w:hint="eastAsia" w:ascii="宋体" w:hAnsi="宋体" w:eastAsia="宋体"/>
          <w:color w:val="auto"/>
          <w:highlight w:val="none"/>
        </w:rPr>
        <w:t>投标人须知</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_Toc450630558 \h </w:instrText>
      </w:r>
      <w:r>
        <w:rPr>
          <w:rFonts w:ascii="宋体" w:hAnsi="宋体" w:eastAsia="宋体"/>
          <w:color w:val="auto"/>
          <w:highlight w:val="none"/>
        </w:rPr>
        <w:fldChar w:fldCharType="separate"/>
      </w:r>
      <w:r>
        <w:rPr>
          <w:rFonts w:ascii="宋体" w:hAnsi="宋体" w:eastAsia="宋体"/>
          <w:color w:val="auto"/>
          <w:highlight w:val="none"/>
        </w:rPr>
        <w:t>- 3 -</w:t>
      </w:r>
      <w:r>
        <w:rPr>
          <w:rFonts w:ascii="宋体" w:hAnsi="宋体" w:eastAsia="宋体"/>
          <w:color w:val="auto"/>
          <w:highlight w:val="none"/>
        </w:rPr>
        <w:fldChar w:fldCharType="end"/>
      </w:r>
      <w:r>
        <w:rPr>
          <w:color w:val="auto"/>
          <w:highlight w:val="none"/>
        </w:rPr>
        <w:fldChar w:fldCharType="end"/>
      </w:r>
    </w:p>
    <w:p>
      <w:pPr>
        <w:pStyle w:val="39"/>
        <w:tabs>
          <w:tab w:val="right" w:leader="dot" w:pos="8290"/>
        </w:tabs>
        <w:spacing w:line="360" w:lineRule="auto"/>
        <w:rPr>
          <w:rFonts w:ascii="宋体" w:hAnsi="宋体" w:eastAsia="宋体" w:cs="黑体"/>
          <w:color w:val="auto"/>
          <w:szCs w:val="22"/>
          <w:highlight w:val="none"/>
        </w:rPr>
      </w:pPr>
      <w:r>
        <w:rPr>
          <w:color w:val="auto"/>
          <w:highlight w:val="none"/>
        </w:rPr>
        <w:fldChar w:fldCharType="begin"/>
      </w:r>
      <w:r>
        <w:rPr>
          <w:color w:val="auto"/>
          <w:highlight w:val="none"/>
        </w:rPr>
        <w:instrText xml:space="preserve">HYPERLINK  \l "_Toc450630559" </w:instrText>
      </w:r>
      <w:r>
        <w:rPr>
          <w:color w:val="auto"/>
          <w:highlight w:val="none"/>
        </w:rPr>
        <w:fldChar w:fldCharType="separate"/>
      </w:r>
      <w:r>
        <w:rPr>
          <w:rStyle w:val="56"/>
          <w:rFonts w:hint="eastAsia" w:ascii="宋体" w:hAnsi="宋体" w:eastAsia="宋体"/>
          <w:color w:val="auto"/>
          <w:highlight w:val="none"/>
        </w:rPr>
        <w:t>第三章</w:t>
      </w:r>
      <w:r>
        <w:rPr>
          <w:rStyle w:val="56"/>
          <w:rFonts w:ascii="宋体" w:hAnsi="宋体" w:eastAsia="宋体"/>
          <w:color w:val="auto"/>
          <w:highlight w:val="none"/>
        </w:rPr>
        <w:t xml:space="preserve">  </w:t>
      </w:r>
      <w:r>
        <w:rPr>
          <w:rStyle w:val="56"/>
          <w:rFonts w:hint="eastAsia" w:ascii="宋体" w:hAnsi="宋体" w:eastAsia="宋体"/>
          <w:color w:val="auto"/>
          <w:highlight w:val="none"/>
        </w:rPr>
        <w:t>合同条款及格式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_Toc450630559 \h </w:instrText>
      </w:r>
      <w:r>
        <w:rPr>
          <w:rFonts w:ascii="宋体" w:hAnsi="宋体" w:eastAsia="宋体"/>
          <w:color w:val="auto"/>
          <w:highlight w:val="none"/>
        </w:rPr>
        <w:fldChar w:fldCharType="separate"/>
      </w:r>
      <w:r>
        <w:rPr>
          <w:rFonts w:ascii="宋体" w:hAnsi="宋体" w:eastAsia="宋体"/>
          <w:color w:val="auto"/>
          <w:highlight w:val="none"/>
        </w:rPr>
        <w:t>- 11 -</w:t>
      </w:r>
      <w:r>
        <w:rPr>
          <w:rFonts w:ascii="宋体" w:hAnsi="宋体" w:eastAsia="宋体"/>
          <w:color w:val="auto"/>
          <w:highlight w:val="none"/>
        </w:rPr>
        <w:fldChar w:fldCharType="end"/>
      </w:r>
      <w:r>
        <w:rPr>
          <w:color w:val="auto"/>
          <w:highlight w:val="none"/>
        </w:rPr>
        <w:fldChar w:fldCharType="end"/>
      </w:r>
    </w:p>
    <w:p>
      <w:pPr>
        <w:pStyle w:val="39"/>
        <w:tabs>
          <w:tab w:val="right" w:leader="dot" w:pos="8290"/>
        </w:tabs>
        <w:spacing w:line="360" w:lineRule="auto"/>
        <w:rPr>
          <w:rFonts w:ascii="宋体" w:hAnsi="宋体" w:eastAsia="宋体" w:cs="黑体"/>
          <w:color w:val="auto"/>
          <w:szCs w:val="22"/>
          <w:highlight w:val="none"/>
        </w:rPr>
      </w:pPr>
      <w:r>
        <w:rPr>
          <w:color w:val="auto"/>
          <w:highlight w:val="none"/>
        </w:rPr>
        <w:fldChar w:fldCharType="begin"/>
      </w:r>
      <w:r>
        <w:rPr>
          <w:color w:val="auto"/>
          <w:highlight w:val="none"/>
        </w:rPr>
        <w:instrText xml:space="preserve">HYPERLINK  \l "_Toc450630562" </w:instrText>
      </w:r>
      <w:r>
        <w:rPr>
          <w:color w:val="auto"/>
          <w:highlight w:val="none"/>
        </w:rPr>
        <w:fldChar w:fldCharType="separate"/>
      </w:r>
      <w:r>
        <w:rPr>
          <w:rStyle w:val="56"/>
          <w:rFonts w:hint="eastAsia" w:ascii="宋体" w:hAnsi="宋体" w:eastAsia="宋体"/>
          <w:color w:val="auto"/>
          <w:highlight w:val="none"/>
        </w:rPr>
        <w:t>第四章</w:t>
      </w:r>
      <w:r>
        <w:rPr>
          <w:rStyle w:val="56"/>
          <w:rFonts w:ascii="宋体" w:hAnsi="宋体" w:eastAsia="宋体"/>
          <w:color w:val="auto"/>
          <w:highlight w:val="none"/>
        </w:rPr>
        <w:t xml:space="preserve">  </w:t>
      </w:r>
      <w:r>
        <w:rPr>
          <w:rStyle w:val="56"/>
          <w:rFonts w:hint="eastAsia" w:ascii="宋体" w:hAnsi="宋体" w:eastAsia="宋体"/>
          <w:color w:val="auto"/>
          <w:highlight w:val="none"/>
        </w:rPr>
        <w:t>参考工程量清单</w:t>
      </w:r>
      <w:r>
        <w:rPr>
          <w:rStyle w:val="56"/>
          <w:rFonts w:hint="eastAsia" w:ascii="宋体" w:hAnsi="宋体" w:eastAsia="宋体"/>
          <w:color w:val="auto"/>
          <w:highlight w:val="none"/>
          <w:lang w:eastAsia="zh-CN"/>
        </w:rPr>
        <w:t>、技术标准和要求</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_Toc450630562 \h </w:instrText>
      </w:r>
      <w:r>
        <w:rPr>
          <w:rFonts w:ascii="宋体" w:hAnsi="宋体" w:eastAsia="宋体"/>
          <w:color w:val="auto"/>
          <w:highlight w:val="none"/>
        </w:rPr>
        <w:fldChar w:fldCharType="separate"/>
      </w:r>
      <w:r>
        <w:rPr>
          <w:rFonts w:ascii="宋体" w:hAnsi="宋体" w:eastAsia="宋体"/>
          <w:color w:val="auto"/>
          <w:highlight w:val="none"/>
        </w:rPr>
        <w:t>- 30 -</w:t>
      </w:r>
      <w:r>
        <w:rPr>
          <w:rFonts w:ascii="宋体" w:hAnsi="宋体" w:eastAsia="宋体"/>
          <w:color w:val="auto"/>
          <w:highlight w:val="none"/>
        </w:rPr>
        <w:fldChar w:fldCharType="end"/>
      </w:r>
      <w:r>
        <w:rPr>
          <w:color w:val="auto"/>
          <w:highlight w:val="none"/>
        </w:rPr>
        <w:fldChar w:fldCharType="end"/>
      </w:r>
    </w:p>
    <w:p>
      <w:pPr>
        <w:pStyle w:val="39"/>
        <w:tabs>
          <w:tab w:val="right" w:leader="dot" w:pos="8290"/>
        </w:tabs>
        <w:spacing w:line="360" w:lineRule="auto"/>
        <w:rPr>
          <w:rFonts w:ascii="宋体" w:hAnsi="宋体" w:eastAsia="宋体" w:cs="黑体"/>
          <w:color w:val="auto"/>
          <w:szCs w:val="22"/>
          <w:highlight w:val="none"/>
        </w:rPr>
      </w:pPr>
      <w:r>
        <w:rPr>
          <w:color w:val="auto"/>
          <w:highlight w:val="none"/>
        </w:rPr>
        <w:fldChar w:fldCharType="begin"/>
      </w:r>
      <w:r>
        <w:rPr>
          <w:color w:val="auto"/>
          <w:highlight w:val="none"/>
        </w:rPr>
        <w:instrText xml:space="preserve">HYPERLINK  \l "_Toc450630563" </w:instrText>
      </w:r>
      <w:r>
        <w:rPr>
          <w:color w:val="auto"/>
          <w:highlight w:val="none"/>
        </w:rPr>
        <w:fldChar w:fldCharType="separate"/>
      </w:r>
      <w:r>
        <w:rPr>
          <w:rStyle w:val="56"/>
          <w:rFonts w:hint="eastAsia" w:ascii="宋体" w:hAnsi="宋体" w:eastAsia="宋体"/>
          <w:color w:val="auto"/>
          <w:highlight w:val="none"/>
        </w:rPr>
        <w:t>第五章</w:t>
      </w:r>
      <w:r>
        <w:rPr>
          <w:rStyle w:val="56"/>
          <w:rFonts w:ascii="宋体" w:hAnsi="宋体" w:eastAsia="宋体"/>
          <w:color w:val="auto"/>
          <w:highlight w:val="none"/>
        </w:rPr>
        <w:t xml:space="preserve">  </w:t>
      </w:r>
      <w:r>
        <w:rPr>
          <w:rStyle w:val="56"/>
          <w:rFonts w:hint="eastAsia" w:ascii="宋体" w:hAnsi="宋体" w:eastAsia="宋体"/>
          <w:color w:val="auto"/>
          <w:highlight w:val="none"/>
        </w:rPr>
        <w:t>图纸（另册）</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_Toc450630563 \h </w:instrText>
      </w:r>
      <w:r>
        <w:rPr>
          <w:rFonts w:ascii="宋体" w:hAnsi="宋体" w:eastAsia="宋体"/>
          <w:color w:val="auto"/>
          <w:highlight w:val="none"/>
        </w:rPr>
        <w:fldChar w:fldCharType="separate"/>
      </w:r>
      <w:r>
        <w:rPr>
          <w:rFonts w:ascii="宋体" w:hAnsi="宋体" w:eastAsia="宋体"/>
          <w:color w:val="auto"/>
          <w:highlight w:val="none"/>
        </w:rPr>
        <w:t>- 31 -</w:t>
      </w:r>
      <w:r>
        <w:rPr>
          <w:rFonts w:ascii="宋体" w:hAnsi="宋体" w:eastAsia="宋体"/>
          <w:color w:val="auto"/>
          <w:highlight w:val="none"/>
        </w:rPr>
        <w:fldChar w:fldCharType="end"/>
      </w:r>
      <w:r>
        <w:rPr>
          <w:color w:val="auto"/>
          <w:highlight w:val="none"/>
        </w:rPr>
        <w:fldChar w:fldCharType="end"/>
      </w:r>
    </w:p>
    <w:p>
      <w:pPr>
        <w:pStyle w:val="39"/>
        <w:tabs>
          <w:tab w:val="right" w:leader="dot" w:pos="8290"/>
        </w:tabs>
        <w:spacing w:line="360" w:lineRule="auto"/>
        <w:rPr>
          <w:rFonts w:ascii="宋体" w:hAnsi="宋体" w:eastAsia="宋体" w:cs="黑体"/>
          <w:color w:val="auto"/>
          <w:szCs w:val="22"/>
          <w:highlight w:val="none"/>
        </w:rPr>
      </w:pPr>
      <w:r>
        <w:rPr>
          <w:color w:val="auto"/>
          <w:highlight w:val="none"/>
        </w:rPr>
        <w:fldChar w:fldCharType="begin"/>
      </w:r>
      <w:r>
        <w:rPr>
          <w:color w:val="auto"/>
          <w:highlight w:val="none"/>
        </w:rPr>
        <w:instrText xml:space="preserve">HYPERLINK  \l "_Toc450630564" </w:instrText>
      </w:r>
      <w:r>
        <w:rPr>
          <w:color w:val="auto"/>
          <w:highlight w:val="none"/>
        </w:rPr>
        <w:fldChar w:fldCharType="separate"/>
      </w:r>
      <w:r>
        <w:rPr>
          <w:rStyle w:val="56"/>
          <w:rFonts w:hint="eastAsia" w:ascii="宋体" w:hAnsi="宋体" w:eastAsia="宋体"/>
          <w:color w:val="auto"/>
          <w:highlight w:val="none"/>
        </w:rPr>
        <w:t>第六章</w:t>
      </w:r>
      <w:r>
        <w:rPr>
          <w:rStyle w:val="56"/>
          <w:rFonts w:ascii="宋体" w:hAnsi="宋体" w:eastAsia="宋体"/>
          <w:color w:val="auto"/>
          <w:highlight w:val="none"/>
        </w:rPr>
        <w:t xml:space="preserve">  </w:t>
      </w:r>
      <w:r>
        <w:rPr>
          <w:rStyle w:val="56"/>
          <w:rFonts w:hint="eastAsia" w:ascii="宋体" w:hAnsi="宋体" w:eastAsia="宋体"/>
          <w:color w:val="auto"/>
          <w:highlight w:val="none"/>
        </w:rPr>
        <w:t>评标办法及标准</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_Toc450630564 \h </w:instrText>
      </w:r>
      <w:r>
        <w:rPr>
          <w:rFonts w:ascii="宋体" w:hAnsi="宋体" w:eastAsia="宋体"/>
          <w:color w:val="auto"/>
          <w:highlight w:val="none"/>
        </w:rPr>
        <w:fldChar w:fldCharType="separate"/>
      </w:r>
      <w:r>
        <w:rPr>
          <w:rFonts w:ascii="宋体" w:hAnsi="宋体" w:eastAsia="宋体"/>
          <w:color w:val="auto"/>
          <w:highlight w:val="none"/>
        </w:rPr>
        <w:t>- 32 -</w:t>
      </w:r>
      <w:r>
        <w:rPr>
          <w:rFonts w:ascii="宋体" w:hAnsi="宋体" w:eastAsia="宋体"/>
          <w:color w:val="auto"/>
          <w:highlight w:val="none"/>
        </w:rPr>
        <w:fldChar w:fldCharType="end"/>
      </w:r>
      <w:r>
        <w:rPr>
          <w:color w:val="auto"/>
          <w:highlight w:val="none"/>
        </w:rPr>
        <w:fldChar w:fldCharType="end"/>
      </w:r>
    </w:p>
    <w:p>
      <w:pPr>
        <w:pStyle w:val="39"/>
        <w:tabs>
          <w:tab w:val="right" w:leader="dot" w:pos="8290"/>
        </w:tabs>
        <w:spacing w:line="360" w:lineRule="auto"/>
        <w:rPr>
          <w:rFonts w:ascii="宋体" w:hAnsi="宋体" w:eastAsia="宋体" w:cs="黑体"/>
          <w:color w:val="auto"/>
          <w:szCs w:val="22"/>
          <w:highlight w:val="none"/>
        </w:rPr>
      </w:pPr>
      <w:r>
        <w:rPr>
          <w:color w:val="auto"/>
          <w:highlight w:val="none"/>
        </w:rPr>
        <w:fldChar w:fldCharType="begin"/>
      </w:r>
      <w:r>
        <w:rPr>
          <w:color w:val="auto"/>
          <w:highlight w:val="none"/>
        </w:rPr>
        <w:instrText xml:space="preserve">HYPERLINK  \l "_Toc450630565" </w:instrText>
      </w:r>
      <w:r>
        <w:rPr>
          <w:color w:val="auto"/>
          <w:highlight w:val="none"/>
        </w:rPr>
        <w:fldChar w:fldCharType="separate"/>
      </w:r>
      <w:r>
        <w:rPr>
          <w:rStyle w:val="56"/>
          <w:rFonts w:hint="eastAsia" w:ascii="宋体" w:hAnsi="宋体" w:eastAsia="宋体"/>
          <w:color w:val="auto"/>
          <w:highlight w:val="none"/>
        </w:rPr>
        <w:t>第七章</w:t>
      </w:r>
      <w:r>
        <w:rPr>
          <w:rStyle w:val="56"/>
          <w:rFonts w:ascii="宋体" w:hAnsi="宋体" w:eastAsia="宋体"/>
          <w:color w:val="auto"/>
          <w:highlight w:val="none"/>
        </w:rPr>
        <w:t xml:space="preserve">  </w:t>
      </w:r>
      <w:r>
        <w:rPr>
          <w:rStyle w:val="56"/>
          <w:rFonts w:hint="eastAsia" w:ascii="宋体" w:hAnsi="宋体" w:eastAsia="宋体"/>
          <w:color w:val="auto"/>
          <w:highlight w:val="none"/>
        </w:rPr>
        <w:t>投标文件格式</w:t>
      </w:r>
      <w:r>
        <w:rPr>
          <w:rFonts w:ascii="宋体" w:hAnsi="宋体" w:eastAsia="宋体"/>
          <w:color w:val="auto"/>
          <w:highlight w:val="none"/>
        </w:rPr>
        <w:tab/>
      </w:r>
      <w:r>
        <w:rPr>
          <w:rFonts w:ascii="宋体" w:hAnsi="宋体" w:eastAsia="宋体"/>
          <w:color w:val="auto"/>
          <w:highlight w:val="none"/>
        </w:rPr>
        <w:fldChar w:fldCharType="begin"/>
      </w:r>
      <w:r>
        <w:rPr>
          <w:rFonts w:ascii="宋体" w:hAnsi="宋体" w:eastAsia="宋体"/>
          <w:color w:val="auto"/>
          <w:highlight w:val="none"/>
        </w:rPr>
        <w:instrText xml:space="preserve"> PAGEREF _Toc450630565 \h </w:instrText>
      </w:r>
      <w:r>
        <w:rPr>
          <w:rFonts w:ascii="宋体" w:hAnsi="宋体" w:eastAsia="宋体"/>
          <w:color w:val="auto"/>
          <w:highlight w:val="none"/>
        </w:rPr>
        <w:fldChar w:fldCharType="separate"/>
      </w:r>
      <w:r>
        <w:rPr>
          <w:rFonts w:ascii="宋体" w:hAnsi="宋体" w:eastAsia="宋体"/>
          <w:color w:val="auto"/>
          <w:highlight w:val="none"/>
        </w:rPr>
        <w:t>- 35 -</w:t>
      </w:r>
      <w:r>
        <w:rPr>
          <w:rFonts w:ascii="宋体" w:hAnsi="宋体" w:eastAsia="宋体"/>
          <w:color w:val="auto"/>
          <w:highlight w:val="none"/>
        </w:rPr>
        <w:fldChar w:fldCharType="end"/>
      </w:r>
      <w:r>
        <w:rPr>
          <w:color w:val="auto"/>
          <w:highlight w:val="none"/>
        </w:rPr>
        <w:fldChar w:fldCharType="end"/>
      </w:r>
    </w:p>
    <w:p>
      <w:pPr>
        <w:tabs>
          <w:tab w:val="right" w:leader="dot" w:pos="8364"/>
        </w:tabs>
        <w:spacing w:line="360" w:lineRule="auto"/>
        <w:rPr>
          <w:b/>
          <w:color w:val="auto"/>
          <w:highlight w:val="none"/>
        </w:rPr>
      </w:pPr>
      <w:r>
        <w:rPr>
          <w:rFonts w:hint="eastAsia" w:ascii="宋体" w:hAnsi="宋体"/>
          <w:b/>
          <w:color w:val="auto"/>
          <w:sz w:val="22"/>
          <w:szCs w:val="22"/>
          <w:highlight w:val="none"/>
        </w:rPr>
        <w:fldChar w:fldCharType="end"/>
      </w:r>
    </w:p>
    <w:p>
      <w:pPr>
        <w:spacing w:line="560" w:lineRule="exact"/>
        <w:rPr>
          <w:b/>
          <w:color w:val="auto"/>
          <w:highlight w:val="none"/>
        </w:rPr>
        <w:sectPr>
          <w:headerReference r:id="rId4" w:type="first"/>
          <w:footerReference r:id="rId7" w:type="first"/>
          <w:headerReference r:id="rId3" w:type="default"/>
          <w:footerReference r:id="rId5" w:type="default"/>
          <w:footerReference r:id="rId6" w:type="even"/>
          <w:pgSz w:w="11900" w:h="16840"/>
          <w:pgMar w:top="1134" w:right="1800" w:bottom="1134" w:left="1800" w:header="851" w:footer="992" w:gutter="0"/>
          <w:pgNumType w:fmt="numberInDash" w:start="0"/>
          <w:cols w:space="425" w:num="1"/>
          <w:titlePg/>
          <w:docGrid w:linePitch="326" w:charSpace="0"/>
        </w:sectPr>
      </w:pPr>
      <w:r>
        <w:rPr>
          <w:rFonts w:hint="eastAsia"/>
          <w:b/>
          <w:color w:val="auto"/>
          <w:highlight w:val="none"/>
        </w:rPr>
        <w:t xml:space="preserve">                                                          </w:t>
      </w:r>
    </w:p>
    <w:p>
      <w:pPr>
        <w:pStyle w:val="51"/>
        <w:rPr>
          <w:color w:val="auto"/>
          <w:highlight w:val="none"/>
        </w:rPr>
      </w:pPr>
      <w:bookmarkStart w:id="0" w:name="_Toc450630556"/>
      <w:r>
        <w:rPr>
          <w:rFonts w:hint="eastAsia"/>
          <w:color w:val="auto"/>
          <w:highlight w:val="none"/>
        </w:rPr>
        <w:t>第一章 招标公告</w:t>
      </w:r>
      <w:bookmarkEnd w:id="0"/>
    </w:p>
    <w:p>
      <w:pPr>
        <w:widowControl/>
        <w:snapToGrid w:val="0"/>
        <w:spacing w:line="360" w:lineRule="exact"/>
        <w:jc w:val="left"/>
        <w:rPr>
          <w:rFonts w:ascii="宋体" w:hAnsi="宋体" w:cs="Arial"/>
          <w:b/>
          <w:bCs/>
          <w:color w:val="auto"/>
          <w:kern w:val="0"/>
          <w:sz w:val="22"/>
          <w:szCs w:val="22"/>
          <w:highlight w:val="none"/>
        </w:rPr>
      </w:pPr>
    </w:p>
    <w:p>
      <w:pPr>
        <w:pStyle w:val="84"/>
        <w:widowControl/>
        <w:numPr>
          <w:numId w:val="0"/>
        </w:numPr>
        <w:snapToGrid w:val="0"/>
        <w:spacing w:line="360" w:lineRule="exact"/>
        <w:ind w:leftChars="0"/>
        <w:jc w:val="left"/>
        <w:rPr>
          <w:rFonts w:ascii="宋体" w:hAnsi="宋体" w:cs="Arial"/>
          <w:b/>
          <w:bCs/>
          <w:color w:val="auto"/>
          <w:kern w:val="0"/>
          <w:sz w:val="22"/>
          <w:szCs w:val="22"/>
          <w:highlight w:val="none"/>
        </w:rPr>
      </w:pPr>
      <w:bookmarkStart w:id="188" w:name="_GoBack"/>
      <w:r>
        <w:rPr>
          <w:rFonts w:hint="eastAsia" w:ascii="宋体" w:hAnsi="宋体" w:cs="Arial"/>
          <w:b/>
          <w:bCs/>
          <w:color w:val="auto"/>
          <w:kern w:val="0"/>
          <w:sz w:val="22"/>
          <w:szCs w:val="22"/>
          <w:highlight w:val="none"/>
          <w:lang w:eastAsia="zh-CN"/>
        </w:rPr>
        <w:t>一、</w:t>
      </w:r>
      <w:r>
        <w:rPr>
          <w:rFonts w:hint="eastAsia" w:ascii="宋体" w:hAnsi="宋体" w:cs="Arial"/>
          <w:b/>
          <w:bCs/>
          <w:color w:val="auto"/>
          <w:kern w:val="0"/>
          <w:sz w:val="22"/>
          <w:szCs w:val="22"/>
          <w:highlight w:val="none"/>
        </w:rPr>
        <w:t>招标内容</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（1）项目概况：</w:t>
      </w:r>
      <w:r>
        <w:rPr>
          <w:rFonts w:hint="eastAsia" w:ascii="宋体" w:hAnsi="宋体" w:cs="Arial"/>
          <w:color w:val="auto"/>
          <w:kern w:val="0"/>
          <w:sz w:val="22"/>
          <w:szCs w:val="22"/>
          <w:highlight w:val="none"/>
          <w:lang w:eastAsia="zh-CN"/>
        </w:rPr>
        <w:t>本项目为杭州萧山国际机场</w:t>
      </w:r>
      <w:r>
        <w:rPr>
          <w:rFonts w:hint="eastAsia" w:ascii="宋体" w:hAnsi="宋体" w:cs="Arial"/>
          <w:color w:val="auto"/>
          <w:kern w:val="0"/>
          <w:sz w:val="22"/>
          <w:szCs w:val="22"/>
          <w:highlight w:val="none"/>
          <w:lang w:val="en-US" w:eastAsia="zh-CN"/>
        </w:rPr>
        <w:t>T3中央空调主机房电磁式冷热量表安装工程，位于杭州萧山国际机场内，主要包括在T3中央空调主机房热水机组和冷冻机组安装能量表，实现实时监控热水机组和冷冻机组冷热量的消耗情况，同时</w:t>
      </w:r>
      <w:r>
        <w:rPr>
          <w:rFonts w:hint="eastAsia" w:ascii="宋体" w:hAnsi="宋体" w:cs="Arial"/>
          <w:color w:val="auto"/>
          <w:kern w:val="0"/>
          <w:sz w:val="22"/>
          <w:szCs w:val="22"/>
          <w:highlight w:val="none"/>
        </w:rPr>
        <w:t>保持原有设备、</w:t>
      </w:r>
      <w:r>
        <w:rPr>
          <w:rFonts w:hint="eastAsia" w:ascii="宋体" w:hAnsi="宋体" w:cs="Arial"/>
          <w:color w:val="auto"/>
          <w:kern w:val="0"/>
          <w:sz w:val="22"/>
          <w:szCs w:val="22"/>
          <w:highlight w:val="none"/>
          <w:lang w:eastAsia="zh-CN"/>
        </w:rPr>
        <w:t>保温层、</w:t>
      </w:r>
      <w:r>
        <w:rPr>
          <w:rFonts w:hint="eastAsia" w:ascii="宋体" w:hAnsi="宋体" w:cs="Arial"/>
          <w:color w:val="auto"/>
          <w:kern w:val="0"/>
          <w:sz w:val="22"/>
          <w:szCs w:val="22"/>
          <w:highlight w:val="none"/>
        </w:rPr>
        <w:t>管道</w:t>
      </w:r>
      <w:r>
        <w:rPr>
          <w:rFonts w:hint="eastAsia" w:ascii="宋体" w:hAnsi="宋体" w:cs="Arial"/>
          <w:color w:val="auto"/>
          <w:kern w:val="0"/>
          <w:sz w:val="22"/>
          <w:szCs w:val="22"/>
          <w:highlight w:val="none"/>
          <w:lang w:eastAsia="zh-CN"/>
        </w:rPr>
        <w:t>路由</w:t>
      </w:r>
      <w:r>
        <w:rPr>
          <w:rFonts w:hint="eastAsia" w:ascii="宋体" w:hAnsi="宋体" w:cs="Arial"/>
          <w:color w:val="auto"/>
          <w:kern w:val="0"/>
          <w:sz w:val="22"/>
          <w:szCs w:val="22"/>
          <w:highlight w:val="none"/>
        </w:rPr>
        <w:t>不变。具体详见工程量清单及招标文件要求。</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（2）招标内容：</w:t>
      </w:r>
      <w:r>
        <w:rPr>
          <w:rFonts w:hint="eastAsia" w:ascii="宋体" w:hAnsi="宋体" w:cs="Arial"/>
          <w:color w:val="auto"/>
          <w:kern w:val="0"/>
          <w:sz w:val="22"/>
          <w:szCs w:val="22"/>
          <w:highlight w:val="none"/>
          <w:lang w:eastAsia="zh-CN"/>
        </w:rPr>
        <w:t>详见清单</w:t>
      </w:r>
      <w:r>
        <w:rPr>
          <w:rFonts w:hint="eastAsia" w:ascii="宋体" w:hAnsi="宋体" w:cs="Arial"/>
          <w:color w:val="auto"/>
          <w:kern w:val="0"/>
          <w:sz w:val="22"/>
          <w:szCs w:val="22"/>
          <w:highlight w:val="none"/>
        </w:rPr>
        <w:t xml:space="preserve"> </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（3）本工程设一个标段，要求</w:t>
      </w:r>
      <w:r>
        <w:rPr>
          <w:rFonts w:hint="eastAsia" w:ascii="宋体" w:hAnsi="宋体" w:cs="Calibri"/>
          <w:color w:val="auto"/>
          <w:kern w:val="0"/>
          <w:sz w:val="22"/>
          <w:highlight w:val="none"/>
        </w:rPr>
        <w:t>合同签订后</w:t>
      </w:r>
      <w:r>
        <w:rPr>
          <w:rFonts w:hint="eastAsia" w:ascii="宋体" w:hAnsi="宋体" w:cs="Arial"/>
          <w:color w:val="auto"/>
          <w:kern w:val="0"/>
          <w:sz w:val="22"/>
          <w:szCs w:val="22"/>
          <w:highlight w:val="none"/>
          <w:u w:val="single"/>
          <w:lang w:val="en-US" w:eastAsia="zh-CN"/>
        </w:rPr>
        <w:t>60</w:t>
      </w:r>
      <w:r>
        <w:rPr>
          <w:rFonts w:hint="eastAsia" w:ascii="宋体" w:hAnsi="宋体" w:cs="Arial"/>
          <w:color w:val="auto"/>
          <w:kern w:val="0"/>
          <w:sz w:val="22"/>
          <w:szCs w:val="22"/>
          <w:highlight w:val="none"/>
        </w:rPr>
        <w:t>日历天内完工。</w:t>
      </w:r>
    </w:p>
    <w:p>
      <w:pPr>
        <w:widowControl/>
        <w:snapToGrid w:val="0"/>
        <w:spacing w:line="340" w:lineRule="exact"/>
        <w:jc w:val="left"/>
        <w:rPr>
          <w:rFonts w:ascii="宋体" w:hAnsi="宋体" w:cs="Arial"/>
          <w:b/>
          <w:bCs/>
          <w:color w:val="auto"/>
          <w:kern w:val="0"/>
          <w:sz w:val="22"/>
          <w:szCs w:val="22"/>
          <w:highlight w:val="none"/>
        </w:rPr>
      </w:pPr>
      <w:r>
        <w:rPr>
          <w:rFonts w:hint="eastAsia" w:ascii="宋体" w:hAnsi="宋体" w:cs="Arial"/>
          <w:b/>
          <w:bCs/>
          <w:color w:val="auto"/>
          <w:kern w:val="0"/>
          <w:sz w:val="22"/>
          <w:szCs w:val="22"/>
          <w:highlight w:val="none"/>
        </w:rPr>
        <w:t>二、投标人资格要求</w:t>
      </w:r>
      <w:r>
        <w:rPr>
          <w:rFonts w:ascii="宋体" w:hAnsi="宋体" w:cs="Arial"/>
          <w:b/>
          <w:bCs/>
          <w:color w:val="auto"/>
          <w:kern w:val="0"/>
          <w:sz w:val="22"/>
          <w:szCs w:val="22"/>
          <w:highlight w:val="none"/>
        </w:rPr>
        <w:t> </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（1）</w:t>
      </w:r>
      <w:r>
        <w:rPr>
          <w:rFonts w:hint="eastAsia" w:ascii="宋体" w:hAnsi="宋体" w:cs="宋体"/>
          <w:color w:val="auto"/>
          <w:sz w:val="22"/>
          <w:szCs w:val="22"/>
          <w:highlight w:val="none"/>
        </w:rPr>
        <w:t>投标人具备</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eastAsia="zh-CN"/>
        </w:rPr>
        <w:t>机电工程</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施工总承包</w:t>
      </w:r>
      <w:r>
        <w:rPr>
          <w:rFonts w:ascii="宋体" w:hAnsi="宋体"/>
          <w:color w:val="auto"/>
          <w:kern w:val="0"/>
          <w:highlight w:val="none"/>
        </w:rPr>
        <w:t>或</w:t>
      </w:r>
      <w:r>
        <w:rPr>
          <w:rFonts w:hint="eastAsia" w:ascii="宋体" w:hAnsi="宋体"/>
          <w:color w:val="auto"/>
          <w:kern w:val="0"/>
          <w:highlight w:val="none"/>
        </w:rPr>
        <w:t>建筑</w:t>
      </w:r>
      <w:r>
        <w:rPr>
          <w:rFonts w:ascii="宋体" w:hAnsi="宋体"/>
          <w:color w:val="auto"/>
          <w:kern w:val="0"/>
          <w:highlight w:val="none"/>
        </w:rPr>
        <w:t>机电安装</w:t>
      </w:r>
      <w:r>
        <w:rPr>
          <w:rFonts w:hint="eastAsia" w:ascii="宋体" w:hAnsi="宋体"/>
          <w:color w:val="auto"/>
          <w:kern w:val="0"/>
          <w:highlight w:val="none"/>
        </w:rPr>
        <w:t>工程</w:t>
      </w:r>
      <w:r>
        <w:rPr>
          <w:rFonts w:ascii="宋体" w:hAnsi="宋体"/>
          <w:color w:val="auto"/>
          <w:kern w:val="0"/>
          <w:highlight w:val="none"/>
        </w:rPr>
        <w:t>专业承包</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eastAsia="zh-CN"/>
        </w:rPr>
        <w:t>三</w:t>
      </w:r>
      <w:r>
        <w:rPr>
          <w:rFonts w:hint="eastAsia" w:ascii="宋体" w:hAnsi="宋体" w:cs="宋体"/>
          <w:color w:val="auto"/>
          <w:sz w:val="22"/>
          <w:szCs w:val="22"/>
          <w:highlight w:val="none"/>
        </w:rPr>
        <w:t>级及以上资质</w:t>
      </w:r>
    </w:p>
    <w:p>
      <w:pPr>
        <w:widowControl/>
        <w:adjustRightInd w:val="0"/>
        <w:snapToGrid w:val="0"/>
        <w:spacing w:line="340" w:lineRule="exact"/>
        <w:ind w:firstLine="440" w:firstLineChars="200"/>
        <w:rPr>
          <w:rFonts w:ascii="宋体" w:hAnsi="宋体" w:cs="宋体"/>
          <w:color w:val="auto"/>
          <w:sz w:val="22"/>
          <w:szCs w:val="22"/>
          <w:highlight w:val="none"/>
        </w:rPr>
      </w:pPr>
      <w:r>
        <w:rPr>
          <w:rFonts w:hint="eastAsia" w:ascii="宋体" w:hAnsi="宋体" w:cs="Arial"/>
          <w:color w:val="auto"/>
          <w:kern w:val="0"/>
          <w:sz w:val="22"/>
          <w:szCs w:val="22"/>
          <w:highlight w:val="none"/>
        </w:rPr>
        <w:t>（2）</w:t>
      </w:r>
      <w:r>
        <w:rPr>
          <w:rFonts w:hint="eastAsia" w:ascii="宋体" w:hAnsi="宋体" w:cs="宋体"/>
          <w:color w:val="auto"/>
          <w:sz w:val="22"/>
          <w:szCs w:val="22"/>
          <w:highlight w:val="none"/>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color w:val="auto"/>
          <w:sz w:val="22"/>
          <w:szCs w:val="22"/>
          <w:highlight w:val="none"/>
        </w:rPr>
        <w:t>企业法定代表人、企业经理、企业技术负责人及企业分管安全的副经理须提供相应任职文件。</w:t>
      </w:r>
    </w:p>
    <w:p>
      <w:pPr>
        <w:widowControl/>
        <w:adjustRightInd w:val="0"/>
        <w:snapToGrid w:val="0"/>
        <w:spacing w:line="34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（3）项目经理资格要求：具有</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eastAsia="zh-CN"/>
        </w:rPr>
        <w:t>机电安装</w:t>
      </w:r>
      <w:r>
        <w:rPr>
          <w:rFonts w:hint="eastAsia" w:ascii="宋体" w:hAnsi="宋体" w:cs="宋体"/>
          <w:color w:val="auto"/>
          <w:sz w:val="22"/>
          <w:szCs w:val="22"/>
          <w:highlight w:val="none"/>
          <w:u w:val="single"/>
          <w:lang w:val="en-US" w:eastAsia="zh-CN"/>
        </w:rPr>
        <w:t xml:space="preserve"> </w:t>
      </w:r>
      <w:r>
        <w:rPr>
          <w:rFonts w:hint="eastAsia" w:ascii="宋体" w:hAnsi="宋体" w:cs="宋体"/>
          <w:color w:val="auto"/>
          <w:sz w:val="22"/>
          <w:szCs w:val="22"/>
          <w:highlight w:val="none"/>
        </w:rPr>
        <w:t>专业</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u w:val="single"/>
          <w:lang w:eastAsia="zh-CN"/>
        </w:rPr>
        <w:t>二</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级及以上注册建造师执业证书。</w:t>
      </w:r>
    </w:p>
    <w:p>
      <w:pPr>
        <w:widowControl/>
        <w:adjustRightInd w:val="0"/>
        <w:snapToGrid w:val="0"/>
        <w:spacing w:line="340" w:lineRule="exact"/>
        <w:ind w:firstLine="440" w:firstLineChars="200"/>
        <w:rPr>
          <w:rFonts w:hint="eastAsia" w:ascii="宋体" w:hAnsi="宋体" w:cs="宋体"/>
          <w:color w:val="auto"/>
          <w:sz w:val="22"/>
          <w:szCs w:val="22"/>
          <w:highlight w:val="none"/>
        </w:rPr>
      </w:pPr>
      <w:r>
        <w:rPr>
          <w:rFonts w:hint="eastAsia" w:ascii="宋体" w:hAnsi="宋体" w:cs="Arial"/>
          <w:color w:val="auto"/>
          <w:kern w:val="0"/>
          <w:sz w:val="22"/>
          <w:szCs w:val="22"/>
          <w:highlight w:val="none"/>
        </w:rPr>
        <w:t>（</w:t>
      </w:r>
      <w:r>
        <w:rPr>
          <w:rFonts w:hint="eastAsia" w:ascii="宋体" w:hAnsi="宋体" w:cs="Arial"/>
          <w:color w:val="auto"/>
          <w:kern w:val="0"/>
          <w:sz w:val="22"/>
          <w:szCs w:val="22"/>
          <w:highlight w:val="none"/>
          <w:lang w:val="en-US" w:eastAsia="zh-CN"/>
        </w:rPr>
        <w:t>4</w:t>
      </w:r>
      <w:r>
        <w:rPr>
          <w:rFonts w:hint="eastAsia" w:ascii="宋体" w:hAnsi="宋体" w:cs="Arial"/>
          <w:color w:val="auto"/>
          <w:kern w:val="0"/>
          <w:sz w:val="22"/>
          <w:szCs w:val="22"/>
          <w:highlight w:val="none"/>
        </w:rPr>
        <w:t>）</w:t>
      </w:r>
      <w:r>
        <w:rPr>
          <w:rFonts w:hint="eastAsia" w:ascii="宋体" w:hAnsi="宋体" w:cs="Arial"/>
          <w:color w:val="auto"/>
          <w:kern w:val="0"/>
          <w:sz w:val="22"/>
          <w:szCs w:val="22"/>
          <w:highlight w:val="none"/>
          <w:lang w:eastAsia="zh-CN"/>
        </w:rPr>
        <w:t>投标人提供自</w:t>
      </w:r>
      <w:r>
        <w:rPr>
          <w:rFonts w:hint="eastAsia" w:ascii="宋体" w:hAnsi="宋体" w:cs="Arial"/>
          <w:color w:val="auto"/>
          <w:kern w:val="0"/>
          <w:sz w:val="22"/>
          <w:szCs w:val="22"/>
          <w:highlight w:val="none"/>
          <w:lang w:val="en-US" w:eastAsia="zh-CN"/>
        </w:rPr>
        <w:t>2014年1月1日至今承担过类似项目业绩（类似项目指单项合同中央空调供冷供热的总建筑面积≥2万㎡或单项合同中央空调供冷机组总容量≥9000KW或单项合同中央空调热水机组总容量≥3MW），需提供中标通知书或工程合同或竣工验收等相关资料，复印件加盖公章，原件备查</w:t>
      </w:r>
      <w:r>
        <w:rPr>
          <w:rFonts w:hint="eastAsia" w:ascii="宋体" w:hAnsi="宋体" w:cs="Arial"/>
          <w:color w:val="auto"/>
          <w:kern w:val="0"/>
          <w:sz w:val="22"/>
          <w:szCs w:val="22"/>
          <w:highlight w:val="none"/>
        </w:rPr>
        <w:t>。</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w:t>
      </w:r>
      <w:r>
        <w:rPr>
          <w:rFonts w:hint="eastAsia" w:ascii="宋体" w:hAnsi="宋体" w:cs="Arial"/>
          <w:color w:val="auto"/>
          <w:kern w:val="0"/>
          <w:sz w:val="22"/>
          <w:szCs w:val="22"/>
          <w:highlight w:val="none"/>
          <w:lang w:val="en-US" w:eastAsia="zh-CN"/>
        </w:rPr>
        <w:t>5</w:t>
      </w:r>
      <w:r>
        <w:rPr>
          <w:rFonts w:hint="eastAsia" w:ascii="宋体" w:hAnsi="宋体" w:cs="Arial"/>
          <w:color w:val="auto"/>
          <w:kern w:val="0"/>
          <w:sz w:val="22"/>
          <w:szCs w:val="22"/>
          <w:highlight w:val="none"/>
        </w:rPr>
        <w:t>）</w:t>
      </w:r>
      <w:r>
        <w:rPr>
          <w:rFonts w:ascii="宋体" w:hAnsi="宋体" w:cs="Arial"/>
          <w:color w:val="auto"/>
          <w:kern w:val="0"/>
          <w:sz w:val="22"/>
          <w:szCs w:val="22"/>
          <w:highlight w:val="none"/>
        </w:rPr>
        <w:t>本项目不接受联合</w:t>
      </w:r>
      <w:r>
        <w:rPr>
          <w:rFonts w:hint="eastAsia" w:ascii="宋体" w:hAnsi="宋体" w:cs="Arial"/>
          <w:color w:val="auto"/>
          <w:kern w:val="0"/>
          <w:sz w:val="22"/>
          <w:szCs w:val="22"/>
          <w:highlight w:val="none"/>
        </w:rPr>
        <w:t>体</w:t>
      </w:r>
      <w:r>
        <w:rPr>
          <w:rFonts w:ascii="宋体" w:hAnsi="宋体" w:cs="Arial"/>
          <w:color w:val="auto"/>
          <w:kern w:val="0"/>
          <w:sz w:val="22"/>
          <w:szCs w:val="22"/>
          <w:highlight w:val="none"/>
        </w:rPr>
        <w:t>投标</w:t>
      </w:r>
      <w:r>
        <w:rPr>
          <w:rFonts w:hint="eastAsia" w:ascii="宋体" w:hAnsi="宋体" w:cs="Arial"/>
          <w:color w:val="auto"/>
          <w:kern w:val="0"/>
          <w:sz w:val="22"/>
          <w:szCs w:val="22"/>
          <w:highlight w:val="none"/>
        </w:rPr>
        <w:t>。</w:t>
      </w:r>
    </w:p>
    <w:p>
      <w:pPr>
        <w:widowControl/>
        <w:snapToGrid w:val="0"/>
        <w:spacing w:line="340" w:lineRule="exact"/>
        <w:jc w:val="left"/>
        <w:rPr>
          <w:rFonts w:ascii="宋体" w:hAnsi="宋体" w:cs="Arial"/>
          <w:b/>
          <w:bCs/>
          <w:color w:val="auto"/>
          <w:kern w:val="0"/>
          <w:sz w:val="22"/>
          <w:szCs w:val="22"/>
          <w:highlight w:val="none"/>
        </w:rPr>
      </w:pPr>
      <w:r>
        <w:rPr>
          <w:rFonts w:hint="eastAsia" w:ascii="宋体" w:hAnsi="宋体" w:cs="Arial"/>
          <w:b/>
          <w:bCs/>
          <w:color w:val="auto"/>
          <w:kern w:val="0"/>
          <w:sz w:val="22"/>
          <w:szCs w:val="22"/>
          <w:highlight w:val="none"/>
        </w:rPr>
        <w:t>三、招标文件获取</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凡符合资格条件并有投标意向的潜在投标人，请通过杭州萧山机场有限公司主页</w:t>
      </w:r>
      <w:r>
        <w:rPr>
          <w:color w:val="auto"/>
          <w:highlight w:val="none"/>
        </w:rPr>
        <w:fldChar w:fldCharType="begin"/>
      </w:r>
      <w:r>
        <w:rPr>
          <w:color w:val="auto"/>
          <w:highlight w:val="none"/>
        </w:rPr>
        <w:instrText xml:space="preserve">HYPERLINK "http://www.hzairport.com/zbxx.aspx" </w:instrText>
      </w:r>
      <w:r>
        <w:rPr>
          <w:color w:val="auto"/>
          <w:highlight w:val="none"/>
        </w:rPr>
        <w:fldChar w:fldCharType="separate"/>
      </w:r>
      <w:r>
        <w:rPr>
          <w:rFonts w:ascii="宋体" w:hAnsi="宋体" w:cs="Arial"/>
          <w:color w:val="auto"/>
          <w:kern w:val="0"/>
          <w:sz w:val="22"/>
          <w:szCs w:val="22"/>
          <w:highlight w:val="none"/>
        </w:rPr>
        <w:t>http://www.hzairport.com/zbxx.aspx</w:t>
      </w:r>
      <w:r>
        <w:rPr>
          <w:color w:val="auto"/>
          <w:highlight w:val="none"/>
        </w:rPr>
        <w:fldChar w:fldCharType="end"/>
      </w:r>
      <w:r>
        <w:rPr>
          <w:rFonts w:hint="eastAsia" w:ascii="宋体" w:hAnsi="宋体" w:cs="Arial"/>
          <w:color w:val="auto"/>
          <w:kern w:val="0"/>
          <w:sz w:val="22"/>
          <w:szCs w:val="22"/>
          <w:highlight w:val="none"/>
        </w:rPr>
        <w:t>自行下载招标文件。</w:t>
      </w:r>
    </w:p>
    <w:p>
      <w:pPr>
        <w:widowControl/>
        <w:snapToGrid w:val="0"/>
        <w:spacing w:line="340" w:lineRule="exact"/>
        <w:jc w:val="left"/>
        <w:rPr>
          <w:rFonts w:ascii="宋体" w:hAnsi="宋体" w:cs="Arial"/>
          <w:b/>
          <w:bCs/>
          <w:color w:val="auto"/>
          <w:kern w:val="0"/>
          <w:sz w:val="22"/>
          <w:szCs w:val="22"/>
          <w:highlight w:val="none"/>
        </w:rPr>
      </w:pPr>
      <w:r>
        <w:rPr>
          <w:rFonts w:hint="eastAsia" w:ascii="宋体" w:hAnsi="宋体" w:cs="Arial"/>
          <w:b/>
          <w:bCs/>
          <w:color w:val="auto"/>
          <w:kern w:val="0"/>
          <w:sz w:val="22"/>
          <w:szCs w:val="22"/>
          <w:highlight w:val="none"/>
        </w:rPr>
        <w:t>四、投标文件的递交</w:t>
      </w:r>
    </w:p>
    <w:p>
      <w:pPr>
        <w:widowControl/>
        <w:adjustRightInd w:val="0"/>
        <w:snapToGrid w:val="0"/>
        <w:spacing w:line="340" w:lineRule="exact"/>
        <w:ind w:firstLine="440" w:firstLineChars="200"/>
        <w:rPr>
          <w:rFonts w:hint="eastAsia" w:ascii="宋体" w:hAnsi="宋体" w:cs="Arial"/>
          <w:color w:val="auto"/>
          <w:kern w:val="0"/>
          <w:sz w:val="22"/>
          <w:highlight w:val="none"/>
        </w:rPr>
      </w:pPr>
      <w:r>
        <w:rPr>
          <w:rFonts w:hint="eastAsia" w:ascii="宋体" w:hAnsi="宋体" w:cs="Arial"/>
          <w:color w:val="auto"/>
          <w:kern w:val="0"/>
          <w:sz w:val="22"/>
          <w:highlight w:val="none"/>
        </w:rPr>
        <w:t>（1）投标文件递交截止时间：</w:t>
      </w:r>
      <w:r>
        <w:rPr>
          <w:rFonts w:hint="eastAsia" w:ascii="宋体" w:hAnsi="宋体" w:cs="Arial"/>
          <w:color w:val="auto"/>
          <w:kern w:val="0"/>
          <w:sz w:val="22"/>
          <w:highlight w:val="none"/>
          <w:lang w:val="en-US" w:eastAsia="zh-CN"/>
        </w:rPr>
        <w:t>2019</w:t>
      </w:r>
      <w:r>
        <w:rPr>
          <w:rFonts w:hint="eastAsia" w:ascii="宋体" w:hAnsi="宋体" w:cs="Arial"/>
          <w:color w:val="auto"/>
          <w:kern w:val="0"/>
          <w:sz w:val="22"/>
          <w:highlight w:val="none"/>
        </w:rPr>
        <w:t>年</w:t>
      </w:r>
      <w:r>
        <w:rPr>
          <w:rFonts w:hint="eastAsia" w:ascii="宋体" w:hAnsi="宋体" w:cs="Arial"/>
          <w:color w:val="auto"/>
          <w:kern w:val="0"/>
          <w:sz w:val="22"/>
          <w:highlight w:val="none"/>
          <w:lang w:val="en-US" w:eastAsia="zh-CN"/>
        </w:rPr>
        <w:t>5</w:t>
      </w:r>
      <w:r>
        <w:rPr>
          <w:rFonts w:hint="eastAsia" w:ascii="宋体" w:hAnsi="宋体" w:cs="Arial"/>
          <w:color w:val="auto"/>
          <w:kern w:val="0"/>
          <w:sz w:val="22"/>
          <w:highlight w:val="none"/>
        </w:rPr>
        <w:t>月</w:t>
      </w:r>
      <w:r>
        <w:rPr>
          <w:rFonts w:hint="eastAsia" w:ascii="宋体" w:hAnsi="宋体" w:cs="Arial"/>
          <w:color w:val="auto"/>
          <w:kern w:val="0"/>
          <w:sz w:val="22"/>
          <w:highlight w:val="none"/>
          <w:lang w:val="en-US" w:eastAsia="zh-CN"/>
        </w:rPr>
        <w:t>17</w:t>
      </w:r>
      <w:r>
        <w:rPr>
          <w:rFonts w:hint="eastAsia" w:ascii="宋体" w:hAnsi="宋体" w:cs="Arial"/>
          <w:color w:val="auto"/>
          <w:kern w:val="0"/>
          <w:sz w:val="22"/>
          <w:highlight w:val="none"/>
        </w:rPr>
        <w:t>日上午</w:t>
      </w:r>
      <w:r>
        <w:rPr>
          <w:rFonts w:hint="eastAsia" w:ascii="宋体" w:hAnsi="宋体" w:cs="Arial"/>
          <w:color w:val="auto"/>
          <w:kern w:val="0"/>
          <w:sz w:val="22"/>
          <w:highlight w:val="none"/>
          <w:lang w:val="en-US" w:eastAsia="zh-CN"/>
        </w:rPr>
        <w:t>9</w:t>
      </w:r>
      <w:r>
        <w:rPr>
          <w:rFonts w:hint="eastAsia" w:ascii="宋体" w:hAnsi="宋体" w:cs="Arial"/>
          <w:color w:val="auto"/>
          <w:kern w:val="0"/>
          <w:sz w:val="22"/>
          <w:highlight w:val="none"/>
        </w:rPr>
        <w:t>时</w:t>
      </w:r>
      <w:r>
        <w:rPr>
          <w:rFonts w:hint="eastAsia" w:ascii="宋体" w:hAnsi="宋体" w:cs="Arial"/>
          <w:color w:val="auto"/>
          <w:kern w:val="0"/>
          <w:sz w:val="22"/>
          <w:highlight w:val="none"/>
          <w:lang w:val="en-US" w:eastAsia="zh-CN"/>
        </w:rPr>
        <w:t>00</w:t>
      </w:r>
      <w:r>
        <w:rPr>
          <w:rFonts w:hint="eastAsia" w:ascii="宋体" w:hAnsi="宋体" w:cs="Arial"/>
          <w:color w:val="auto"/>
          <w:kern w:val="0"/>
          <w:sz w:val="22"/>
          <w:highlight w:val="none"/>
        </w:rPr>
        <w:t>分（北京时间）。投标文件在封口处加盖公章，并派专人于</w:t>
      </w:r>
      <w:r>
        <w:rPr>
          <w:rFonts w:hint="eastAsia" w:ascii="宋体" w:hAnsi="宋体" w:cs="Arial"/>
          <w:color w:val="auto"/>
          <w:kern w:val="0"/>
          <w:sz w:val="22"/>
          <w:highlight w:val="none"/>
          <w:lang w:val="en-US" w:eastAsia="zh-CN"/>
        </w:rPr>
        <w:t>2019</w:t>
      </w:r>
      <w:r>
        <w:rPr>
          <w:rFonts w:hint="eastAsia" w:ascii="宋体" w:hAnsi="宋体" w:cs="Arial"/>
          <w:color w:val="auto"/>
          <w:kern w:val="0"/>
          <w:sz w:val="22"/>
          <w:highlight w:val="none"/>
        </w:rPr>
        <w:t>年</w:t>
      </w:r>
      <w:r>
        <w:rPr>
          <w:rFonts w:hint="eastAsia" w:ascii="宋体" w:hAnsi="宋体" w:cs="Arial"/>
          <w:color w:val="auto"/>
          <w:kern w:val="0"/>
          <w:sz w:val="22"/>
          <w:highlight w:val="none"/>
          <w:lang w:val="en-US" w:eastAsia="zh-CN"/>
        </w:rPr>
        <w:t>5</w:t>
      </w:r>
      <w:r>
        <w:rPr>
          <w:rFonts w:hint="eastAsia" w:ascii="宋体" w:hAnsi="宋体" w:cs="Arial"/>
          <w:color w:val="auto"/>
          <w:kern w:val="0"/>
          <w:sz w:val="22"/>
          <w:highlight w:val="none"/>
        </w:rPr>
        <w:t>月</w:t>
      </w:r>
      <w:r>
        <w:rPr>
          <w:rFonts w:hint="eastAsia" w:ascii="宋体" w:hAnsi="宋体" w:cs="Arial"/>
          <w:color w:val="auto"/>
          <w:kern w:val="0"/>
          <w:sz w:val="22"/>
          <w:highlight w:val="none"/>
          <w:lang w:val="en-US" w:eastAsia="zh-CN"/>
        </w:rPr>
        <w:t>17</w:t>
      </w:r>
      <w:r>
        <w:rPr>
          <w:rFonts w:hint="eastAsia" w:ascii="宋体" w:hAnsi="宋体" w:cs="Arial"/>
          <w:color w:val="auto"/>
          <w:kern w:val="0"/>
          <w:sz w:val="22"/>
          <w:highlight w:val="none"/>
        </w:rPr>
        <w:t>日上午</w:t>
      </w:r>
      <w:r>
        <w:rPr>
          <w:rFonts w:hint="eastAsia" w:ascii="宋体" w:hAnsi="宋体" w:cs="Arial"/>
          <w:color w:val="auto"/>
          <w:kern w:val="0"/>
          <w:sz w:val="22"/>
          <w:highlight w:val="none"/>
          <w:lang w:val="en-US" w:eastAsia="zh-CN"/>
        </w:rPr>
        <w:t>9</w:t>
      </w:r>
      <w:r>
        <w:rPr>
          <w:rFonts w:hint="eastAsia" w:ascii="宋体" w:hAnsi="宋体" w:cs="Arial"/>
          <w:color w:val="auto"/>
          <w:kern w:val="0"/>
          <w:sz w:val="22"/>
          <w:highlight w:val="none"/>
        </w:rPr>
        <w:t>时</w:t>
      </w:r>
      <w:r>
        <w:rPr>
          <w:rFonts w:hint="eastAsia" w:ascii="宋体" w:hAnsi="宋体" w:cs="Arial"/>
          <w:color w:val="auto"/>
          <w:kern w:val="0"/>
          <w:sz w:val="22"/>
          <w:highlight w:val="none"/>
          <w:lang w:val="en-US" w:eastAsia="zh-CN"/>
        </w:rPr>
        <w:t>00</w:t>
      </w:r>
      <w:r>
        <w:rPr>
          <w:rFonts w:hint="eastAsia" w:ascii="宋体" w:hAnsi="宋体" w:cs="Arial"/>
          <w:color w:val="auto"/>
          <w:kern w:val="0"/>
          <w:sz w:val="22"/>
          <w:highlight w:val="none"/>
        </w:rPr>
        <w:t>分（北京时间）前送至杭州萧山国际机场翔越路综合服务楼园区招标中心，逾期无效；若采用投递方式的，请于</w:t>
      </w:r>
      <w:r>
        <w:rPr>
          <w:rFonts w:hint="eastAsia" w:ascii="宋体" w:hAnsi="宋体" w:cs="Arial"/>
          <w:color w:val="auto"/>
          <w:kern w:val="0"/>
          <w:sz w:val="22"/>
          <w:highlight w:val="none"/>
          <w:lang w:val="en-US" w:eastAsia="zh-CN"/>
        </w:rPr>
        <w:t>2019</w:t>
      </w:r>
      <w:r>
        <w:rPr>
          <w:rFonts w:hint="eastAsia" w:ascii="宋体" w:hAnsi="宋体" w:cs="Arial"/>
          <w:color w:val="auto"/>
          <w:kern w:val="0"/>
          <w:sz w:val="22"/>
          <w:highlight w:val="none"/>
        </w:rPr>
        <w:t>年</w:t>
      </w:r>
      <w:r>
        <w:rPr>
          <w:rFonts w:hint="eastAsia" w:ascii="宋体" w:hAnsi="宋体" w:cs="Arial"/>
          <w:color w:val="auto"/>
          <w:kern w:val="0"/>
          <w:sz w:val="22"/>
          <w:highlight w:val="none"/>
          <w:lang w:val="en-US" w:eastAsia="zh-CN"/>
        </w:rPr>
        <w:t>5</w:t>
      </w:r>
      <w:r>
        <w:rPr>
          <w:rFonts w:hint="eastAsia" w:ascii="宋体" w:hAnsi="宋体" w:cs="Arial"/>
          <w:color w:val="auto"/>
          <w:kern w:val="0"/>
          <w:sz w:val="22"/>
          <w:highlight w:val="none"/>
        </w:rPr>
        <w:t>月</w:t>
      </w:r>
      <w:r>
        <w:rPr>
          <w:rFonts w:hint="eastAsia" w:ascii="宋体" w:hAnsi="宋体" w:cs="Arial"/>
          <w:color w:val="auto"/>
          <w:kern w:val="0"/>
          <w:sz w:val="22"/>
          <w:highlight w:val="none"/>
          <w:lang w:val="en-US" w:eastAsia="zh-CN"/>
        </w:rPr>
        <w:t>17</w:t>
      </w:r>
      <w:r>
        <w:rPr>
          <w:rFonts w:hint="eastAsia" w:ascii="宋体" w:hAnsi="宋体" w:cs="Arial"/>
          <w:color w:val="auto"/>
          <w:kern w:val="0"/>
          <w:sz w:val="22"/>
          <w:highlight w:val="none"/>
        </w:rPr>
        <w:t>日上午</w:t>
      </w:r>
      <w:r>
        <w:rPr>
          <w:rFonts w:hint="eastAsia" w:ascii="宋体" w:hAnsi="宋体" w:cs="Arial"/>
          <w:color w:val="auto"/>
          <w:kern w:val="0"/>
          <w:sz w:val="22"/>
          <w:highlight w:val="none"/>
          <w:lang w:val="en-US" w:eastAsia="zh-CN"/>
        </w:rPr>
        <w:t>9</w:t>
      </w:r>
      <w:r>
        <w:rPr>
          <w:rFonts w:hint="eastAsia" w:ascii="宋体" w:hAnsi="宋体" w:cs="Arial"/>
          <w:color w:val="auto"/>
          <w:kern w:val="0"/>
          <w:sz w:val="22"/>
          <w:highlight w:val="none"/>
        </w:rPr>
        <w:t>时</w:t>
      </w:r>
      <w:r>
        <w:rPr>
          <w:rFonts w:hint="eastAsia" w:ascii="宋体" w:hAnsi="宋体" w:cs="Arial"/>
          <w:color w:val="auto"/>
          <w:kern w:val="0"/>
          <w:sz w:val="22"/>
          <w:highlight w:val="none"/>
          <w:lang w:val="en-US" w:eastAsia="zh-CN"/>
        </w:rPr>
        <w:t>00</w:t>
      </w:r>
      <w:r>
        <w:rPr>
          <w:rFonts w:hint="eastAsia" w:ascii="宋体" w:hAnsi="宋体" w:cs="Arial"/>
          <w:color w:val="auto"/>
          <w:kern w:val="0"/>
          <w:sz w:val="22"/>
          <w:highlight w:val="none"/>
        </w:rPr>
        <w:t>分（北京时间）前投递至</w:t>
      </w:r>
      <w:r>
        <w:rPr>
          <w:rFonts w:hint="eastAsia" w:cs="Arial" w:asciiTheme="minorEastAsia" w:hAnsiTheme="minorEastAsia"/>
          <w:color w:val="auto"/>
          <w:kern w:val="0"/>
          <w:sz w:val="22"/>
          <w:szCs w:val="22"/>
          <w:highlight w:val="none"/>
          <w:u w:val="single"/>
        </w:rPr>
        <w:t>杭州萧山国际机场物业安检楼237室</w:t>
      </w:r>
      <w:r>
        <w:rPr>
          <w:rFonts w:hint="eastAsia" w:ascii="宋体" w:hAnsi="宋体" w:cs="Arial"/>
          <w:color w:val="auto"/>
          <w:kern w:val="0"/>
          <w:sz w:val="22"/>
          <w:highlight w:val="none"/>
        </w:rPr>
        <w:t>，逾期无效。</w:t>
      </w:r>
    </w:p>
    <w:p>
      <w:pPr>
        <w:widowControl/>
        <w:adjustRightInd w:val="0"/>
        <w:snapToGrid w:val="0"/>
        <w:spacing w:line="340" w:lineRule="exact"/>
        <w:ind w:firstLine="440" w:firstLineChars="200"/>
        <w:rPr>
          <w:rFonts w:hint="eastAsia" w:asciiTheme="minorEastAsia" w:hAnsiTheme="minorEastAsia"/>
          <w:color w:val="auto"/>
          <w:sz w:val="22"/>
          <w:szCs w:val="22"/>
          <w:highlight w:val="none"/>
        </w:rPr>
      </w:pPr>
      <w:r>
        <w:rPr>
          <w:rFonts w:hint="eastAsia" w:ascii="宋体" w:hAnsi="宋体" w:cs="Arial"/>
          <w:color w:val="auto"/>
          <w:kern w:val="0"/>
          <w:sz w:val="22"/>
          <w:highlight w:val="none"/>
        </w:rPr>
        <w:t>（2）</w:t>
      </w:r>
      <w:r>
        <w:rPr>
          <w:rFonts w:hint="eastAsia" w:ascii="宋体" w:hAnsi="宋体"/>
          <w:color w:val="auto"/>
          <w:sz w:val="22"/>
          <w:highlight w:val="none"/>
        </w:rPr>
        <w:t>逾期送达或者未送达指定地点的投标文件，招标人不予受理。</w:t>
      </w:r>
    </w:p>
    <w:p>
      <w:pPr>
        <w:widowControl/>
        <w:snapToGrid w:val="0"/>
        <w:spacing w:line="340" w:lineRule="exact"/>
        <w:jc w:val="left"/>
        <w:rPr>
          <w:rFonts w:ascii="宋体" w:hAnsi="宋体" w:cs="Arial"/>
          <w:b/>
          <w:bCs/>
          <w:color w:val="auto"/>
          <w:kern w:val="0"/>
          <w:sz w:val="22"/>
          <w:szCs w:val="22"/>
          <w:highlight w:val="none"/>
        </w:rPr>
      </w:pPr>
      <w:r>
        <w:rPr>
          <w:rFonts w:hint="eastAsia" w:ascii="宋体" w:hAnsi="宋体" w:cs="Arial"/>
          <w:b/>
          <w:bCs/>
          <w:color w:val="auto"/>
          <w:kern w:val="0"/>
          <w:sz w:val="22"/>
          <w:szCs w:val="22"/>
          <w:highlight w:val="none"/>
        </w:rPr>
        <w:t>五、发布公告的媒介</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本次招标公告在</w:t>
      </w:r>
      <w:r>
        <w:rPr>
          <w:rFonts w:hint="eastAsia" w:ascii="宋体" w:hAnsi="宋体" w:cs="Arial"/>
          <w:b/>
          <w:color w:val="auto"/>
          <w:kern w:val="0"/>
          <w:sz w:val="22"/>
          <w:szCs w:val="22"/>
          <w:highlight w:val="none"/>
        </w:rPr>
        <w:t>中国采购与招标网和杭州萧山机场有限公司</w:t>
      </w:r>
      <w:r>
        <w:rPr>
          <w:rFonts w:hint="eastAsia" w:ascii="宋体" w:hAnsi="宋体" w:cs="Arial"/>
          <w:color w:val="auto"/>
          <w:kern w:val="0"/>
          <w:sz w:val="22"/>
          <w:szCs w:val="22"/>
          <w:highlight w:val="none"/>
        </w:rPr>
        <w:t>主页上发布</w:t>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olor w:val="auto"/>
          <w:sz w:val="22"/>
          <w:szCs w:val="22"/>
          <w:highlight w:val="none"/>
        </w:rPr>
        <w:t>中国采购与招标网</w:t>
      </w:r>
      <w:r>
        <w:rPr>
          <w:rFonts w:ascii="宋体" w:hAnsi="宋体"/>
          <w:color w:val="auto"/>
          <w:sz w:val="22"/>
          <w:szCs w:val="22"/>
          <w:highlight w:val="none"/>
        </w:rPr>
        <w:t xml:space="preserve">  </w:t>
      </w:r>
      <w:r>
        <w:rPr>
          <w:color w:val="auto"/>
          <w:highlight w:val="none"/>
        </w:rPr>
        <w:fldChar w:fldCharType="begin"/>
      </w:r>
      <w:r>
        <w:rPr>
          <w:color w:val="auto"/>
          <w:highlight w:val="none"/>
        </w:rPr>
        <w:instrText xml:space="preserve">HYPERLINK "http://www.chinabidding.com.cn/" </w:instrText>
      </w:r>
      <w:r>
        <w:rPr>
          <w:color w:val="auto"/>
          <w:highlight w:val="none"/>
        </w:rPr>
        <w:fldChar w:fldCharType="separate"/>
      </w:r>
      <w:r>
        <w:rPr>
          <w:rFonts w:ascii="宋体" w:hAnsi="宋体"/>
          <w:color w:val="auto"/>
          <w:sz w:val="22"/>
          <w:szCs w:val="22"/>
          <w:highlight w:val="none"/>
        </w:rPr>
        <w:t>http://www.chinabidding.com.cn</w:t>
      </w:r>
      <w:r>
        <w:rPr>
          <w:color w:val="auto"/>
          <w:highlight w:val="none"/>
        </w:rPr>
        <w:fldChar w:fldCharType="end"/>
      </w:r>
    </w:p>
    <w:p>
      <w:pPr>
        <w:widowControl/>
        <w:adjustRightInd w:val="0"/>
        <w:snapToGrid w:val="0"/>
        <w:spacing w:line="340" w:lineRule="exact"/>
        <w:ind w:firstLine="440" w:firstLineChars="200"/>
        <w:rPr>
          <w:rFonts w:ascii="宋体" w:hAnsi="宋体" w:cs="Arial"/>
          <w:color w:val="auto"/>
          <w:kern w:val="0"/>
          <w:sz w:val="22"/>
          <w:szCs w:val="22"/>
          <w:highlight w:val="none"/>
        </w:rPr>
      </w:pPr>
      <w:r>
        <w:rPr>
          <w:rFonts w:hint="eastAsia" w:ascii="宋体" w:hAnsi="宋体" w:cs="Arial"/>
          <w:color w:val="auto"/>
          <w:kern w:val="0"/>
          <w:sz w:val="22"/>
          <w:szCs w:val="22"/>
          <w:highlight w:val="none"/>
        </w:rPr>
        <w:t>杭州萧山机场有限公司主页http://www.hzairport.com</w:t>
      </w:r>
    </w:p>
    <w:p>
      <w:pPr>
        <w:widowControl/>
        <w:snapToGrid w:val="0"/>
        <w:spacing w:line="340" w:lineRule="exact"/>
        <w:jc w:val="left"/>
        <w:rPr>
          <w:rFonts w:ascii="宋体" w:hAnsi="宋体" w:cs="Arial"/>
          <w:b/>
          <w:bCs/>
          <w:color w:val="auto"/>
          <w:kern w:val="0"/>
          <w:sz w:val="22"/>
          <w:szCs w:val="22"/>
          <w:highlight w:val="none"/>
        </w:rPr>
      </w:pPr>
      <w:r>
        <w:rPr>
          <w:rFonts w:hint="eastAsia" w:ascii="宋体" w:hAnsi="宋体" w:cs="Arial"/>
          <w:b/>
          <w:bCs/>
          <w:color w:val="auto"/>
          <w:kern w:val="0"/>
          <w:sz w:val="22"/>
          <w:szCs w:val="22"/>
          <w:highlight w:val="none"/>
        </w:rPr>
        <w:t>六、联系方式</w:t>
      </w:r>
    </w:p>
    <w:p>
      <w:pPr>
        <w:widowControl/>
        <w:adjustRightInd w:val="0"/>
        <w:snapToGrid w:val="0"/>
        <w:spacing w:line="340" w:lineRule="exact"/>
        <w:ind w:firstLine="440" w:firstLineChars="200"/>
        <w:rPr>
          <w:rFonts w:asciiTheme="minorEastAsia" w:hAnsiTheme="minorEastAsia"/>
          <w:color w:val="auto"/>
          <w:sz w:val="22"/>
          <w:szCs w:val="22"/>
          <w:highlight w:val="none"/>
        </w:rPr>
      </w:pPr>
      <w:r>
        <w:rPr>
          <w:rFonts w:hint="eastAsia" w:asciiTheme="minorEastAsia" w:hAnsiTheme="minorEastAsia"/>
          <w:color w:val="auto"/>
          <w:sz w:val="22"/>
          <w:szCs w:val="22"/>
          <w:highlight w:val="none"/>
        </w:rPr>
        <w:t>投标联系人：</w:t>
      </w:r>
      <w:r>
        <w:rPr>
          <w:rFonts w:hint="eastAsia" w:asciiTheme="minorEastAsia" w:hAnsiTheme="minorEastAsia"/>
          <w:color w:val="auto"/>
          <w:sz w:val="22"/>
          <w:szCs w:val="22"/>
          <w:highlight w:val="none"/>
          <w:lang w:eastAsia="zh-CN"/>
        </w:rPr>
        <w:t>来伟军</w:t>
      </w:r>
      <w:r>
        <w:rPr>
          <w:rFonts w:hint="eastAsia" w:asciiTheme="minorEastAsia" w:hAnsiTheme="minorEastAsia"/>
          <w:color w:val="auto"/>
          <w:sz w:val="22"/>
          <w:szCs w:val="22"/>
          <w:highlight w:val="none"/>
          <w:lang w:val="en-US" w:eastAsia="zh-CN"/>
        </w:rPr>
        <w:t xml:space="preserve"> </w:t>
      </w:r>
      <w:r>
        <w:rPr>
          <w:rFonts w:hint="eastAsia" w:asciiTheme="minorEastAsia" w:hAnsiTheme="minorEastAsia"/>
          <w:color w:val="auto"/>
          <w:sz w:val="22"/>
          <w:szCs w:val="22"/>
          <w:highlight w:val="none"/>
        </w:rPr>
        <w:t xml:space="preserve">  联系电话：</w:t>
      </w:r>
      <w:r>
        <w:rPr>
          <w:rFonts w:hint="eastAsia" w:asciiTheme="minorEastAsia" w:hAnsiTheme="minorEastAsia"/>
          <w:color w:val="auto"/>
          <w:sz w:val="22"/>
          <w:szCs w:val="22"/>
          <w:highlight w:val="none"/>
          <w:lang w:val="en-US" w:eastAsia="zh-CN"/>
        </w:rPr>
        <w:t>0571-86662611</w:t>
      </w:r>
      <w:r>
        <w:rPr>
          <w:rFonts w:hint="eastAsia" w:asciiTheme="minorEastAsia" w:hAnsiTheme="minorEastAsia"/>
          <w:color w:val="auto"/>
          <w:sz w:val="22"/>
          <w:szCs w:val="22"/>
          <w:highlight w:val="none"/>
        </w:rPr>
        <w:t xml:space="preserve"> </w:t>
      </w:r>
    </w:p>
    <w:p>
      <w:pPr>
        <w:widowControl/>
        <w:adjustRightInd w:val="0"/>
        <w:snapToGrid w:val="0"/>
        <w:spacing w:line="340" w:lineRule="exact"/>
        <w:ind w:firstLine="440" w:firstLineChars="200"/>
        <w:rPr>
          <w:rFonts w:asciiTheme="minorEastAsia" w:hAnsiTheme="minorEastAsia"/>
          <w:color w:val="auto"/>
          <w:sz w:val="22"/>
          <w:szCs w:val="22"/>
          <w:highlight w:val="none"/>
        </w:rPr>
      </w:pPr>
      <w:r>
        <w:rPr>
          <w:rFonts w:hint="eastAsia" w:asciiTheme="minorEastAsia" w:hAnsiTheme="minorEastAsia"/>
          <w:color w:val="auto"/>
          <w:sz w:val="22"/>
          <w:szCs w:val="22"/>
          <w:highlight w:val="none"/>
        </w:rPr>
        <w:t>技术联系人：</w:t>
      </w:r>
      <w:r>
        <w:rPr>
          <w:rFonts w:hint="eastAsia" w:asciiTheme="minorEastAsia" w:hAnsiTheme="minorEastAsia"/>
          <w:color w:val="auto"/>
          <w:sz w:val="22"/>
          <w:szCs w:val="22"/>
          <w:highlight w:val="none"/>
          <w:lang w:eastAsia="zh-CN"/>
        </w:rPr>
        <w:t>来伟军</w:t>
      </w:r>
      <w:r>
        <w:rPr>
          <w:rFonts w:hint="eastAsia" w:asciiTheme="minorEastAsia" w:hAnsiTheme="minorEastAsia"/>
          <w:color w:val="auto"/>
          <w:sz w:val="22"/>
          <w:szCs w:val="22"/>
          <w:highlight w:val="none"/>
          <w:lang w:val="en-US" w:eastAsia="zh-CN"/>
        </w:rPr>
        <w:t xml:space="preserve"> </w:t>
      </w:r>
      <w:r>
        <w:rPr>
          <w:rFonts w:hint="eastAsia" w:asciiTheme="minorEastAsia" w:hAnsiTheme="minorEastAsia"/>
          <w:color w:val="auto"/>
          <w:sz w:val="22"/>
          <w:szCs w:val="22"/>
          <w:highlight w:val="none"/>
        </w:rPr>
        <w:t> 联系电话：</w:t>
      </w:r>
      <w:r>
        <w:rPr>
          <w:rFonts w:hint="eastAsia" w:asciiTheme="minorEastAsia" w:hAnsiTheme="minorEastAsia"/>
          <w:color w:val="auto"/>
          <w:sz w:val="22"/>
          <w:szCs w:val="22"/>
          <w:highlight w:val="none"/>
          <w:lang w:val="en-US" w:eastAsia="zh-CN"/>
        </w:rPr>
        <w:t>0571-86662611</w:t>
      </w:r>
      <w:r>
        <w:rPr>
          <w:rFonts w:hint="eastAsia" w:asciiTheme="minorEastAsia" w:hAnsiTheme="minorEastAsia"/>
          <w:color w:val="auto"/>
          <w:sz w:val="22"/>
          <w:szCs w:val="22"/>
          <w:highlight w:val="none"/>
        </w:rPr>
        <w:t xml:space="preserve"> </w:t>
      </w:r>
    </w:p>
    <w:p>
      <w:pPr>
        <w:widowControl/>
        <w:adjustRightInd w:val="0"/>
        <w:snapToGrid w:val="0"/>
        <w:spacing w:line="340" w:lineRule="exact"/>
        <w:ind w:firstLine="440" w:firstLineChars="200"/>
        <w:rPr>
          <w:rFonts w:asciiTheme="minorEastAsia" w:hAnsiTheme="minorEastAsia"/>
          <w:bCs/>
          <w:color w:val="auto"/>
          <w:sz w:val="22"/>
          <w:szCs w:val="22"/>
          <w:highlight w:val="none"/>
        </w:rPr>
      </w:pPr>
      <w:r>
        <w:rPr>
          <w:rFonts w:hint="eastAsia" w:asciiTheme="minorEastAsia" w:hAnsiTheme="minorEastAsia"/>
          <w:bCs/>
          <w:color w:val="auto"/>
          <w:sz w:val="22"/>
          <w:szCs w:val="22"/>
          <w:highlight w:val="none"/>
        </w:rPr>
        <w:t>招标监督人：</w:t>
      </w:r>
      <w:r>
        <w:rPr>
          <w:rFonts w:hint="eastAsia" w:asciiTheme="minorEastAsia" w:hAnsiTheme="minorEastAsia"/>
          <w:bCs/>
          <w:color w:val="auto"/>
          <w:sz w:val="22"/>
          <w:szCs w:val="22"/>
          <w:highlight w:val="none"/>
          <w:lang w:eastAsia="zh-CN"/>
        </w:rPr>
        <w:t>冯卫光</w:t>
      </w:r>
      <w:r>
        <w:rPr>
          <w:rFonts w:hint="eastAsia" w:asciiTheme="minorEastAsia" w:hAnsiTheme="minorEastAsia"/>
          <w:bCs/>
          <w:color w:val="auto"/>
          <w:sz w:val="22"/>
          <w:szCs w:val="22"/>
          <w:highlight w:val="none"/>
          <w:lang w:val="en-US" w:eastAsia="zh-CN"/>
        </w:rPr>
        <w:t xml:space="preserve">  </w:t>
      </w:r>
      <w:r>
        <w:rPr>
          <w:rFonts w:hint="eastAsia" w:asciiTheme="minorEastAsia" w:hAnsiTheme="minorEastAsia"/>
          <w:bCs/>
          <w:color w:val="auto"/>
          <w:sz w:val="22"/>
          <w:szCs w:val="22"/>
          <w:highlight w:val="none"/>
        </w:rPr>
        <w:t xml:space="preserve"> 联系电话：</w:t>
      </w:r>
      <w:r>
        <w:rPr>
          <w:rFonts w:hint="eastAsia" w:asciiTheme="minorEastAsia" w:hAnsiTheme="minorEastAsia"/>
          <w:bCs/>
          <w:color w:val="auto"/>
          <w:sz w:val="22"/>
          <w:szCs w:val="22"/>
          <w:highlight w:val="none"/>
          <w:lang w:val="en-US" w:eastAsia="zh-CN"/>
        </w:rPr>
        <w:t>0571-86662336</w:t>
      </w:r>
    </w:p>
    <w:bookmarkEnd w:id="188"/>
    <w:p>
      <w:pPr>
        <w:pStyle w:val="51"/>
        <w:rPr>
          <w:color w:val="auto"/>
          <w:highlight w:val="none"/>
        </w:rPr>
      </w:pPr>
      <w:r>
        <w:rPr>
          <w:rFonts w:hint="eastAsia" w:ascii="宋体" w:hAnsi="宋体"/>
          <w:bCs w:val="0"/>
          <w:color w:val="auto"/>
          <w:sz w:val="22"/>
          <w:szCs w:val="22"/>
          <w:highlight w:val="none"/>
        </w:rPr>
        <w:t xml:space="preserve"> </w:t>
      </w:r>
      <w:r>
        <w:rPr>
          <w:rFonts w:ascii="宋体" w:hAnsi="宋体"/>
          <w:bCs w:val="0"/>
          <w:color w:val="auto"/>
          <w:sz w:val="22"/>
          <w:szCs w:val="22"/>
          <w:highlight w:val="none"/>
        </w:rPr>
        <w:br w:type="page"/>
      </w:r>
      <w:bookmarkStart w:id="1" w:name="_Toc450630558"/>
      <w:bookmarkStart w:id="2" w:name="_Toc450630557"/>
      <w:r>
        <w:rPr>
          <w:color w:val="auto"/>
          <w:highlight w:val="none"/>
        </w:rPr>
        <w:t>第</w:t>
      </w:r>
      <w:r>
        <w:rPr>
          <w:rFonts w:hint="eastAsia"/>
          <w:color w:val="auto"/>
          <w:highlight w:val="none"/>
        </w:rPr>
        <w:t>二</w:t>
      </w:r>
      <w:r>
        <w:rPr>
          <w:color w:val="auto"/>
          <w:highlight w:val="none"/>
        </w:rPr>
        <w:t>章  投标</w:t>
      </w:r>
      <w:r>
        <w:rPr>
          <w:rFonts w:hint="eastAsia"/>
          <w:color w:val="auto"/>
          <w:highlight w:val="none"/>
        </w:rPr>
        <w:t>人须知</w:t>
      </w:r>
      <w:bookmarkEnd w:id="1"/>
      <w:bookmarkEnd w:id="2"/>
    </w:p>
    <w:p>
      <w:pPr>
        <w:pStyle w:val="34"/>
        <w:spacing w:line="240" w:lineRule="auto"/>
        <w:ind w:left="480"/>
        <w:jc w:val="center"/>
        <w:rPr>
          <w:b/>
          <w:color w:val="auto"/>
          <w:sz w:val="28"/>
          <w:szCs w:val="28"/>
          <w:highlight w:val="none"/>
        </w:rPr>
      </w:pPr>
      <w:r>
        <w:rPr>
          <w:rFonts w:hint="eastAsia"/>
          <w:b/>
          <w:color w:val="auto"/>
          <w:sz w:val="28"/>
          <w:szCs w:val="28"/>
          <w:highlight w:val="none"/>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sz w:val="22"/>
                <w:highlight w:val="none"/>
              </w:rPr>
              <w:t>1.1</w:t>
            </w:r>
            <w:r>
              <w:rPr>
                <w:rFonts w:hint="eastAsia" w:ascii="宋体" w:hAnsi="宋体" w:cs="Calibri"/>
                <w:color w:val="auto"/>
                <w:sz w:val="22"/>
                <w:highlight w:val="none"/>
              </w:rPr>
              <w:t>.1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项目名称</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Arial"/>
                <w:color w:val="auto"/>
                <w:kern w:val="0"/>
                <w:sz w:val="22"/>
                <w:highlight w:val="none"/>
              </w:rPr>
              <w:t>杭州萧山国际机</w:t>
            </w:r>
            <w:r>
              <w:rPr>
                <w:rFonts w:hint="eastAsia" w:ascii="宋体" w:hAnsi="宋体" w:cs="Arial"/>
                <w:color w:val="auto"/>
                <w:kern w:val="0"/>
                <w:sz w:val="22"/>
                <w:highlight w:val="none"/>
                <w:lang w:eastAsia="zh-CN"/>
              </w:rPr>
              <w:t>场</w:t>
            </w:r>
            <w:bookmarkStart w:id="3" w:name="OLE_LINK1"/>
            <w:r>
              <w:rPr>
                <w:rFonts w:hint="eastAsia" w:cs="Arial" w:asciiTheme="minorEastAsia" w:hAnsiTheme="minorEastAsia"/>
                <w:color w:val="auto"/>
                <w:kern w:val="0"/>
                <w:sz w:val="22"/>
                <w:szCs w:val="22"/>
                <w:highlight w:val="none"/>
                <w:u w:val="single"/>
                <w:lang w:val="en-US" w:eastAsia="zh-CN"/>
              </w:rPr>
              <w:t>T3中央空调主机房电磁式冷热量表安装</w:t>
            </w:r>
            <w:bookmarkEnd w:id="3"/>
            <w:r>
              <w:rPr>
                <w:rFonts w:ascii="宋体" w:hAnsi="宋体" w:cs="Arial"/>
                <w:color w:val="auto"/>
                <w:kern w:val="0"/>
                <w:sz w:val="22"/>
                <w:highlight w:val="none"/>
              </w:rPr>
              <w:t>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sz w:val="22"/>
                <w:highlight w:val="none"/>
              </w:rPr>
            </w:pPr>
            <w:r>
              <w:rPr>
                <w:rFonts w:ascii="宋体" w:hAnsi="宋体" w:cs="Calibri"/>
                <w:color w:val="auto"/>
                <w:sz w:val="22"/>
                <w:highlight w:val="none"/>
              </w:rPr>
              <w:t>1.1.2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建设地点</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杭州萧山国际机场</w:t>
            </w:r>
            <w:r>
              <w:rPr>
                <w:rFonts w:ascii="宋体" w:hAnsi="宋体" w:cs="Calibri"/>
                <w:color w:val="auto"/>
                <w:sz w:val="22"/>
                <w:highlight w:val="none"/>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sz w:val="22"/>
                <w:highlight w:val="none"/>
              </w:rPr>
            </w:pPr>
            <w:r>
              <w:rPr>
                <w:rFonts w:ascii="宋体" w:hAnsi="宋体" w:cs="Calibri"/>
                <w:color w:val="auto"/>
                <w:sz w:val="22"/>
                <w:highlight w:val="none"/>
              </w:rPr>
              <w:t>1.2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资金来源</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Style w:val="110"/>
                <w:rFonts w:hint="eastAsia" w:ascii="宋体" w:hAnsi="宋体" w:cs="Calibri"/>
                <w:color w:val="auto"/>
                <w:sz w:val="22"/>
                <w:highlight w:val="none"/>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1.3</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招标</w:t>
            </w:r>
            <w:r>
              <w:rPr>
                <w:rFonts w:hint="eastAsia" w:ascii="宋体" w:hAnsi="宋体" w:cs="Calibri"/>
                <w:color w:val="auto"/>
                <w:kern w:val="0"/>
                <w:sz w:val="22"/>
                <w:highlight w:val="none"/>
              </w:rPr>
              <w:t>内容</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1.4</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招标方式</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1.5</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资格审查</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1.6</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投标人资质条件、能力和信誉</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详见招标公告</w:t>
            </w:r>
            <w:r>
              <w:rPr>
                <w:rFonts w:hint="eastAsia" w:ascii="宋体" w:hAnsi="宋体" w:cs="Calibri"/>
                <w:color w:val="auto"/>
                <w:kern w:val="0"/>
                <w:sz w:val="22"/>
                <w:highlight w:val="none"/>
              </w:rPr>
              <w:t>“</w:t>
            </w:r>
            <w:r>
              <w:rPr>
                <w:rFonts w:hint="eastAsia" w:ascii="宋体" w:hAnsi="宋体" w:cs="黑体"/>
                <w:color w:val="auto"/>
                <w:kern w:val="0"/>
                <w:sz w:val="22"/>
                <w:highlight w:val="none"/>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1.7</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工期</w:t>
            </w:r>
            <w:r>
              <w:rPr>
                <w:rFonts w:hint="eastAsia" w:ascii="宋体" w:hAnsi="宋体" w:cs="Calibri"/>
                <w:color w:val="auto"/>
                <w:kern w:val="0"/>
                <w:sz w:val="22"/>
                <w:highlight w:val="none"/>
              </w:rPr>
              <w:t>要求</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ascii="宋体" w:hAnsi="宋体" w:cs="Calibri"/>
                <w:color w:val="auto"/>
                <w:kern w:val="0"/>
                <w:sz w:val="22"/>
                <w:highlight w:val="none"/>
              </w:rPr>
              <w:t>合同签订后</w:t>
            </w:r>
            <w:r>
              <w:rPr>
                <w:rFonts w:hint="eastAsia" w:ascii="宋体" w:hAnsi="宋体"/>
                <w:color w:val="auto"/>
                <w:sz w:val="22"/>
                <w:highlight w:val="none"/>
                <w:u w:val="single"/>
                <w:lang w:val="en-US" w:eastAsia="zh-CN"/>
              </w:rPr>
              <w:t>60</w:t>
            </w:r>
            <w:r>
              <w:rPr>
                <w:rFonts w:hint="eastAsia"/>
                <w:color w:val="auto"/>
                <w:sz w:val="22"/>
                <w:highlight w:val="none"/>
              </w:rPr>
              <w:t>个日历天</w:t>
            </w:r>
            <w:r>
              <w:rPr>
                <w:rFonts w:hint="eastAsia" w:ascii="宋体" w:hAnsi="宋体" w:cs="Calibri"/>
                <w:color w:val="auto"/>
                <w:kern w:val="0"/>
                <w:sz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1.8</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hint="eastAsia" w:ascii="宋体" w:hAnsi="宋体" w:cs="Calibri"/>
                <w:color w:val="auto"/>
                <w:kern w:val="0"/>
                <w:sz w:val="22"/>
                <w:highlight w:val="none"/>
              </w:rPr>
              <w:t>质量要求</w:t>
            </w:r>
          </w:p>
        </w:tc>
        <w:tc>
          <w:tcPr>
            <w:tcW w:w="6487" w:type="dxa"/>
            <w:vAlign w:val="center"/>
          </w:tcPr>
          <w:p>
            <w:pPr>
              <w:autoSpaceDE w:val="0"/>
              <w:autoSpaceDN w:val="0"/>
              <w:adjustRightInd w:val="0"/>
              <w:snapToGrid w:val="0"/>
              <w:rPr>
                <w:rFonts w:ascii="宋体" w:hAnsi="宋体"/>
                <w:color w:val="auto"/>
                <w:sz w:val="22"/>
                <w:szCs w:val="22"/>
                <w:highlight w:val="none"/>
              </w:rPr>
            </w:pPr>
            <w:r>
              <w:rPr>
                <w:rFonts w:hint="eastAsia" w:hAnsi="宋体" w:cs="宋体"/>
                <w:color w:val="auto"/>
                <w:sz w:val="22"/>
                <w:szCs w:val="22"/>
                <w:highlight w:val="none"/>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w:t>
            </w:r>
            <w:r>
              <w:rPr>
                <w:rFonts w:hint="eastAsia" w:ascii="宋体" w:hAnsi="宋体" w:cs="Calibri"/>
                <w:color w:val="auto"/>
                <w:kern w:val="0"/>
                <w:sz w:val="22"/>
                <w:highlight w:val="none"/>
              </w:rPr>
              <w:t>9</w:t>
            </w:r>
            <w:r>
              <w:rPr>
                <w:rFonts w:ascii="宋体" w:hAnsi="宋体" w:cs="Calibri"/>
                <w:color w:val="auto"/>
                <w:kern w:val="0"/>
                <w:sz w:val="22"/>
                <w:highlight w:val="none"/>
              </w:rPr>
              <w:t>.1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踏勘现场</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□不组织</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sym w:font="Wingdings" w:char="F0FE"/>
            </w:r>
            <w:r>
              <w:rPr>
                <w:rFonts w:ascii="宋体" w:hAnsi="宋体" w:cs="Calibri"/>
                <w:color w:val="auto"/>
                <w:kern w:val="0"/>
                <w:sz w:val="22"/>
                <w:highlight w:val="none"/>
              </w:rPr>
              <w:t>组织，踏勘时间：</w:t>
            </w:r>
            <w:r>
              <w:rPr>
                <w:rFonts w:hint="eastAsia" w:ascii="宋体" w:hAnsi="宋体" w:cs="Arial"/>
                <w:color w:val="auto"/>
                <w:kern w:val="0"/>
                <w:sz w:val="22"/>
                <w:highlight w:val="none"/>
                <w:lang w:val="en-US" w:eastAsia="zh-CN"/>
              </w:rPr>
              <w:t>2019</w:t>
            </w:r>
            <w:r>
              <w:rPr>
                <w:rFonts w:hint="eastAsia" w:ascii="宋体" w:hAnsi="宋体" w:cs="Arial"/>
                <w:color w:val="auto"/>
                <w:kern w:val="0"/>
                <w:sz w:val="22"/>
                <w:highlight w:val="none"/>
              </w:rPr>
              <w:t>年</w:t>
            </w:r>
            <w:r>
              <w:rPr>
                <w:rFonts w:hint="eastAsia" w:ascii="宋体" w:hAnsi="宋体" w:cs="Arial"/>
                <w:color w:val="auto"/>
                <w:kern w:val="0"/>
                <w:sz w:val="22"/>
                <w:highlight w:val="none"/>
                <w:lang w:val="en-US" w:eastAsia="zh-CN"/>
              </w:rPr>
              <w:t>5</w:t>
            </w:r>
            <w:r>
              <w:rPr>
                <w:rFonts w:hint="eastAsia" w:ascii="宋体" w:hAnsi="宋体" w:cs="Arial"/>
                <w:color w:val="auto"/>
                <w:kern w:val="0"/>
                <w:sz w:val="22"/>
                <w:highlight w:val="none"/>
              </w:rPr>
              <w:t>月</w:t>
            </w:r>
            <w:r>
              <w:rPr>
                <w:rFonts w:hint="eastAsia" w:ascii="宋体" w:hAnsi="宋体" w:cs="Arial"/>
                <w:color w:val="auto"/>
                <w:kern w:val="0"/>
                <w:sz w:val="22"/>
                <w:highlight w:val="none"/>
                <w:lang w:val="en-US" w:eastAsia="zh-CN"/>
              </w:rPr>
              <w:t>10</w:t>
            </w:r>
            <w:r>
              <w:rPr>
                <w:rFonts w:hint="eastAsia" w:ascii="宋体" w:hAnsi="宋体" w:cs="Arial"/>
                <w:color w:val="auto"/>
                <w:kern w:val="0"/>
                <w:sz w:val="22"/>
                <w:highlight w:val="none"/>
              </w:rPr>
              <w:t>日</w:t>
            </w:r>
            <w:r>
              <w:rPr>
                <w:rFonts w:hint="eastAsia" w:ascii="宋体" w:hAnsi="宋体" w:cs="Arial"/>
                <w:color w:val="auto"/>
                <w:kern w:val="0"/>
                <w:sz w:val="22"/>
                <w:highlight w:val="none"/>
                <w:lang w:eastAsia="zh-CN"/>
              </w:rPr>
              <w:t>下午</w:t>
            </w:r>
            <w:r>
              <w:rPr>
                <w:rFonts w:hint="eastAsia" w:ascii="宋体" w:hAnsi="宋体" w:cs="Arial"/>
                <w:color w:val="auto"/>
                <w:kern w:val="0"/>
                <w:sz w:val="22"/>
                <w:highlight w:val="none"/>
                <w:lang w:val="en-US" w:eastAsia="zh-CN"/>
              </w:rPr>
              <w:t>13</w:t>
            </w:r>
            <w:r>
              <w:rPr>
                <w:rFonts w:hint="eastAsia" w:ascii="宋体" w:hAnsi="宋体" w:cs="Arial"/>
                <w:color w:val="auto"/>
                <w:kern w:val="0"/>
                <w:sz w:val="22"/>
                <w:highlight w:val="none"/>
              </w:rPr>
              <w:t>时</w:t>
            </w:r>
            <w:r>
              <w:rPr>
                <w:rFonts w:hint="eastAsia" w:ascii="宋体" w:hAnsi="宋体" w:cs="Arial"/>
                <w:color w:val="auto"/>
                <w:kern w:val="0"/>
                <w:sz w:val="22"/>
                <w:highlight w:val="none"/>
                <w:lang w:val="en-US" w:eastAsia="zh-CN"/>
              </w:rPr>
              <w:t>45</w:t>
            </w:r>
            <w:r>
              <w:rPr>
                <w:rFonts w:hint="eastAsia" w:ascii="宋体" w:hAnsi="宋体" w:cs="Arial"/>
                <w:color w:val="auto"/>
                <w:kern w:val="0"/>
                <w:sz w:val="22"/>
                <w:highlight w:val="none"/>
              </w:rPr>
              <w:t>分（北京时间）</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踏勘集中地点：</w:t>
            </w:r>
            <w:r>
              <w:rPr>
                <w:rFonts w:hint="eastAsia" w:ascii="宋体" w:hAnsi="宋体" w:cs="Calibri"/>
                <w:color w:val="auto"/>
                <w:kern w:val="0"/>
                <w:sz w:val="22"/>
                <w:highlight w:val="none"/>
                <w:lang w:eastAsia="zh-CN"/>
              </w:rPr>
              <w:t>杭州萧山国际机场物业安检楼</w:t>
            </w:r>
            <w:r>
              <w:rPr>
                <w:rFonts w:hint="eastAsia" w:ascii="宋体" w:hAnsi="宋体" w:cs="Calibri"/>
                <w:color w:val="auto"/>
                <w:kern w:val="0"/>
                <w:sz w:val="22"/>
                <w:highlight w:val="none"/>
                <w:lang w:val="en-US" w:eastAsia="zh-CN"/>
              </w:rPr>
              <w:t>1楼大厅</w:t>
            </w:r>
          </w:p>
          <w:p>
            <w:pPr>
              <w:rPr>
                <w:rFonts w:ascii="宋体" w:hAnsi="宋体" w:cs="宋体"/>
                <w:color w:val="auto"/>
                <w:sz w:val="22"/>
                <w:szCs w:val="22"/>
                <w:highlight w:val="none"/>
              </w:rPr>
            </w:pPr>
            <w:r>
              <w:rPr>
                <w:rFonts w:hint="eastAsia" w:ascii="宋体" w:hAnsi="宋体" w:cs="宋体"/>
                <w:color w:val="auto"/>
                <w:sz w:val="22"/>
                <w:szCs w:val="22"/>
                <w:highlight w:val="none"/>
              </w:rPr>
              <w:t>联系人：</w:t>
            </w:r>
            <w:r>
              <w:rPr>
                <w:rFonts w:hint="eastAsia" w:ascii="宋体" w:hAnsi="宋体" w:cs="宋体"/>
                <w:color w:val="auto"/>
                <w:sz w:val="22"/>
                <w:szCs w:val="22"/>
                <w:highlight w:val="none"/>
                <w:lang w:eastAsia="zh-CN"/>
              </w:rPr>
              <w:t>来伟军</w:t>
            </w:r>
            <w:r>
              <w:rPr>
                <w:rFonts w:hint="eastAsia" w:ascii="宋体" w:hAnsi="宋体" w:cs="宋体"/>
                <w:color w:val="auto"/>
                <w:sz w:val="22"/>
                <w:szCs w:val="22"/>
                <w:highlight w:val="none"/>
              </w:rPr>
              <w:t xml:space="preserve">     0571-</w:t>
            </w:r>
            <w:r>
              <w:rPr>
                <w:rFonts w:hint="eastAsia" w:ascii="宋体" w:hAnsi="宋体" w:cs="宋体"/>
                <w:color w:val="auto"/>
                <w:sz w:val="22"/>
                <w:szCs w:val="22"/>
                <w:highlight w:val="none"/>
                <w:lang w:val="en-US" w:eastAsia="zh-CN"/>
              </w:rPr>
              <w:t>86662611</w:t>
            </w:r>
          </w:p>
          <w:p>
            <w:pPr>
              <w:autoSpaceDE w:val="0"/>
              <w:autoSpaceDN w:val="0"/>
              <w:adjustRightInd w:val="0"/>
              <w:snapToGrid w:val="0"/>
              <w:rPr>
                <w:rFonts w:ascii="宋体" w:hAnsi="宋体" w:cs="Calibri"/>
                <w:color w:val="auto"/>
                <w:kern w:val="0"/>
                <w:sz w:val="22"/>
                <w:highlight w:val="none"/>
              </w:rPr>
            </w:pPr>
            <w:r>
              <w:rPr>
                <w:rFonts w:hint="eastAsia" w:ascii="宋体" w:hAnsi="宋体" w:cs="Arial"/>
                <w:color w:val="auto"/>
                <w:sz w:val="22"/>
                <w:szCs w:val="22"/>
                <w:highlight w:val="none"/>
              </w:rPr>
              <w:t>（</w:t>
            </w:r>
            <w:r>
              <w:rPr>
                <w:rFonts w:hint="eastAsia" w:ascii="宋体" w:hAnsi="宋体" w:cs="Arial"/>
                <w:b/>
                <w:color w:val="auto"/>
                <w:sz w:val="22"/>
                <w:szCs w:val="22"/>
                <w:highlight w:val="none"/>
              </w:rPr>
              <w:t>由于未参加现场踏勘引起的报价失误等责任由投标人自负</w:t>
            </w:r>
            <w:r>
              <w:rPr>
                <w:rFonts w:hint="eastAsia" w:ascii="宋体" w:hAnsi="宋体" w:cs="Arial"/>
                <w:color w:val="auto"/>
                <w:sz w:val="22"/>
                <w:szCs w:val="22"/>
                <w:highlight w:val="none"/>
              </w:rPr>
              <w:t>）</w:t>
            </w:r>
            <w:r>
              <w:rPr>
                <w:rFonts w:ascii="宋体" w:hAnsi="宋体" w:cs="Calibri"/>
                <w:color w:val="auto"/>
                <w:kern w:val="0"/>
                <w:sz w:val="22"/>
                <w:szCs w:val="22"/>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w:t>
            </w:r>
            <w:r>
              <w:rPr>
                <w:rFonts w:hint="eastAsia" w:ascii="宋体" w:hAnsi="宋体" w:cs="Calibri"/>
                <w:color w:val="auto"/>
                <w:kern w:val="0"/>
                <w:sz w:val="22"/>
                <w:highlight w:val="none"/>
              </w:rPr>
              <w:t>10</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投标预备会</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sym w:font="Wingdings" w:char="F0FE"/>
            </w:r>
            <w:r>
              <w:rPr>
                <w:rFonts w:ascii="宋体" w:hAnsi="宋体" w:cs="Calibri"/>
                <w:color w:val="auto"/>
                <w:kern w:val="0"/>
                <w:sz w:val="22"/>
                <w:highlight w:val="none"/>
              </w:rPr>
              <w:t>不召开</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□召开，召开时间：</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2.2.1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投标人提出问题的截止时间</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cs="Calibri" w:asciiTheme="minorEastAsia" w:hAnsiTheme="minorEastAsia"/>
                <w:color w:val="auto"/>
                <w:kern w:val="0"/>
                <w:sz w:val="22"/>
                <w:highlight w:val="none"/>
                <w:lang w:val="en-US" w:eastAsia="zh-CN"/>
              </w:rPr>
              <w:t>2019</w:t>
            </w:r>
            <w:r>
              <w:rPr>
                <w:rFonts w:cs="Calibri" w:asciiTheme="minorEastAsia" w:hAnsiTheme="minorEastAsia"/>
                <w:color w:val="auto"/>
                <w:kern w:val="0"/>
                <w:sz w:val="22"/>
                <w:highlight w:val="none"/>
              </w:rPr>
              <w:t>年</w:t>
            </w:r>
            <w:r>
              <w:rPr>
                <w:rFonts w:hint="eastAsia" w:cs="Calibri" w:asciiTheme="minorEastAsia" w:hAnsiTheme="minorEastAsia"/>
                <w:color w:val="auto"/>
                <w:kern w:val="0"/>
                <w:sz w:val="22"/>
                <w:highlight w:val="none"/>
                <w:lang w:val="en-US" w:eastAsia="zh-CN"/>
              </w:rPr>
              <w:t>5</w:t>
            </w:r>
            <w:r>
              <w:rPr>
                <w:rFonts w:cs="Calibri" w:asciiTheme="minorEastAsia" w:hAnsiTheme="minorEastAsia"/>
                <w:color w:val="auto"/>
                <w:kern w:val="0"/>
                <w:sz w:val="22"/>
                <w:highlight w:val="none"/>
              </w:rPr>
              <w:t>月</w:t>
            </w:r>
            <w:r>
              <w:rPr>
                <w:rFonts w:hint="eastAsia" w:cs="Calibri" w:asciiTheme="minorEastAsia" w:hAnsiTheme="minorEastAsia"/>
                <w:color w:val="auto"/>
                <w:kern w:val="0"/>
                <w:sz w:val="22"/>
                <w:highlight w:val="none"/>
                <w:lang w:val="en-US" w:eastAsia="zh-CN"/>
              </w:rPr>
              <w:t>10</w:t>
            </w:r>
            <w:r>
              <w:rPr>
                <w:rFonts w:cs="Calibri" w:asciiTheme="minorEastAsia" w:hAnsiTheme="minorEastAsia"/>
                <w:color w:val="auto"/>
                <w:kern w:val="0"/>
                <w:sz w:val="22"/>
                <w:highlight w:val="none"/>
              </w:rPr>
              <w:t>日1</w:t>
            </w:r>
            <w:r>
              <w:rPr>
                <w:rFonts w:hint="eastAsia" w:cs="Calibri" w:asciiTheme="minorEastAsia" w:hAnsiTheme="minorEastAsia"/>
                <w:color w:val="auto"/>
                <w:kern w:val="0"/>
                <w:sz w:val="22"/>
                <w:highlight w:val="none"/>
                <w:lang w:val="en-US" w:eastAsia="zh-CN"/>
              </w:rPr>
              <w:t>4</w:t>
            </w:r>
            <w:r>
              <w:rPr>
                <w:rFonts w:cs="Calibri" w:asciiTheme="minorEastAsia" w:hAnsiTheme="minorEastAsia"/>
                <w:color w:val="auto"/>
                <w:kern w:val="0"/>
                <w:sz w:val="22"/>
                <w:highlight w:val="none"/>
              </w:rPr>
              <w:t>：30前，以E-mail及书面（传真）形式提交给招标</w:t>
            </w:r>
            <w:r>
              <w:rPr>
                <w:rFonts w:hint="eastAsia" w:cs="Calibri" w:asciiTheme="minorEastAsia" w:hAnsiTheme="minorEastAsia"/>
                <w:color w:val="auto"/>
                <w:kern w:val="0"/>
                <w:sz w:val="22"/>
                <w:highlight w:val="none"/>
              </w:rPr>
              <w:t>人</w:t>
            </w:r>
            <w:r>
              <w:rPr>
                <w:rFonts w:cs="Calibri" w:asciiTheme="minorEastAsia" w:hAnsiTheme="minorEastAsia"/>
                <w:color w:val="auto"/>
                <w:kern w:val="0"/>
                <w:sz w:val="22"/>
                <w:highlight w:val="none"/>
              </w:rPr>
              <w:t>（传真：0571-</w:t>
            </w:r>
            <w:r>
              <w:rPr>
                <w:rFonts w:hint="eastAsia" w:asciiTheme="minorEastAsia" w:hAnsiTheme="minorEastAsia"/>
                <w:color w:val="auto"/>
                <w:sz w:val="22"/>
                <w:szCs w:val="22"/>
                <w:highlight w:val="none"/>
                <w:lang w:val="en-US" w:eastAsia="zh-CN"/>
              </w:rPr>
              <w:t>86661149</w:t>
            </w:r>
            <w:r>
              <w:rPr>
                <w:rFonts w:cs="Calibri" w:asciiTheme="minorEastAsia" w:hAnsiTheme="minorEastAsia"/>
                <w:color w:val="auto"/>
                <w:kern w:val="0"/>
                <w:sz w:val="22"/>
                <w:highlight w:val="none"/>
              </w:rPr>
              <w:t>；邮箱：</w:t>
            </w:r>
            <w:r>
              <w:rPr>
                <w:rFonts w:hint="eastAsia" w:asciiTheme="minorEastAsia" w:hAnsiTheme="minorEastAsia"/>
                <w:color w:val="auto"/>
                <w:sz w:val="22"/>
                <w:szCs w:val="22"/>
                <w:highlight w:val="none"/>
                <w:lang w:val="en-US" w:eastAsia="zh-CN"/>
              </w:rPr>
              <w:t>511719499@QQ.com</w:t>
            </w:r>
            <w:r>
              <w:rPr>
                <w:rFonts w:cs="Calibri" w:asciiTheme="minorEastAsia" w:hAnsiTheme="minorEastAsia"/>
                <w:color w:val="auto"/>
                <w:kern w:val="0"/>
                <w:sz w:val="22"/>
                <w:highlight w:val="none"/>
              </w:rPr>
              <w:t>，联系人：</w:t>
            </w:r>
            <w:r>
              <w:rPr>
                <w:rFonts w:hint="eastAsia" w:asciiTheme="minorEastAsia" w:hAnsiTheme="minorEastAsia"/>
                <w:color w:val="auto"/>
                <w:sz w:val="22"/>
                <w:szCs w:val="22"/>
                <w:highlight w:val="none"/>
                <w:lang w:eastAsia="zh-CN"/>
              </w:rPr>
              <w:t>来伟军</w:t>
            </w:r>
            <w:r>
              <w:rPr>
                <w:rFonts w:cs="Calibri" w:asciiTheme="minorEastAsia" w:hAnsiTheme="minorEastAsia"/>
                <w:color w:val="auto"/>
                <w:kern w:val="0"/>
                <w:sz w:val="22"/>
                <w:highlight w:val="none"/>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2.2.2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投标截止时间</w:t>
            </w:r>
          </w:p>
        </w:tc>
        <w:tc>
          <w:tcPr>
            <w:tcW w:w="6487" w:type="dxa"/>
            <w:vAlign w:val="center"/>
          </w:tcPr>
          <w:p>
            <w:pPr>
              <w:autoSpaceDE w:val="0"/>
              <w:autoSpaceDN w:val="0"/>
              <w:adjustRightInd w:val="0"/>
              <w:snapToGrid w:val="0"/>
              <w:rPr>
                <w:rFonts w:ascii="宋体" w:hAnsi="宋体" w:cs="Calibri"/>
                <w:b/>
                <w:color w:val="auto"/>
                <w:kern w:val="0"/>
                <w:sz w:val="22"/>
                <w:highlight w:val="none"/>
              </w:rPr>
            </w:pPr>
            <w:r>
              <w:rPr>
                <w:rFonts w:hint="eastAsia" w:ascii="宋体" w:hAnsi="宋体" w:cs="Calibri"/>
                <w:b/>
                <w:color w:val="auto"/>
                <w:kern w:val="0"/>
                <w:sz w:val="22"/>
                <w:highlight w:val="none"/>
                <w:lang w:val="en-US" w:eastAsia="zh-CN"/>
              </w:rPr>
              <w:t>2019</w:t>
            </w:r>
            <w:r>
              <w:rPr>
                <w:rFonts w:hint="eastAsia" w:ascii="宋体" w:hAnsi="宋体" w:cs="Calibri"/>
                <w:b/>
                <w:color w:val="auto"/>
                <w:kern w:val="0"/>
                <w:sz w:val="22"/>
                <w:highlight w:val="none"/>
              </w:rPr>
              <w:t>年</w:t>
            </w:r>
            <w:r>
              <w:rPr>
                <w:rFonts w:hint="eastAsia" w:ascii="宋体" w:hAnsi="宋体" w:cs="Calibri"/>
                <w:b/>
                <w:color w:val="auto"/>
                <w:kern w:val="0"/>
                <w:sz w:val="22"/>
                <w:highlight w:val="none"/>
                <w:lang w:val="en-US" w:eastAsia="zh-CN"/>
              </w:rPr>
              <w:t>5</w:t>
            </w:r>
            <w:r>
              <w:rPr>
                <w:rFonts w:hint="eastAsia" w:ascii="宋体" w:hAnsi="宋体" w:cs="Calibri"/>
                <w:b/>
                <w:color w:val="auto"/>
                <w:kern w:val="0"/>
                <w:sz w:val="22"/>
                <w:highlight w:val="none"/>
              </w:rPr>
              <w:t>月</w:t>
            </w:r>
            <w:r>
              <w:rPr>
                <w:rFonts w:hint="eastAsia" w:ascii="宋体" w:hAnsi="宋体" w:cs="Calibri"/>
                <w:b/>
                <w:color w:val="auto"/>
                <w:kern w:val="0"/>
                <w:sz w:val="22"/>
                <w:highlight w:val="none"/>
                <w:lang w:val="en-US" w:eastAsia="zh-CN"/>
              </w:rPr>
              <w:t>17</w:t>
            </w:r>
            <w:r>
              <w:rPr>
                <w:rFonts w:hint="eastAsia" w:ascii="宋体" w:hAnsi="宋体" w:cs="Calibri"/>
                <w:b/>
                <w:color w:val="auto"/>
                <w:kern w:val="0"/>
                <w:sz w:val="22"/>
                <w:highlight w:val="none"/>
              </w:rPr>
              <w:t>日上午</w:t>
            </w:r>
            <w:r>
              <w:rPr>
                <w:rFonts w:hint="eastAsia" w:ascii="宋体" w:hAnsi="宋体" w:cs="Calibri"/>
                <w:b/>
                <w:color w:val="auto"/>
                <w:kern w:val="0"/>
                <w:sz w:val="22"/>
                <w:highlight w:val="none"/>
                <w:lang w:val="en-US" w:eastAsia="zh-CN"/>
              </w:rPr>
              <w:t>9</w:t>
            </w:r>
            <w:r>
              <w:rPr>
                <w:rFonts w:hint="eastAsia" w:ascii="宋体" w:hAnsi="宋体" w:cs="Calibri"/>
                <w:b/>
                <w:color w:val="auto"/>
                <w:kern w:val="0"/>
                <w:sz w:val="22"/>
                <w:highlight w:val="none"/>
              </w:rPr>
              <w:t>时</w:t>
            </w:r>
            <w:r>
              <w:rPr>
                <w:rFonts w:hint="eastAsia" w:ascii="宋体" w:hAnsi="宋体" w:cs="Calibri"/>
                <w:b/>
                <w:color w:val="auto"/>
                <w:kern w:val="0"/>
                <w:sz w:val="22"/>
                <w:highlight w:val="none"/>
                <w:lang w:val="en-US" w:eastAsia="zh-CN"/>
              </w:rPr>
              <w:t>00</w:t>
            </w:r>
            <w:r>
              <w:rPr>
                <w:rFonts w:hint="eastAsia" w:ascii="宋体" w:hAnsi="宋体" w:cs="Calibri"/>
                <w:b/>
                <w:color w:val="auto"/>
                <w:kern w:val="0"/>
                <w:sz w:val="22"/>
                <w:highlight w:val="none"/>
              </w:rPr>
              <w:t>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2.2.3</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投标人确认收到招标文件澄清的时间</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ascii="宋体" w:hAnsi="宋体" w:cs="Calibri"/>
                <w:color w:val="auto"/>
                <w:kern w:val="0"/>
                <w:sz w:val="22"/>
                <w:highlight w:val="none"/>
              </w:rPr>
              <w:t>招标人可主动地或在解答投标人提出的澄清问题时对招标文件进行修改，</w:t>
            </w:r>
            <w:bookmarkStart w:id="4" w:name="_Toc226175287"/>
            <w:bookmarkStart w:id="5" w:name="_Toc236586447"/>
            <w:r>
              <w:rPr>
                <w:rFonts w:hint="eastAsia" w:ascii="宋体" w:hAnsi="宋体" w:cs="Calibri"/>
                <w:color w:val="auto"/>
                <w:kern w:val="0"/>
                <w:sz w:val="22"/>
                <w:highlight w:val="none"/>
              </w:rPr>
              <w:t>对招标文件的修改将以补充公告的形式发布，所有获得招标文件的投标人应自行关注网站公告，招标人不再一一通知。投标人因自身贻误行为导致投标失败的，责任自负。</w:t>
            </w:r>
            <w:bookmarkEnd w:id="4"/>
            <w:bookmarkEnd w:id="5"/>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2.3.2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投标人确认收到招标文件修改的时间</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ascii="宋体" w:hAnsi="宋体" w:cs="Calibri"/>
                <w:color w:val="auto"/>
                <w:kern w:val="0"/>
                <w:sz w:val="22"/>
                <w:highlight w:val="none"/>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3.4.1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投标有效期</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ascii="宋体" w:hAnsi="宋体" w:cs="Calibri"/>
                <w:color w:val="auto"/>
                <w:kern w:val="0"/>
                <w:sz w:val="22"/>
                <w:highlight w:val="none"/>
              </w:rPr>
              <w:t>120日历天</w:t>
            </w:r>
            <w:r>
              <w:rPr>
                <w:rFonts w:ascii="宋体" w:hAnsi="宋体" w:cs="Calibri"/>
                <w:color w:val="auto"/>
                <w:kern w:val="0"/>
                <w:sz w:val="22"/>
                <w:highlight w:val="none"/>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3.6.3</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签字或盖章要求</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b/>
                <w:color w:val="auto"/>
                <w:kern w:val="0"/>
                <w:sz w:val="22"/>
                <w:highlight w:val="none"/>
              </w:rPr>
              <w:t>投标文件封面（或扉页）、投标函以及各类报价表</w:t>
            </w:r>
            <w:r>
              <w:rPr>
                <w:rFonts w:ascii="宋体" w:hAnsi="宋体" w:cs="Calibri"/>
                <w:color w:val="auto"/>
                <w:kern w:val="0"/>
                <w:sz w:val="22"/>
                <w:highlight w:val="none"/>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3.6.4</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投标文件份数</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ascii="宋体" w:hAnsi="宋体" w:cs="Calibri"/>
                <w:color w:val="auto"/>
                <w:kern w:val="0"/>
                <w:sz w:val="22"/>
                <w:highlight w:val="none"/>
              </w:rPr>
              <w:t>正本一份，</w:t>
            </w:r>
            <w:r>
              <w:rPr>
                <w:rFonts w:ascii="宋体" w:hAnsi="宋体" w:cs="Calibri"/>
                <w:color w:val="auto"/>
                <w:kern w:val="0"/>
                <w:sz w:val="22"/>
                <w:highlight w:val="none"/>
              </w:rPr>
              <w:t>副本</w:t>
            </w:r>
            <w:r>
              <w:rPr>
                <w:rFonts w:hint="eastAsia" w:ascii="宋体" w:hAnsi="宋体" w:cs="Calibri"/>
                <w:color w:val="auto"/>
                <w:kern w:val="0"/>
                <w:sz w:val="22"/>
                <w:highlight w:val="none"/>
              </w:rPr>
              <w:t>二</w:t>
            </w:r>
            <w:r>
              <w:rPr>
                <w:rFonts w:ascii="宋体" w:hAnsi="宋体" w:cs="Calibri"/>
                <w:color w:val="auto"/>
                <w:kern w:val="0"/>
                <w:sz w:val="22"/>
                <w:highlight w:val="none"/>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3.6.5</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装订要求</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按照投标人须知3.2项约定的投标文件组成内容，投标文件应按以下要求装订：</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sym w:font="Wingdings" w:char="F0FE"/>
            </w:r>
            <w:r>
              <w:rPr>
                <w:rFonts w:ascii="宋体" w:hAnsi="宋体" w:cs="Calibri"/>
                <w:color w:val="auto"/>
                <w:kern w:val="0"/>
                <w:sz w:val="22"/>
                <w:highlight w:val="none"/>
              </w:rPr>
              <w:t>不分册装订</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□分册装订</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每册采用</w:t>
            </w:r>
            <w:r>
              <w:rPr>
                <w:rFonts w:ascii="宋体" w:hAnsi="宋体" w:cs="Calibri"/>
                <w:color w:val="auto"/>
                <w:kern w:val="0"/>
                <w:sz w:val="22"/>
                <w:highlight w:val="none"/>
                <w:u w:val="single"/>
              </w:rPr>
              <w:t xml:space="preserve"> 胶装 </w:t>
            </w:r>
            <w:r>
              <w:rPr>
                <w:rFonts w:ascii="宋体" w:hAnsi="宋体" w:cs="Calibri"/>
                <w:color w:val="auto"/>
                <w:kern w:val="0"/>
                <w:sz w:val="22"/>
                <w:highlight w:val="none"/>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4.1.2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封套上写明</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招标人的地址：</w:t>
            </w:r>
            <w:r>
              <w:rPr>
                <w:rFonts w:hint="eastAsia" w:ascii="宋体" w:hAnsi="宋体"/>
                <w:color w:val="auto"/>
                <w:sz w:val="22"/>
                <w:highlight w:val="none"/>
                <w:u w:val="single"/>
              </w:rPr>
              <w:t>杭州萧山国际机场内</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招标人名称：</w:t>
            </w:r>
            <w:r>
              <w:rPr>
                <w:rFonts w:ascii="宋体" w:hAnsi="宋体" w:cs="Calibri"/>
                <w:color w:val="auto"/>
                <w:kern w:val="0"/>
                <w:sz w:val="22"/>
                <w:highlight w:val="none"/>
                <w:u w:val="single"/>
              </w:rPr>
              <w:t>杭州萧山国际机场有限公司</w:t>
            </w:r>
          </w:p>
          <w:p>
            <w:pPr>
              <w:autoSpaceDE w:val="0"/>
              <w:autoSpaceDN w:val="0"/>
              <w:adjustRightInd w:val="0"/>
              <w:snapToGrid w:val="0"/>
              <w:rPr>
                <w:rFonts w:cs="Calibri" w:asciiTheme="minorEastAsia" w:hAnsiTheme="minorEastAsia"/>
                <w:color w:val="auto"/>
                <w:kern w:val="0"/>
                <w:sz w:val="22"/>
                <w:highlight w:val="none"/>
              </w:rPr>
            </w:pPr>
            <w:r>
              <w:rPr>
                <w:rFonts w:hint="eastAsia" w:ascii="宋体" w:hAnsi="宋体" w:cs="宋体"/>
                <w:color w:val="auto"/>
                <w:sz w:val="22"/>
                <w:highlight w:val="none"/>
              </w:rPr>
              <w:t>项目名称：</w:t>
            </w:r>
            <w:r>
              <w:rPr>
                <w:rFonts w:hint="eastAsia" w:cs="Calibri" w:asciiTheme="minorEastAsia" w:hAnsiTheme="minorEastAsia"/>
                <w:color w:val="auto"/>
                <w:kern w:val="0"/>
                <w:sz w:val="22"/>
                <w:highlight w:val="none"/>
                <w:u w:val="single"/>
              </w:rPr>
              <w:t>杭州萧山国际机场</w:t>
            </w:r>
            <w:r>
              <w:rPr>
                <w:rFonts w:hint="eastAsia" w:cs="Arial" w:asciiTheme="minorEastAsia" w:hAnsiTheme="minorEastAsia"/>
                <w:color w:val="auto"/>
                <w:kern w:val="0"/>
                <w:sz w:val="22"/>
                <w:szCs w:val="22"/>
                <w:highlight w:val="none"/>
                <w:u w:val="single"/>
                <w:lang w:val="en-US" w:eastAsia="zh-CN"/>
              </w:rPr>
              <w:t>T3中央空调主机房电磁式冷热量表安装</w:t>
            </w:r>
            <w:r>
              <w:rPr>
                <w:rFonts w:hint="eastAsia" w:cs="宋体" w:asciiTheme="minorEastAsia" w:hAnsiTheme="minorEastAsia"/>
                <w:color w:val="auto"/>
                <w:sz w:val="22"/>
                <w:highlight w:val="none"/>
              </w:rPr>
              <w:t>投标文件</w:t>
            </w:r>
          </w:p>
          <w:p>
            <w:pPr>
              <w:autoSpaceDE w:val="0"/>
              <w:autoSpaceDN w:val="0"/>
              <w:adjustRightInd w:val="0"/>
              <w:snapToGrid w:val="0"/>
              <w:rPr>
                <w:rFonts w:ascii="宋体" w:hAnsi="宋体" w:cs="Calibri"/>
                <w:color w:val="auto"/>
                <w:kern w:val="0"/>
                <w:sz w:val="22"/>
                <w:highlight w:val="none"/>
              </w:rPr>
            </w:pPr>
            <w:r>
              <w:rPr>
                <w:rFonts w:cs="Calibri" w:asciiTheme="minorEastAsia" w:hAnsiTheme="minorEastAsia"/>
                <w:color w:val="auto"/>
                <w:kern w:val="0"/>
                <w:sz w:val="22"/>
                <w:highlight w:val="none"/>
              </w:rPr>
              <w:t>在</w:t>
            </w:r>
            <w:r>
              <w:rPr>
                <w:rFonts w:cs="Calibri" w:asciiTheme="minorEastAsia" w:hAnsiTheme="minorEastAsia"/>
                <w:color w:val="auto"/>
                <w:kern w:val="0"/>
                <w:sz w:val="22"/>
                <w:highlight w:val="none"/>
                <w:u w:val="single"/>
              </w:rPr>
              <w:t xml:space="preserve"> </w:t>
            </w:r>
            <w:r>
              <w:rPr>
                <w:rFonts w:hint="eastAsia" w:cs="Calibri" w:asciiTheme="minorEastAsia" w:hAnsiTheme="minorEastAsia"/>
                <w:color w:val="auto"/>
                <w:kern w:val="0"/>
                <w:sz w:val="22"/>
                <w:highlight w:val="none"/>
                <w:u w:val="single"/>
                <w:lang w:val="en-US" w:eastAsia="zh-CN"/>
              </w:rPr>
              <w:t>2019</w:t>
            </w:r>
            <w:r>
              <w:rPr>
                <w:rFonts w:hint="eastAsia" w:cs="Calibri" w:asciiTheme="minorEastAsia" w:hAnsiTheme="minorEastAsia"/>
                <w:color w:val="auto"/>
                <w:kern w:val="0"/>
                <w:sz w:val="22"/>
                <w:highlight w:val="none"/>
                <w:u w:val="single"/>
              </w:rPr>
              <w:t>年</w:t>
            </w:r>
            <w:r>
              <w:rPr>
                <w:rFonts w:hint="eastAsia" w:cs="Calibri" w:asciiTheme="minorEastAsia" w:hAnsiTheme="minorEastAsia"/>
                <w:color w:val="auto"/>
                <w:kern w:val="0"/>
                <w:sz w:val="22"/>
                <w:highlight w:val="none"/>
                <w:u w:val="single"/>
                <w:lang w:val="en-US" w:eastAsia="zh-CN"/>
              </w:rPr>
              <w:t>5</w:t>
            </w:r>
            <w:r>
              <w:rPr>
                <w:rFonts w:hint="eastAsia" w:cs="Calibri" w:asciiTheme="minorEastAsia" w:hAnsiTheme="minorEastAsia"/>
                <w:color w:val="auto"/>
                <w:kern w:val="0"/>
                <w:sz w:val="22"/>
                <w:highlight w:val="none"/>
                <w:u w:val="single"/>
              </w:rPr>
              <w:t>月</w:t>
            </w:r>
            <w:r>
              <w:rPr>
                <w:rFonts w:hint="eastAsia" w:cs="Calibri" w:asciiTheme="minorEastAsia" w:hAnsiTheme="minorEastAsia"/>
                <w:color w:val="auto"/>
                <w:kern w:val="0"/>
                <w:sz w:val="22"/>
                <w:highlight w:val="none"/>
                <w:u w:val="single"/>
                <w:lang w:val="en-US" w:eastAsia="zh-CN"/>
              </w:rPr>
              <w:t>17</w:t>
            </w:r>
            <w:r>
              <w:rPr>
                <w:rFonts w:hint="eastAsia" w:cs="Calibri" w:asciiTheme="minorEastAsia" w:hAnsiTheme="minorEastAsia"/>
                <w:color w:val="auto"/>
                <w:kern w:val="0"/>
                <w:sz w:val="22"/>
                <w:highlight w:val="none"/>
                <w:u w:val="single"/>
              </w:rPr>
              <w:t>日上午</w:t>
            </w:r>
            <w:r>
              <w:rPr>
                <w:rFonts w:hint="eastAsia" w:cs="Calibri" w:asciiTheme="minorEastAsia" w:hAnsiTheme="minorEastAsia"/>
                <w:color w:val="auto"/>
                <w:kern w:val="0"/>
                <w:sz w:val="22"/>
                <w:highlight w:val="none"/>
                <w:u w:val="single"/>
                <w:lang w:val="en-US" w:eastAsia="zh-CN"/>
              </w:rPr>
              <w:t>9</w:t>
            </w:r>
            <w:r>
              <w:rPr>
                <w:rFonts w:hint="eastAsia" w:cs="Calibri" w:asciiTheme="minorEastAsia" w:hAnsiTheme="minorEastAsia"/>
                <w:color w:val="auto"/>
                <w:kern w:val="0"/>
                <w:sz w:val="22"/>
                <w:highlight w:val="none"/>
                <w:u w:val="single"/>
              </w:rPr>
              <w:t>时</w:t>
            </w:r>
            <w:r>
              <w:rPr>
                <w:rFonts w:hint="eastAsia" w:cs="Calibri" w:asciiTheme="minorEastAsia" w:hAnsiTheme="minorEastAsia"/>
                <w:color w:val="auto"/>
                <w:kern w:val="0"/>
                <w:sz w:val="22"/>
                <w:highlight w:val="none"/>
                <w:u w:val="single"/>
                <w:lang w:val="en-US" w:eastAsia="zh-CN"/>
              </w:rPr>
              <w:t>00</w:t>
            </w:r>
            <w:r>
              <w:rPr>
                <w:rFonts w:hint="eastAsia" w:cs="Calibri" w:asciiTheme="minorEastAsia" w:hAnsiTheme="minorEastAsia"/>
                <w:color w:val="auto"/>
                <w:kern w:val="0"/>
                <w:sz w:val="22"/>
                <w:highlight w:val="none"/>
                <w:u w:val="single"/>
              </w:rPr>
              <w:t>分</w:t>
            </w:r>
            <w:r>
              <w:rPr>
                <w:rFonts w:cs="Calibri" w:asciiTheme="minorEastAsia" w:hAnsiTheme="minorEastAsia"/>
                <w:color w:val="auto"/>
                <w:kern w:val="0"/>
                <w:sz w:val="22"/>
                <w:highlight w:val="none"/>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4.2.2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递交投标文件地点</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hint="eastAsia" w:asciiTheme="minorEastAsia" w:hAnsiTheme="minorEastAsia"/>
                <w:b/>
                <w:color w:val="auto"/>
                <w:sz w:val="22"/>
                <w:highlight w:val="none"/>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4.2.3</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是否退还投标文件</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sym w:font="Wingdings" w:char="F0FE"/>
            </w:r>
            <w:r>
              <w:rPr>
                <w:rFonts w:ascii="宋体" w:hAnsi="宋体" w:cs="Calibri"/>
                <w:color w:val="auto"/>
                <w:kern w:val="0"/>
                <w:sz w:val="22"/>
                <w:highlight w:val="none"/>
              </w:rPr>
              <w:t>否</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5.1.1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开标时间和地点</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开标时间：同投标截止时间</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5.2</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开标程序</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（4）密封情况检查：由投标人或者其集体推选的代表检查投标文件的密封情况。</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6.1.1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评标委员会的组建</w:t>
            </w:r>
          </w:p>
        </w:tc>
        <w:tc>
          <w:tcPr>
            <w:tcW w:w="6487" w:type="dxa"/>
            <w:vAlign w:val="center"/>
          </w:tcPr>
          <w:p>
            <w:pPr>
              <w:autoSpaceDE w:val="0"/>
              <w:autoSpaceDN w:val="0"/>
              <w:adjustRightInd w:val="0"/>
              <w:snapToGrid w:val="0"/>
              <w:jc w:val="left"/>
              <w:rPr>
                <w:rFonts w:ascii="宋体" w:hAnsi="宋体"/>
                <w:color w:val="auto"/>
                <w:sz w:val="22"/>
                <w:highlight w:val="none"/>
              </w:rPr>
            </w:pPr>
            <w:r>
              <w:rPr>
                <w:rFonts w:hint="eastAsia" w:ascii="宋体" w:hAnsi="宋体"/>
                <w:color w:val="auto"/>
                <w:sz w:val="22"/>
                <w:highlight w:val="none"/>
              </w:rPr>
              <w:t>评标委员会构成</w:t>
            </w:r>
            <w:r>
              <w:rPr>
                <w:rFonts w:hint="eastAsia" w:ascii="宋体" w:hAnsi="宋体" w:cs="Calibri"/>
                <w:color w:val="auto"/>
                <w:kern w:val="0"/>
                <w:sz w:val="22"/>
                <w:highlight w:val="none"/>
              </w:rPr>
              <w:t>：3</w:t>
            </w:r>
            <w:r>
              <w:rPr>
                <w:rFonts w:hint="eastAsia" w:ascii="宋体" w:hAnsi="宋体"/>
                <w:color w:val="auto"/>
                <w:sz w:val="22"/>
                <w:highlight w:val="none"/>
              </w:rPr>
              <w:t>人及以上单数</w:t>
            </w:r>
          </w:p>
          <w:p>
            <w:pPr>
              <w:autoSpaceDE w:val="0"/>
              <w:autoSpaceDN w:val="0"/>
              <w:adjustRightInd w:val="0"/>
              <w:snapToGrid w:val="0"/>
              <w:jc w:val="left"/>
              <w:rPr>
                <w:rFonts w:ascii="宋体" w:hAnsi="宋体"/>
                <w:color w:val="auto"/>
                <w:sz w:val="22"/>
                <w:highlight w:val="none"/>
              </w:rPr>
            </w:pPr>
            <w:r>
              <w:rPr>
                <w:rFonts w:hint="eastAsia" w:ascii="宋体" w:hAnsi="宋体"/>
                <w:color w:val="auto"/>
                <w:sz w:val="22"/>
                <w:highlight w:val="none"/>
              </w:rPr>
              <w:t>评标专家确定方式：评标委员会成员招标人自行组建。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7.1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是否授权评标委员会确定中标人</w:t>
            </w:r>
          </w:p>
        </w:tc>
        <w:tc>
          <w:tcPr>
            <w:tcW w:w="6487" w:type="dxa"/>
            <w:vAlign w:val="center"/>
          </w:tcPr>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t>□是</w:t>
            </w:r>
          </w:p>
          <w:p>
            <w:pPr>
              <w:autoSpaceDE w:val="0"/>
              <w:autoSpaceDN w:val="0"/>
              <w:adjustRightInd w:val="0"/>
              <w:snapToGrid w:val="0"/>
              <w:rPr>
                <w:rFonts w:ascii="宋体" w:hAnsi="宋体" w:cs="Calibri"/>
                <w:color w:val="auto"/>
                <w:kern w:val="0"/>
                <w:sz w:val="22"/>
                <w:highlight w:val="none"/>
              </w:rPr>
            </w:pPr>
            <w:r>
              <w:rPr>
                <w:rFonts w:ascii="宋体" w:hAnsi="宋体" w:cs="Calibri"/>
                <w:color w:val="auto"/>
                <w:kern w:val="0"/>
                <w:sz w:val="22"/>
                <w:highlight w:val="none"/>
              </w:rPr>
              <w:sym w:font="Wingdings" w:char="F0FE"/>
            </w:r>
            <w:r>
              <w:rPr>
                <w:rFonts w:ascii="宋体" w:hAnsi="宋体" w:cs="Calibri"/>
                <w:color w:val="auto"/>
                <w:kern w:val="0"/>
                <w:sz w:val="22"/>
                <w:highlight w:val="none"/>
              </w:rPr>
              <w:t>否，推荐的中标候选人数：</w:t>
            </w:r>
            <w:r>
              <w:rPr>
                <w:rFonts w:hint="eastAsia" w:ascii="宋体" w:hAnsi="宋体" w:cs="Calibri"/>
                <w:color w:val="auto"/>
                <w:kern w:val="0"/>
                <w:sz w:val="22"/>
                <w:highlight w:val="none"/>
              </w:rPr>
              <w:t>2</w:t>
            </w:r>
            <w:r>
              <w:rPr>
                <w:rFonts w:ascii="宋体" w:hAnsi="宋体" w:cs="Calibri"/>
                <w:color w:val="auto"/>
                <w:kern w:val="0"/>
                <w:sz w:val="22"/>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7.3.1</w:t>
            </w:r>
          </w:p>
        </w:tc>
        <w:tc>
          <w:tcPr>
            <w:tcW w:w="2004"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履约</w:t>
            </w:r>
            <w:r>
              <w:rPr>
                <w:rFonts w:hint="eastAsia" w:ascii="宋体" w:hAnsi="宋体" w:cs="Calibri"/>
                <w:color w:val="auto"/>
                <w:kern w:val="0"/>
                <w:sz w:val="22"/>
                <w:highlight w:val="none"/>
              </w:rPr>
              <w:t>保证金</w:t>
            </w:r>
          </w:p>
        </w:tc>
        <w:tc>
          <w:tcPr>
            <w:tcW w:w="6487" w:type="dxa"/>
            <w:vAlign w:val="center"/>
          </w:tcPr>
          <w:p>
            <w:pPr>
              <w:autoSpaceDE w:val="0"/>
              <w:autoSpaceDN w:val="0"/>
              <w:adjustRightInd w:val="0"/>
              <w:snapToGrid w:val="0"/>
              <w:jc w:val="left"/>
              <w:rPr>
                <w:rFonts w:ascii="宋体" w:hAnsi="宋体"/>
                <w:color w:val="auto"/>
                <w:sz w:val="22"/>
                <w:highlight w:val="none"/>
              </w:rPr>
            </w:pPr>
            <w:r>
              <w:rPr>
                <w:rFonts w:ascii="宋体" w:hAnsi="宋体"/>
                <w:color w:val="auto"/>
                <w:sz w:val="22"/>
                <w:highlight w:val="none"/>
              </w:rPr>
              <w:t>履约</w:t>
            </w:r>
            <w:r>
              <w:rPr>
                <w:rFonts w:hint="eastAsia" w:ascii="宋体" w:hAnsi="宋体"/>
                <w:color w:val="auto"/>
                <w:sz w:val="22"/>
                <w:highlight w:val="none"/>
              </w:rPr>
              <w:t>保证金</w:t>
            </w:r>
            <w:r>
              <w:rPr>
                <w:rFonts w:ascii="宋体" w:hAnsi="宋体"/>
                <w:color w:val="auto"/>
                <w:sz w:val="22"/>
                <w:highlight w:val="none"/>
              </w:rPr>
              <w:t>的形式：</w:t>
            </w:r>
            <w:r>
              <w:rPr>
                <w:rFonts w:hint="eastAsia" w:ascii="宋体" w:hAnsi="宋体"/>
                <w:color w:val="auto"/>
                <w:sz w:val="22"/>
                <w:highlight w:val="none"/>
              </w:rPr>
              <w:t>支票、银行汇票或电汇</w:t>
            </w:r>
          </w:p>
          <w:p>
            <w:pPr>
              <w:autoSpaceDE w:val="0"/>
              <w:autoSpaceDN w:val="0"/>
              <w:adjustRightInd w:val="0"/>
              <w:snapToGrid w:val="0"/>
              <w:jc w:val="left"/>
              <w:rPr>
                <w:rFonts w:ascii="宋体" w:hAnsi="宋体"/>
                <w:color w:val="auto"/>
                <w:sz w:val="22"/>
                <w:highlight w:val="none"/>
              </w:rPr>
            </w:pPr>
            <w:r>
              <w:rPr>
                <w:rFonts w:ascii="宋体" w:hAnsi="宋体"/>
                <w:color w:val="auto"/>
                <w:sz w:val="22"/>
                <w:highlight w:val="none"/>
              </w:rPr>
              <w:t>履约</w:t>
            </w:r>
            <w:r>
              <w:rPr>
                <w:rFonts w:hint="eastAsia" w:ascii="宋体" w:hAnsi="宋体"/>
                <w:color w:val="auto"/>
                <w:sz w:val="22"/>
                <w:highlight w:val="none"/>
              </w:rPr>
              <w:t>保证金</w:t>
            </w:r>
            <w:r>
              <w:rPr>
                <w:rFonts w:ascii="宋体" w:hAnsi="宋体"/>
                <w:color w:val="auto"/>
                <w:sz w:val="22"/>
                <w:highlight w:val="none"/>
              </w:rPr>
              <w:t>的金额：</w:t>
            </w:r>
            <w:r>
              <w:rPr>
                <w:rFonts w:hint="eastAsia" w:ascii="宋体" w:hAnsi="宋体"/>
                <w:color w:val="auto"/>
                <w:sz w:val="22"/>
                <w:highlight w:val="none"/>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color w:val="auto"/>
                <w:kern w:val="0"/>
                <w:sz w:val="22"/>
                <w:highlight w:val="none"/>
              </w:rPr>
            </w:pPr>
            <w:r>
              <w:rPr>
                <w:rFonts w:ascii="宋体" w:hAnsi="宋体" w:cs="Calibri"/>
                <w:color w:val="auto"/>
                <w:kern w:val="0"/>
                <w:sz w:val="22"/>
                <w:highlight w:val="none"/>
              </w:rPr>
              <w:t>10</w:t>
            </w:r>
          </w:p>
        </w:tc>
        <w:tc>
          <w:tcPr>
            <w:tcW w:w="8491" w:type="dxa"/>
            <w:gridSpan w:val="2"/>
            <w:vAlign w:val="center"/>
          </w:tcPr>
          <w:p>
            <w:pPr>
              <w:autoSpaceDE w:val="0"/>
              <w:autoSpaceDN w:val="0"/>
              <w:adjustRightInd w:val="0"/>
              <w:snapToGrid w:val="0"/>
              <w:jc w:val="center"/>
              <w:rPr>
                <w:rFonts w:ascii="宋体" w:hAnsi="宋体" w:cs="Calibri"/>
                <w:snapToGrid w:val="0"/>
                <w:color w:val="auto"/>
                <w:sz w:val="22"/>
                <w:highlight w:val="none"/>
              </w:rPr>
            </w:pPr>
            <w:r>
              <w:rPr>
                <w:rFonts w:ascii="宋体" w:hAnsi="宋体" w:cs="Calibri"/>
                <w:color w:val="auto"/>
                <w:kern w:val="0"/>
                <w:sz w:val="22"/>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color w:val="auto"/>
                <w:kern w:val="0"/>
                <w:sz w:val="22"/>
                <w:highlight w:val="none"/>
              </w:rPr>
            </w:pPr>
            <w:r>
              <w:rPr>
                <w:rFonts w:hint="eastAsia" w:ascii="宋体" w:hAnsi="宋体" w:cs="Calibri"/>
                <w:color w:val="auto"/>
                <w:kern w:val="0"/>
                <w:sz w:val="22"/>
                <w:highlight w:val="none"/>
              </w:rPr>
              <w:t>10.2</w:t>
            </w:r>
          </w:p>
        </w:tc>
        <w:tc>
          <w:tcPr>
            <w:tcW w:w="2004" w:type="dxa"/>
            <w:shd w:val="clear" w:color="auto" w:fill="auto"/>
            <w:vAlign w:val="center"/>
          </w:tcPr>
          <w:p>
            <w:pPr>
              <w:pStyle w:val="50"/>
              <w:rPr>
                <w:rFonts w:ascii="宋体" w:hAnsi="宋体" w:eastAsia="宋体" w:cs="Calibri"/>
                <w:color w:val="auto"/>
                <w:sz w:val="22"/>
                <w:szCs w:val="22"/>
                <w:highlight w:val="none"/>
              </w:rPr>
            </w:pPr>
            <w:r>
              <w:rPr>
                <w:rFonts w:ascii="宋体" w:hAnsi="宋体" w:eastAsia="宋体" w:cs="Calibri"/>
                <w:color w:val="auto"/>
                <w:sz w:val="22"/>
                <w:szCs w:val="22"/>
                <w:highlight w:val="none"/>
              </w:rPr>
              <w:t>其他</w:t>
            </w:r>
          </w:p>
        </w:tc>
        <w:tc>
          <w:tcPr>
            <w:tcW w:w="6487" w:type="dxa"/>
            <w:shd w:val="clear" w:color="auto" w:fill="FFFFFF"/>
            <w:vAlign w:val="center"/>
          </w:tcPr>
          <w:p>
            <w:pPr>
              <w:adjustRightInd w:val="0"/>
              <w:snapToGrid w:val="0"/>
              <w:rPr>
                <w:rFonts w:ascii="宋体" w:hAnsi="宋体" w:cs="Calibri"/>
                <w:snapToGrid w:val="0"/>
                <w:color w:val="auto"/>
                <w:kern w:val="0"/>
                <w:sz w:val="22"/>
                <w:highlight w:val="none"/>
              </w:rPr>
            </w:pPr>
            <w:r>
              <w:rPr>
                <w:rFonts w:ascii="宋体" w:hAnsi="宋体" w:cs="Calibri"/>
                <w:snapToGrid w:val="0"/>
                <w:color w:val="auto"/>
                <w:kern w:val="0"/>
                <w:sz w:val="22"/>
                <w:highlight w:val="none"/>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color w:val="auto"/>
                <w:kern w:val="0"/>
                <w:sz w:val="22"/>
                <w:highlight w:val="none"/>
              </w:rPr>
            </w:pPr>
            <w:r>
              <w:rPr>
                <w:rFonts w:ascii="宋体" w:hAnsi="宋体" w:cs="Calibri"/>
                <w:snapToGrid w:val="0"/>
                <w:color w:val="auto"/>
                <w:kern w:val="0"/>
                <w:sz w:val="22"/>
                <w:highlight w:val="none"/>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color w:val="auto"/>
                <w:kern w:val="0"/>
                <w:sz w:val="22"/>
                <w:highlight w:val="none"/>
              </w:rPr>
            </w:pPr>
            <w:r>
              <w:rPr>
                <w:rFonts w:hint="eastAsia" w:ascii="宋体" w:hAnsi="宋体" w:cs="Calibri"/>
                <w:color w:val="auto"/>
                <w:kern w:val="0"/>
                <w:sz w:val="22"/>
                <w:highlight w:val="none"/>
              </w:rPr>
              <w:t>10.3</w:t>
            </w:r>
          </w:p>
        </w:tc>
        <w:tc>
          <w:tcPr>
            <w:tcW w:w="2004" w:type="dxa"/>
            <w:shd w:val="clear" w:color="auto" w:fill="auto"/>
            <w:vAlign w:val="center"/>
          </w:tcPr>
          <w:p>
            <w:pPr>
              <w:pStyle w:val="50"/>
              <w:rPr>
                <w:color w:val="auto"/>
                <w:highlight w:val="none"/>
              </w:rPr>
            </w:pPr>
            <w:r>
              <w:rPr>
                <w:rFonts w:hint="eastAsia"/>
                <w:color w:val="auto"/>
                <w:highlight w:val="none"/>
              </w:rPr>
              <w:t>备注</w:t>
            </w:r>
          </w:p>
        </w:tc>
        <w:tc>
          <w:tcPr>
            <w:tcW w:w="6487" w:type="dxa"/>
            <w:shd w:val="clear" w:color="auto" w:fill="FFFFFF"/>
            <w:vAlign w:val="center"/>
          </w:tcPr>
          <w:p>
            <w:pPr>
              <w:adjustRightInd w:val="0"/>
              <w:snapToGrid w:val="0"/>
              <w:rPr>
                <w:rFonts w:ascii="宋体" w:hAnsi="宋体" w:cs="Calibri"/>
                <w:snapToGrid w:val="0"/>
                <w:color w:val="auto"/>
                <w:kern w:val="0"/>
                <w:sz w:val="22"/>
                <w:highlight w:val="none"/>
              </w:rPr>
            </w:pPr>
            <w:r>
              <w:rPr>
                <w:rFonts w:ascii="宋体" w:hAnsi="宋体" w:cs="Calibri"/>
                <w:snapToGrid w:val="0"/>
                <w:color w:val="auto"/>
                <w:kern w:val="0"/>
                <w:sz w:val="22"/>
                <w:highlight w:val="none"/>
              </w:rPr>
              <w:t>本前附表内容与招标文件其他内容不一致之处，以本前附表为准。</w:t>
            </w:r>
          </w:p>
        </w:tc>
      </w:tr>
    </w:tbl>
    <w:p>
      <w:pPr>
        <w:autoSpaceDE w:val="0"/>
        <w:autoSpaceDN w:val="0"/>
        <w:adjustRightInd w:val="0"/>
        <w:snapToGrid w:val="0"/>
        <w:spacing w:line="400" w:lineRule="exact"/>
        <w:rPr>
          <w:b/>
          <w:color w:val="auto"/>
          <w:highlight w:val="none"/>
        </w:rPr>
      </w:pPr>
      <w:bookmarkStart w:id="6" w:name="_Toc26216"/>
    </w:p>
    <w:p>
      <w:pPr>
        <w:autoSpaceDE w:val="0"/>
        <w:autoSpaceDN w:val="0"/>
        <w:adjustRightInd w:val="0"/>
        <w:snapToGrid w:val="0"/>
        <w:spacing w:line="360" w:lineRule="exact"/>
        <w:rPr>
          <w:rFonts w:ascii="宋体" w:hAnsi="宋体" w:cs="Calibri"/>
          <w:b/>
          <w:bCs/>
          <w:color w:val="auto"/>
          <w:kern w:val="0"/>
          <w:sz w:val="22"/>
          <w:highlight w:val="none"/>
        </w:rPr>
      </w:pPr>
      <w:r>
        <w:rPr>
          <w:b/>
          <w:color w:val="auto"/>
          <w:highlight w:val="none"/>
        </w:rPr>
        <w:br w:type="page"/>
      </w:r>
      <w:bookmarkEnd w:id="6"/>
      <w:r>
        <w:rPr>
          <w:rFonts w:ascii="宋体" w:hAnsi="宋体" w:cs="Calibri"/>
          <w:b/>
          <w:bCs/>
          <w:color w:val="auto"/>
          <w:kern w:val="0"/>
          <w:sz w:val="22"/>
          <w:highlight w:val="none"/>
        </w:rPr>
        <w:t>1.</w:t>
      </w:r>
      <w:r>
        <w:rPr>
          <w:rFonts w:hint="eastAsia" w:ascii="宋体" w:hAnsi="宋体" w:cs="Calibri"/>
          <w:b/>
          <w:bCs/>
          <w:color w:val="auto"/>
          <w:kern w:val="0"/>
          <w:sz w:val="22"/>
          <w:highlight w:val="none"/>
        </w:rPr>
        <w:t xml:space="preserve"> </w:t>
      </w:r>
      <w:r>
        <w:rPr>
          <w:rFonts w:ascii="宋体" w:hAnsi="宋体" w:cs="Calibri"/>
          <w:b/>
          <w:bCs/>
          <w:color w:val="auto"/>
          <w:kern w:val="0"/>
          <w:sz w:val="22"/>
          <w:highlight w:val="none"/>
        </w:rPr>
        <w:t>总则</w:t>
      </w:r>
    </w:p>
    <w:p>
      <w:pPr>
        <w:autoSpaceDE w:val="0"/>
        <w:autoSpaceDN w:val="0"/>
        <w:adjustRightInd w:val="0"/>
        <w:snapToGrid w:val="0"/>
        <w:spacing w:line="360" w:lineRule="exact"/>
        <w:rPr>
          <w:rFonts w:ascii="宋体" w:hAnsi="宋体" w:cs="Calibri"/>
          <w:b/>
          <w:bCs/>
          <w:color w:val="auto"/>
          <w:kern w:val="0"/>
          <w:sz w:val="22"/>
          <w:highlight w:val="none"/>
        </w:rPr>
      </w:pPr>
      <w:r>
        <w:rPr>
          <w:rFonts w:ascii="宋体" w:hAnsi="宋体" w:cs="Calibri"/>
          <w:b/>
          <w:bCs/>
          <w:color w:val="auto"/>
          <w:kern w:val="0"/>
          <w:sz w:val="22"/>
          <w:highlight w:val="none"/>
        </w:rPr>
        <w:t>1.1 项目概况</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kern w:val="0"/>
          <w:sz w:val="22"/>
          <w:highlight w:val="none"/>
        </w:rPr>
        <w:t>1.1.2项目建设地点见投标人须知前附表</w:t>
      </w:r>
      <w:r>
        <w:rPr>
          <w:rFonts w:ascii="宋体" w:hAnsi="宋体" w:cs="Calibri"/>
          <w:color w:val="auto"/>
          <w:sz w:val="22"/>
          <w:highlight w:val="none"/>
        </w:rPr>
        <w:t>。</w:t>
      </w:r>
    </w:p>
    <w:p>
      <w:pPr>
        <w:autoSpaceDE w:val="0"/>
        <w:autoSpaceDN w:val="0"/>
        <w:adjustRightInd w:val="0"/>
        <w:snapToGrid w:val="0"/>
        <w:spacing w:line="360" w:lineRule="exact"/>
        <w:rPr>
          <w:rFonts w:ascii="宋体" w:hAnsi="宋体" w:cs="Calibri"/>
          <w:b/>
          <w:bCs/>
          <w:color w:val="auto"/>
          <w:kern w:val="0"/>
          <w:sz w:val="22"/>
          <w:highlight w:val="none"/>
        </w:rPr>
      </w:pPr>
      <w:bookmarkStart w:id="7" w:name="_Toc9136"/>
      <w:r>
        <w:rPr>
          <w:rFonts w:ascii="宋体" w:hAnsi="宋体" w:cs="Calibri"/>
          <w:b/>
          <w:bCs/>
          <w:color w:val="auto"/>
          <w:kern w:val="0"/>
          <w:sz w:val="22"/>
          <w:highlight w:val="none"/>
        </w:rPr>
        <w:t>1.</w:t>
      </w:r>
      <w:r>
        <w:rPr>
          <w:rFonts w:hint="eastAsia" w:ascii="宋体" w:hAnsi="宋体" w:cs="Calibri"/>
          <w:b/>
          <w:bCs/>
          <w:color w:val="auto"/>
          <w:kern w:val="0"/>
          <w:sz w:val="22"/>
          <w:highlight w:val="none"/>
        </w:rPr>
        <w:t>2</w:t>
      </w:r>
      <w:r>
        <w:rPr>
          <w:rFonts w:ascii="宋体" w:hAnsi="宋体" w:cs="Calibri"/>
          <w:b/>
          <w:bCs/>
          <w:color w:val="auto"/>
          <w:kern w:val="0"/>
          <w:sz w:val="22"/>
          <w:highlight w:val="none"/>
        </w:rPr>
        <w:t xml:space="preserve"> 资金来源</w:t>
      </w:r>
      <w:bookmarkEnd w:id="7"/>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8" w:name="_Toc10673"/>
      <w:r>
        <w:rPr>
          <w:rFonts w:ascii="宋体" w:hAnsi="宋体" w:cs="Calibri"/>
          <w:b/>
          <w:bCs/>
          <w:color w:val="auto"/>
          <w:kern w:val="0"/>
          <w:sz w:val="22"/>
          <w:highlight w:val="none"/>
        </w:rPr>
        <w:t>1.</w:t>
      </w:r>
      <w:r>
        <w:rPr>
          <w:rFonts w:hint="eastAsia" w:ascii="宋体" w:hAnsi="宋体" w:cs="Calibri"/>
          <w:b/>
          <w:bCs/>
          <w:color w:val="auto"/>
          <w:kern w:val="0"/>
          <w:sz w:val="22"/>
          <w:highlight w:val="none"/>
        </w:rPr>
        <w:t>3</w:t>
      </w:r>
      <w:r>
        <w:rPr>
          <w:rFonts w:ascii="宋体" w:hAnsi="宋体" w:cs="Calibri"/>
          <w:b/>
          <w:bCs/>
          <w:color w:val="auto"/>
          <w:kern w:val="0"/>
          <w:sz w:val="22"/>
          <w:highlight w:val="none"/>
        </w:rPr>
        <w:t xml:space="preserve"> 招标</w:t>
      </w:r>
      <w:bookmarkEnd w:id="8"/>
      <w:r>
        <w:rPr>
          <w:rFonts w:hint="eastAsia" w:ascii="宋体" w:hAnsi="宋体" w:cs="Calibri"/>
          <w:b/>
          <w:bCs/>
          <w:color w:val="auto"/>
          <w:kern w:val="0"/>
          <w:sz w:val="22"/>
          <w:highlight w:val="none"/>
        </w:rPr>
        <w:t>内容</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9" w:name="_Toc718"/>
      <w:r>
        <w:rPr>
          <w:rFonts w:ascii="宋体" w:hAnsi="宋体" w:cs="Calibri"/>
          <w:b/>
          <w:bCs/>
          <w:color w:val="auto"/>
          <w:kern w:val="0"/>
          <w:sz w:val="22"/>
          <w:highlight w:val="none"/>
        </w:rPr>
        <w:t>1.</w:t>
      </w:r>
      <w:r>
        <w:rPr>
          <w:rFonts w:hint="eastAsia" w:ascii="宋体" w:hAnsi="宋体" w:cs="Calibri"/>
          <w:b/>
          <w:bCs/>
          <w:color w:val="auto"/>
          <w:kern w:val="0"/>
          <w:sz w:val="22"/>
          <w:highlight w:val="none"/>
        </w:rPr>
        <w:t>4</w:t>
      </w:r>
      <w:r>
        <w:rPr>
          <w:rFonts w:ascii="宋体" w:hAnsi="宋体" w:cs="Calibri"/>
          <w:b/>
          <w:bCs/>
          <w:color w:val="auto"/>
          <w:kern w:val="0"/>
          <w:sz w:val="22"/>
          <w:highlight w:val="none"/>
        </w:rPr>
        <w:t xml:space="preserve"> 招标方式</w:t>
      </w:r>
      <w:bookmarkEnd w:id="9"/>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10" w:name="_Toc9161"/>
      <w:r>
        <w:rPr>
          <w:rFonts w:ascii="宋体" w:hAnsi="宋体" w:cs="Calibri"/>
          <w:b/>
          <w:bCs/>
          <w:color w:val="auto"/>
          <w:kern w:val="0"/>
          <w:sz w:val="22"/>
          <w:highlight w:val="none"/>
        </w:rPr>
        <w:t>1.</w:t>
      </w:r>
      <w:r>
        <w:rPr>
          <w:rFonts w:hint="eastAsia" w:ascii="宋体" w:hAnsi="宋体" w:cs="Calibri"/>
          <w:b/>
          <w:bCs/>
          <w:color w:val="auto"/>
          <w:kern w:val="0"/>
          <w:sz w:val="22"/>
          <w:highlight w:val="none"/>
        </w:rPr>
        <w:t xml:space="preserve">5 </w:t>
      </w:r>
      <w:r>
        <w:rPr>
          <w:rFonts w:ascii="宋体" w:hAnsi="宋体" w:cs="Calibri"/>
          <w:b/>
          <w:bCs/>
          <w:color w:val="auto"/>
          <w:kern w:val="0"/>
          <w:sz w:val="22"/>
          <w:highlight w:val="none"/>
        </w:rPr>
        <w:t>资格审查</w:t>
      </w:r>
      <w:bookmarkEnd w:id="10"/>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11" w:name="_Toc13012"/>
      <w:r>
        <w:rPr>
          <w:rFonts w:ascii="宋体" w:hAnsi="宋体" w:cs="Calibri"/>
          <w:b/>
          <w:bCs/>
          <w:color w:val="auto"/>
          <w:kern w:val="0"/>
          <w:sz w:val="22"/>
          <w:highlight w:val="none"/>
        </w:rPr>
        <w:t>1.</w:t>
      </w:r>
      <w:r>
        <w:rPr>
          <w:rFonts w:hint="eastAsia" w:ascii="宋体" w:hAnsi="宋体" w:cs="Calibri"/>
          <w:b/>
          <w:bCs/>
          <w:color w:val="auto"/>
          <w:kern w:val="0"/>
          <w:sz w:val="22"/>
          <w:highlight w:val="none"/>
        </w:rPr>
        <w:t>6</w:t>
      </w:r>
      <w:r>
        <w:rPr>
          <w:rFonts w:ascii="宋体" w:hAnsi="宋体" w:cs="Calibri"/>
          <w:b/>
          <w:bCs/>
          <w:color w:val="auto"/>
          <w:kern w:val="0"/>
          <w:sz w:val="22"/>
          <w:highlight w:val="none"/>
        </w:rPr>
        <w:t xml:space="preserve"> 投标人资质条件、能力和信誉</w:t>
      </w:r>
      <w:bookmarkEnd w:id="11"/>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12" w:name="_Toc2796"/>
      <w:r>
        <w:rPr>
          <w:rFonts w:ascii="宋体" w:hAnsi="宋体" w:cs="Calibri"/>
          <w:b/>
          <w:bCs/>
          <w:color w:val="auto"/>
          <w:kern w:val="0"/>
          <w:sz w:val="22"/>
          <w:highlight w:val="none"/>
        </w:rPr>
        <w:t>1.</w:t>
      </w:r>
      <w:r>
        <w:rPr>
          <w:rFonts w:hint="eastAsia" w:ascii="宋体" w:hAnsi="宋体" w:cs="Calibri"/>
          <w:b/>
          <w:bCs/>
          <w:color w:val="auto"/>
          <w:kern w:val="0"/>
          <w:sz w:val="22"/>
          <w:highlight w:val="none"/>
        </w:rPr>
        <w:t>7</w:t>
      </w:r>
      <w:r>
        <w:rPr>
          <w:rFonts w:ascii="宋体" w:hAnsi="宋体" w:cs="Calibri"/>
          <w:b/>
          <w:bCs/>
          <w:color w:val="auto"/>
          <w:kern w:val="0"/>
          <w:sz w:val="22"/>
          <w:highlight w:val="none"/>
        </w:rPr>
        <w:t xml:space="preserve"> 工期</w:t>
      </w:r>
      <w:bookmarkEnd w:id="12"/>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r>
        <w:rPr>
          <w:rFonts w:hint="eastAsia" w:ascii="宋体" w:hAnsi="宋体" w:cs="Calibri"/>
          <w:b/>
          <w:bCs/>
          <w:color w:val="auto"/>
          <w:kern w:val="0"/>
          <w:sz w:val="22"/>
          <w:highlight w:val="none"/>
        </w:rPr>
        <w:t>1.8 质量要求</w:t>
      </w:r>
    </w:p>
    <w:p>
      <w:pPr>
        <w:adjustRightInd w:val="0"/>
        <w:snapToGrid w:val="0"/>
        <w:spacing w:line="360" w:lineRule="exact"/>
        <w:ind w:firstLine="440"/>
        <w:rPr>
          <w:rFonts w:ascii="宋体" w:hAnsi="宋体" w:cs="Calibri"/>
          <w:color w:val="auto"/>
          <w:sz w:val="22"/>
          <w:highlight w:val="none"/>
        </w:rPr>
      </w:pPr>
      <w:bookmarkStart w:id="13" w:name="_Toc13907"/>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r>
        <w:rPr>
          <w:rFonts w:ascii="宋体" w:hAnsi="宋体" w:cs="Calibri"/>
          <w:b/>
          <w:bCs/>
          <w:color w:val="auto"/>
          <w:kern w:val="0"/>
          <w:sz w:val="22"/>
          <w:highlight w:val="none"/>
        </w:rPr>
        <w:t>1.</w:t>
      </w:r>
      <w:r>
        <w:rPr>
          <w:rFonts w:hint="eastAsia" w:ascii="宋体" w:hAnsi="宋体" w:cs="Calibri"/>
          <w:b/>
          <w:bCs/>
          <w:color w:val="auto"/>
          <w:kern w:val="0"/>
          <w:sz w:val="22"/>
          <w:highlight w:val="none"/>
        </w:rPr>
        <w:t>9</w:t>
      </w:r>
      <w:r>
        <w:rPr>
          <w:rFonts w:ascii="宋体" w:hAnsi="宋体" w:cs="Calibri"/>
          <w:b/>
          <w:bCs/>
          <w:color w:val="auto"/>
          <w:kern w:val="0"/>
          <w:sz w:val="22"/>
          <w:highlight w:val="none"/>
        </w:rPr>
        <w:t xml:space="preserve"> 踏勘现场</w:t>
      </w:r>
      <w:bookmarkEnd w:id="13"/>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1.</w:t>
      </w:r>
      <w:r>
        <w:rPr>
          <w:rFonts w:hint="eastAsia" w:ascii="宋体" w:hAnsi="宋体" w:cs="Calibri"/>
          <w:color w:val="auto"/>
          <w:sz w:val="22"/>
          <w:highlight w:val="none"/>
        </w:rPr>
        <w:t>9</w:t>
      </w:r>
      <w:r>
        <w:rPr>
          <w:rFonts w:ascii="宋体" w:hAnsi="宋体" w:cs="Calibri"/>
          <w:color w:val="auto"/>
          <w:sz w:val="22"/>
          <w:highlight w:val="none"/>
        </w:rPr>
        <w:t>.1投标人须知前附表规定组织踏勘现场的，招标人按投标人须知前附表规定的时间、地点组织投标人踏勘项目现场。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1.</w:t>
      </w:r>
      <w:r>
        <w:rPr>
          <w:rFonts w:hint="eastAsia" w:ascii="宋体" w:hAnsi="宋体" w:cs="Calibri"/>
          <w:color w:val="auto"/>
          <w:sz w:val="22"/>
          <w:highlight w:val="none"/>
        </w:rPr>
        <w:t>9</w:t>
      </w:r>
      <w:r>
        <w:rPr>
          <w:rFonts w:ascii="宋体" w:hAnsi="宋体" w:cs="Calibri"/>
          <w:color w:val="auto"/>
          <w:sz w:val="22"/>
          <w:highlight w:val="none"/>
        </w:rPr>
        <w:t>.2 投标人踏勘现场发生的费用自理。</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1.</w:t>
      </w:r>
      <w:r>
        <w:rPr>
          <w:rFonts w:hint="eastAsia" w:ascii="宋体" w:hAnsi="宋体" w:cs="Calibri"/>
          <w:color w:val="auto"/>
          <w:sz w:val="22"/>
          <w:highlight w:val="none"/>
        </w:rPr>
        <w:t>9</w:t>
      </w:r>
      <w:r>
        <w:rPr>
          <w:rFonts w:ascii="宋体" w:hAnsi="宋体" w:cs="Calibri"/>
          <w:color w:val="auto"/>
          <w:sz w:val="22"/>
          <w:highlight w:val="none"/>
        </w:rPr>
        <w:t>.3 投标人自行负责在踏勘现场中所发生的人员伤亡和财产损失。</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1.</w:t>
      </w:r>
      <w:r>
        <w:rPr>
          <w:rFonts w:hint="eastAsia" w:ascii="宋体" w:hAnsi="宋体" w:cs="Calibri"/>
          <w:color w:val="auto"/>
          <w:sz w:val="22"/>
          <w:highlight w:val="none"/>
        </w:rPr>
        <w:t>9</w:t>
      </w:r>
      <w:r>
        <w:rPr>
          <w:rFonts w:ascii="宋体" w:hAnsi="宋体" w:cs="Calibri"/>
          <w:color w:val="auto"/>
          <w:sz w:val="22"/>
          <w:highlight w:val="none"/>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color w:val="auto"/>
          <w:kern w:val="0"/>
          <w:sz w:val="22"/>
          <w:highlight w:val="none"/>
        </w:rPr>
      </w:pPr>
      <w:bookmarkStart w:id="14" w:name="_Toc4199"/>
      <w:r>
        <w:rPr>
          <w:rFonts w:ascii="宋体" w:hAnsi="宋体" w:cs="Calibri"/>
          <w:b/>
          <w:bCs/>
          <w:color w:val="auto"/>
          <w:kern w:val="0"/>
          <w:sz w:val="22"/>
          <w:highlight w:val="none"/>
        </w:rPr>
        <w:t>1.</w:t>
      </w:r>
      <w:r>
        <w:rPr>
          <w:rFonts w:hint="eastAsia" w:ascii="宋体" w:hAnsi="宋体" w:cs="Calibri"/>
          <w:b/>
          <w:bCs/>
          <w:color w:val="auto"/>
          <w:kern w:val="0"/>
          <w:sz w:val="22"/>
          <w:highlight w:val="none"/>
        </w:rPr>
        <w:t>10</w:t>
      </w:r>
      <w:r>
        <w:rPr>
          <w:rFonts w:ascii="宋体" w:hAnsi="宋体" w:cs="Calibri"/>
          <w:b/>
          <w:bCs/>
          <w:color w:val="auto"/>
          <w:kern w:val="0"/>
          <w:sz w:val="22"/>
          <w:highlight w:val="none"/>
        </w:rPr>
        <w:t xml:space="preserve"> 投标预备会</w:t>
      </w:r>
      <w:bookmarkEnd w:id="14"/>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15" w:name="_Toc4584"/>
      <w:r>
        <w:rPr>
          <w:rFonts w:ascii="宋体" w:hAnsi="宋体" w:cs="Calibri"/>
          <w:b/>
          <w:bCs/>
          <w:color w:val="auto"/>
          <w:kern w:val="0"/>
          <w:sz w:val="22"/>
          <w:highlight w:val="none"/>
        </w:rPr>
        <w:t>1.1</w:t>
      </w:r>
      <w:r>
        <w:rPr>
          <w:rFonts w:hint="eastAsia" w:ascii="宋体" w:hAnsi="宋体" w:cs="Calibri"/>
          <w:b/>
          <w:bCs/>
          <w:color w:val="auto"/>
          <w:kern w:val="0"/>
          <w:sz w:val="22"/>
          <w:highlight w:val="none"/>
        </w:rPr>
        <w:t>1</w:t>
      </w:r>
      <w:r>
        <w:rPr>
          <w:rFonts w:ascii="宋体" w:hAnsi="宋体" w:cs="Calibri"/>
          <w:b/>
          <w:bCs/>
          <w:color w:val="auto"/>
          <w:kern w:val="0"/>
          <w:sz w:val="22"/>
          <w:highlight w:val="none"/>
        </w:rPr>
        <w:t xml:space="preserve"> 分包</w:t>
      </w:r>
      <w:bookmarkEnd w:id="15"/>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本项目</w:t>
      </w:r>
      <w:r>
        <w:rPr>
          <w:rFonts w:hint="eastAsia" w:ascii="宋体" w:hAnsi="宋体" w:cs="Calibri"/>
          <w:color w:val="auto"/>
          <w:sz w:val="22"/>
          <w:highlight w:val="none"/>
          <w:lang w:eastAsia="zh-CN"/>
        </w:rPr>
        <w:t>不</w:t>
      </w:r>
      <w:r>
        <w:rPr>
          <w:rFonts w:ascii="宋体" w:hAnsi="宋体" w:cs="Calibri"/>
          <w:color w:val="auto"/>
          <w:sz w:val="22"/>
          <w:highlight w:val="none"/>
        </w:rPr>
        <w:t>允许分包。</w:t>
      </w:r>
    </w:p>
    <w:p>
      <w:pPr>
        <w:autoSpaceDE w:val="0"/>
        <w:autoSpaceDN w:val="0"/>
        <w:adjustRightInd w:val="0"/>
        <w:snapToGrid w:val="0"/>
        <w:spacing w:line="360" w:lineRule="exact"/>
        <w:rPr>
          <w:rFonts w:ascii="宋体" w:hAnsi="宋体" w:cs="Calibri"/>
          <w:b/>
          <w:bCs/>
          <w:color w:val="auto"/>
          <w:kern w:val="0"/>
          <w:sz w:val="22"/>
          <w:highlight w:val="none"/>
        </w:rPr>
      </w:pPr>
      <w:bookmarkStart w:id="16" w:name="_Toc3996"/>
      <w:r>
        <w:rPr>
          <w:rFonts w:ascii="宋体" w:hAnsi="宋体" w:cs="Calibri"/>
          <w:b/>
          <w:bCs/>
          <w:color w:val="auto"/>
          <w:kern w:val="0"/>
          <w:sz w:val="22"/>
          <w:highlight w:val="none"/>
        </w:rPr>
        <w:t>1.1</w:t>
      </w:r>
      <w:r>
        <w:rPr>
          <w:rFonts w:hint="eastAsia" w:ascii="宋体" w:hAnsi="宋体" w:cs="Calibri"/>
          <w:b/>
          <w:bCs/>
          <w:color w:val="auto"/>
          <w:kern w:val="0"/>
          <w:sz w:val="22"/>
          <w:highlight w:val="none"/>
        </w:rPr>
        <w:t>2</w:t>
      </w:r>
      <w:r>
        <w:rPr>
          <w:rFonts w:ascii="宋体" w:hAnsi="宋体" w:cs="Calibri"/>
          <w:b/>
          <w:bCs/>
          <w:color w:val="auto"/>
          <w:kern w:val="0"/>
          <w:sz w:val="22"/>
          <w:highlight w:val="none"/>
        </w:rPr>
        <w:t xml:space="preserve"> 投标费用</w:t>
      </w:r>
      <w:bookmarkEnd w:id="16"/>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投标人在投标过程中的一切费用，不论中标与否，均由投标人自理。</w:t>
      </w:r>
    </w:p>
    <w:p>
      <w:pPr>
        <w:autoSpaceDE w:val="0"/>
        <w:autoSpaceDN w:val="0"/>
        <w:adjustRightInd w:val="0"/>
        <w:snapToGrid w:val="0"/>
        <w:spacing w:line="360" w:lineRule="exact"/>
        <w:rPr>
          <w:rFonts w:ascii="宋体" w:hAnsi="宋体" w:cs="Calibri"/>
          <w:b/>
          <w:bCs/>
          <w:color w:val="auto"/>
          <w:kern w:val="0"/>
          <w:sz w:val="22"/>
          <w:highlight w:val="none"/>
        </w:rPr>
      </w:pPr>
      <w:bookmarkStart w:id="17" w:name="_Toc143421657"/>
      <w:bookmarkStart w:id="18" w:name="_Toc15241"/>
      <w:r>
        <w:rPr>
          <w:rFonts w:ascii="宋体" w:hAnsi="宋体" w:cs="Calibri"/>
          <w:b/>
          <w:bCs/>
          <w:color w:val="auto"/>
          <w:kern w:val="0"/>
          <w:sz w:val="22"/>
          <w:highlight w:val="none"/>
        </w:rPr>
        <w:t>2.招标文件</w:t>
      </w:r>
      <w:bookmarkEnd w:id="17"/>
      <w:bookmarkEnd w:id="18"/>
    </w:p>
    <w:p>
      <w:pPr>
        <w:autoSpaceDE w:val="0"/>
        <w:autoSpaceDN w:val="0"/>
        <w:adjustRightInd w:val="0"/>
        <w:snapToGrid w:val="0"/>
        <w:spacing w:line="360" w:lineRule="exact"/>
        <w:rPr>
          <w:rFonts w:ascii="宋体" w:hAnsi="宋体" w:cs="Calibri"/>
          <w:b/>
          <w:bCs/>
          <w:color w:val="auto"/>
          <w:kern w:val="0"/>
          <w:sz w:val="22"/>
          <w:highlight w:val="none"/>
        </w:rPr>
      </w:pPr>
      <w:bookmarkStart w:id="19" w:name="_Toc1426"/>
      <w:r>
        <w:rPr>
          <w:rFonts w:ascii="宋体" w:hAnsi="宋体" w:cs="Calibri"/>
          <w:b/>
          <w:bCs/>
          <w:color w:val="auto"/>
          <w:kern w:val="0"/>
          <w:sz w:val="22"/>
          <w:highlight w:val="none"/>
        </w:rPr>
        <w:t>2.1 招标文件的组成</w:t>
      </w:r>
      <w:bookmarkEnd w:id="19"/>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本招标文件包括：</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（1）招标公告</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（2）投标人须知</w:t>
      </w:r>
      <w:r>
        <w:rPr>
          <w:rFonts w:hint="eastAsia" w:ascii="宋体" w:hAnsi="宋体" w:cs="Calibri"/>
          <w:color w:val="auto"/>
          <w:kern w:val="0"/>
          <w:sz w:val="22"/>
          <w:highlight w:val="none"/>
        </w:rPr>
        <w:t>及评标办法</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w:t>
      </w:r>
      <w:r>
        <w:rPr>
          <w:rFonts w:hint="eastAsia" w:ascii="宋体" w:hAnsi="宋体" w:cs="Calibri"/>
          <w:color w:val="auto"/>
          <w:kern w:val="0"/>
          <w:sz w:val="22"/>
          <w:highlight w:val="none"/>
        </w:rPr>
        <w:t>3</w:t>
      </w:r>
      <w:r>
        <w:rPr>
          <w:rFonts w:ascii="宋体" w:hAnsi="宋体" w:cs="Calibri"/>
          <w:color w:val="auto"/>
          <w:kern w:val="0"/>
          <w:sz w:val="22"/>
          <w:highlight w:val="none"/>
        </w:rPr>
        <w:t>）合同条款</w:t>
      </w:r>
      <w:r>
        <w:rPr>
          <w:rFonts w:hint="eastAsia" w:ascii="宋体" w:hAnsi="宋体" w:cs="Calibri"/>
          <w:color w:val="auto"/>
          <w:kern w:val="0"/>
          <w:sz w:val="22"/>
          <w:highlight w:val="none"/>
        </w:rPr>
        <w:t>及格式</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w:t>
      </w:r>
      <w:r>
        <w:rPr>
          <w:rFonts w:hint="eastAsia" w:ascii="宋体" w:hAnsi="宋体" w:cs="Calibri"/>
          <w:color w:val="auto"/>
          <w:kern w:val="0"/>
          <w:sz w:val="22"/>
          <w:highlight w:val="none"/>
        </w:rPr>
        <w:t>4</w:t>
      </w:r>
      <w:r>
        <w:rPr>
          <w:rFonts w:ascii="宋体" w:hAnsi="宋体" w:cs="Calibri"/>
          <w:color w:val="auto"/>
          <w:kern w:val="0"/>
          <w:sz w:val="22"/>
          <w:highlight w:val="none"/>
        </w:rPr>
        <w:t>）</w:t>
      </w:r>
      <w:r>
        <w:rPr>
          <w:rFonts w:hint="eastAsia" w:ascii="宋体" w:hAnsi="宋体" w:cs="Calibri"/>
          <w:color w:val="auto"/>
          <w:kern w:val="0"/>
          <w:sz w:val="22"/>
          <w:highlight w:val="none"/>
        </w:rPr>
        <w:t>参考工程量清单</w:t>
      </w:r>
    </w:p>
    <w:p>
      <w:pPr>
        <w:adjustRightInd w:val="0"/>
        <w:snapToGrid w:val="0"/>
        <w:spacing w:line="360" w:lineRule="exact"/>
        <w:ind w:firstLine="440"/>
        <w:rPr>
          <w:rFonts w:ascii="宋体" w:hAnsi="宋体" w:cs="Calibri"/>
          <w:color w:val="auto"/>
          <w:kern w:val="0"/>
          <w:sz w:val="22"/>
          <w:highlight w:val="none"/>
        </w:rPr>
      </w:pPr>
      <w:r>
        <w:rPr>
          <w:rFonts w:hint="eastAsia" w:ascii="宋体" w:hAnsi="宋体" w:cs="Calibri"/>
          <w:color w:val="auto"/>
          <w:kern w:val="0"/>
          <w:sz w:val="22"/>
          <w:highlight w:val="none"/>
        </w:rPr>
        <w:t>（5）图纸</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（6）投标文件格式</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sz w:val="22"/>
          <w:highlight w:val="none"/>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color w:val="auto"/>
          <w:kern w:val="0"/>
          <w:sz w:val="22"/>
          <w:highlight w:val="none"/>
        </w:rPr>
      </w:pPr>
      <w:bookmarkStart w:id="20" w:name="_Toc18230"/>
      <w:r>
        <w:rPr>
          <w:rFonts w:ascii="宋体" w:hAnsi="宋体" w:cs="Calibri"/>
          <w:b/>
          <w:bCs/>
          <w:color w:val="auto"/>
          <w:kern w:val="0"/>
          <w:sz w:val="22"/>
          <w:highlight w:val="none"/>
        </w:rPr>
        <w:t>2.2 招标文件的澄清</w:t>
      </w:r>
      <w:bookmarkEnd w:id="20"/>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2.2.2</w:t>
      </w:r>
      <w:r>
        <w:rPr>
          <w:rFonts w:hint="eastAsia" w:ascii="宋体" w:hAnsi="宋体" w:cs="Calibri"/>
          <w:color w:val="auto"/>
          <w:kern w:val="0"/>
          <w:sz w:val="22"/>
          <w:highlight w:val="none"/>
        </w:rPr>
        <w:t>招标人将视情况采用补充公告的方式予以澄清。</w:t>
      </w:r>
    </w:p>
    <w:p>
      <w:pPr>
        <w:autoSpaceDE w:val="0"/>
        <w:autoSpaceDN w:val="0"/>
        <w:adjustRightInd w:val="0"/>
        <w:snapToGrid w:val="0"/>
        <w:spacing w:line="360" w:lineRule="exact"/>
        <w:rPr>
          <w:rFonts w:ascii="宋体" w:hAnsi="宋体" w:cs="Calibri"/>
          <w:b/>
          <w:bCs/>
          <w:color w:val="auto"/>
          <w:kern w:val="0"/>
          <w:sz w:val="22"/>
          <w:highlight w:val="none"/>
        </w:rPr>
      </w:pPr>
      <w:bookmarkStart w:id="21" w:name="_Toc18303"/>
      <w:r>
        <w:rPr>
          <w:rFonts w:ascii="宋体" w:hAnsi="宋体" w:cs="Calibri"/>
          <w:b/>
          <w:bCs/>
          <w:color w:val="auto"/>
          <w:kern w:val="0"/>
          <w:sz w:val="22"/>
          <w:highlight w:val="none"/>
        </w:rPr>
        <w:t>2.3 招标文件的修改</w:t>
      </w:r>
      <w:bookmarkEnd w:id="21"/>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kern w:val="0"/>
          <w:sz w:val="22"/>
          <w:highlight w:val="none"/>
        </w:rPr>
        <w:t>2.3.1</w:t>
      </w:r>
      <w:r>
        <w:rPr>
          <w:rFonts w:hint="eastAsia" w:ascii="宋体" w:hAnsi="宋体" w:cs="Calibri"/>
          <w:color w:val="auto"/>
          <w:kern w:val="0"/>
          <w:sz w:val="22"/>
          <w:highlight w:val="none"/>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2.3.2</w:t>
      </w:r>
      <w:r>
        <w:rPr>
          <w:rFonts w:hint="eastAsia" w:ascii="宋体" w:hAnsi="宋体" w:cs="Calibri"/>
          <w:color w:val="auto"/>
          <w:sz w:val="22"/>
          <w:highlight w:val="none"/>
        </w:rPr>
        <w:t>招标文件的修改为招标文件的组成部分，对投标人有约束力。</w:t>
      </w:r>
    </w:p>
    <w:p>
      <w:pPr>
        <w:autoSpaceDE w:val="0"/>
        <w:autoSpaceDN w:val="0"/>
        <w:adjustRightInd w:val="0"/>
        <w:snapToGrid w:val="0"/>
        <w:spacing w:line="360" w:lineRule="exact"/>
        <w:rPr>
          <w:rFonts w:ascii="宋体" w:hAnsi="宋体" w:cs="Calibri"/>
          <w:b/>
          <w:bCs/>
          <w:color w:val="auto"/>
          <w:kern w:val="0"/>
          <w:sz w:val="22"/>
          <w:highlight w:val="none"/>
        </w:rPr>
      </w:pPr>
      <w:bookmarkStart w:id="22" w:name="_Toc143421658"/>
      <w:bookmarkStart w:id="23" w:name="_Toc18870"/>
      <w:r>
        <w:rPr>
          <w:rFonts w:ascii="宋体" w:hAnsi="宋体" w:cs="Calibri"/>
          <w:b/>
          <w:bCs/>
          <w:color w:val="auto"/>
          <w:kern w:val="0"/>
          <w:sz w:val="22"/>
          <w:highlight w:val="none"/>
        </w:rPr>
        <w:t>3.投标文件</w:t>
      </w:r>
      <w:bookmarkEnd w:id="22"/>
      <w:bookmarkEnd w:id="23"/>
    </w:p>
    <w:p>
      <w:pPr>
        <w:autoSpaceDE w:val="0"/>
        <w:autoSpaceDN w:val="0"/>
        <w:adjustRightInd w:val="0"/>
        <w:snapToGrid w:val="0"/>
        <w:spacing w:line="360" w:lineRule="exact"/>
        <w:rPr>
          <w:rFonts w:ascii="宋体" w:hAnsi="宋体" w:cs="Calibri"/>
          <w:b/>
          <w:bCs/>
          <w:color w:val="auto"/>
          <w:kern w:val="0"/>
          <w:sz w:val="22"/>
          <w:highlight w:val="none"/>
        </w:rPr>
      </w:pPr>
      <w:bookmarkStart w:id="24" w:name="_Toc461"/>
      <w:r>
        <w:rPr>
          <w:rFonts w:ascii="宋体" w:hAnsi="宋体" w:cs="Calibri"/>
          <w:b/>
          <w:bCs/>
          <w:color w:val="auto"/>
          <w:kern w:val="0"/>
          <w:sz w:val="22"/>
          <w:highlight w:val="none"/>
        </w:rPr>
        <w:t>3.1 投标文件的语言和计量单位</w:t>
      </w:r>
      <w:bookmarkEnd w:id="24"/>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sz w:val="22"/>
          <w:highlight w:val="none"/>
        </w:rPr>
        <w:t>3.1.1投标文件与投标有关的所有文件均应使用中文。</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3.1.2除规范另有规定外，投标文件使用的度量衡单位，均采用中华人民共和国法定计量单位。</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3.1.3招标文件中的“天”除特别说明外，均为日历天。</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3.1.4招标文件中所指的“合同”除特别说明外，指 “</w:t>
      </w:r>
      <w:r>
        <w:rPr>
          <w:rFonts w:hint="eastAsia" w:ascii="宋体" w:hAnsi="宋体" w:cs="Calibri"/>
          <w:color w:val="auto"/>
          <w:kern w:val="0"/>
          <w:sz w:val="22"/>
          <w:highlight w:val="none"/>
        </w:rPr>
        <w:t>施工</w:t>
      </w:r>
      <w:r>
        <w:rPr>
          <w:rFonts w:ascii="宋体" w:hAnsi="宋体" w:cs="Calibri"/>
          <w:color w:val="auto"/>
          <w:kern w:val="0"/>
          <w:sz w:val="22"/>
          <w:highlight w:val="none"/>
        </w:rPr>
        <w:t>合同”。</w:t>
      </w:r>
    </w:p>
    <w:p>
      <w:pPr>
        <w:autoSpaceDE w:val="0"/>
        <w:autoSpaceDN w:val="0"/>
        <w:adjustRightInd w:val="0"/>
        <w:snapToGrid w:val="0"/>
        <w:spacing w:line="360" w:lineRule="exact"/>
        <w:rPr>
          <w:rFonts w:ascii="宋体" w:hAnsi="宋体" w:cs="Calibri"/>
          <w:b/>
          <w:bCs/>
          <w:color w:val="auto"/>
          <w:kern w:val="0"/>
          <w:sz w:val="22"/>
          <w:highlight w:val="none"/>
        </w:rPr>
      </w:pPr>
      <w:bookmarkStart w:id="25" w:name="_Toc1411"/>
      <w:r>
        <w:rPr>
          <w:rFonts w:ascii="宋体" w:hAnsi="宋体" w:cs="Calibri"/>
          <w:b/>
          <w:bCs/>
          <w:color w:val="auto"/>
          <w:kern w:val="0"/>
          <w:sz w:val="22"/>
          <w:highlight w:val="none"/>
        </w:rPr>
        <w:t>3.2 投标文件的组成</w:t>
      </w:r>
      <w:bookmarkEnd w:id="25"/>
    </w:p>
    <w:p>
      <w:pPr>
        <w:adjustRightInd w:val="0"/>
        <w:snapToGrid w:val="0"/>
        <w:spacing w:line="360" w:lineRule="exact"/>
        <w:ind w:firstLine="440"/>
        <w:rPr>
          <w:rFonts w:ascii="宋体" w:hAnsi="宋体" w:cs="Calibri"/>
          <w:color w:val="auto"/>
          <w:sz w:val="22"/>
          <w:highlight w:val="none"/>
        </w:rPr>
      </w:pPr>
      <w:bookmarkStart w:id="26" w:name="_Toc32225"/>
      <w:r>
        <w:rPr>
          <w:rFonts w:ascii="宋体" w:hAnsi="宋体" w:cs="Calibri"/>
          <w:color w:val="auto"/>
          <w:sz w:val="22"/>
          <w:highlight w:val="none"/>
        </w:rPr>
        <w:t>3.2.1投标函；</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3.2.</w:t>
      </w:r>
      <w:r>
        <w:rPr>
          <w:rFonts w:hint="eastAsia" w:ascii="宋体" w:hAnsi="宋体" w:cs="Calibri"/>
          <w:color w:val="auto"/>
          <w:sz w:val="22"/>
          <w:highlight w:val="none"/>
        </w:rPr>
        <w:t>2</w:t>
      </w:r>
      <w:r>
        <w:rPr>
          <w:rFonts w:ascii="宋体" w:hAnsi="宋体" w:cs="Calibri"/>
          <w:color w:val="auto"/>
          <w:sz w:val="22"/>
          <w:highlight w:val="none"/>
        </w:rPr>
        <w:t>法定代表人资格证明书；</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3.2.</w:t>
      </w:r>
      <w:r>
        <w:rPr>
          <w:rFonts w:hint="eastAsia" w:ascii="宋体" w:hAnsi="宋体" w:cs="Calibri"/>
          <w:color w:val="auto"/>
          <w:sz w:val="22"/>
          <w:highlight w:val="none"/>
        </w:rPr>
        <w:t>3</w:t>
      </w:r>
      <w:r>
        <w:rPr>
          <w:rFonts w:ascii="宋体" w:hAnsi="宋体" w:cs="Calibri"/>
          <w:color w:val="auto"/>
          <w:sz w:val="22"/>
          <w:highlight w:val="none"/>
        </w:rPr>
        <w:t>授权委托书；</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3.2.</w:t>
      </w:r>
      <w:r>
        <w:rPr>
          <w:rFonts w:hint="eastAsia" w:ascii="宋体" w:hAnsi="宋体" w:cs="Calibri"/>
          <w:color w:val="auto"/>
          <w:sz w:val="22"/>
          <w:highlight w:val="none"/>
        </w:rPr>
        <w:t>4已标价工程量清单</w:t>
      </w:r>
      <w:r>
        <w:rPr>
          <w:rFonts w:ascii="宋体" w:hAnsi="宋体" w:cs="Calibri"/>
          <w:color w:val="auto"/>
          <w:sz w:val="22"/>
          <w:highlight w:val="none"/>
        </w:rPr>
        <w:t>；</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3.2.5</w:t>
      </w:r>
      <w:r>
        <w:rPr>
          <w:rFonts w:hint="eastAsia" w:ascii="宋体" w:hAnsi="宋体" w:cs="Calibri"/>
          <w:color w:val="auto"/>
          <w:sz w:val="22"/>
          <w:highlight w:val="none"/>
        </w:rPr>
        <w:t>施工组织设计；</w:t>
      </w:r>
    </w:p>
    <w:p>
      <w:pPr>
        <w:adjustRightInd w:val="0"/>
        <w:snapToGrid w:val="0"/>
        <w:spacing w:line="360" w:lineRule="exact"/>
        <w:ind w:firstLine="440"/>
        <w:rPr>
          <w:rFonts w:ascii="宋体" w:hAnsi="宋体" w:cs="Calibri"/>
          <w:color w:val="auto"/>
          <w:sz w:val="22"/>
          <w:highlight w:val="none"/>
        </w:rPr>
      </w:pPr>
      <w:r>
        <w:rPr>
          <w:rFonts w:hint="eastAsia" w:ascii="宋体" w:hAnsi="宋体" w:cs="Calibri"/>
          <w:color w:val="auto"/>
          <w:sz w:val="22"/>
          <w:highlight w:val="none"/>
        </w:rPr>
        <w:t>3.2.6 项目管理机构</w:t>
      </w:r>
    </w:p>
    <w:p>
      <w:pPr>
        <w:adjustRightInd w:val="0"/>
        <w:snapToGrid w:val="0"/>
        <w:spacing w:line="360" w:lineRule="exact"/>
        <w:ind w:firstLine="440"/>
        <w:rPr>
          <w:rFonts w:ascii="宋体" w:hAnsi="宋体" w:cs="Calibri"/>
          <w:color w:val="auto"/>
          <w:sz w:val="22"/>
          <w:highlight w:val="none"/>
        </w:rPr>
      </w:pPr>
      <w:r>
        <w:rPr>
          <w:rFonts w:hint="eastAsia" w:ascii="宋体" w:hAnsi="宋体" w:cs="Calibri"/>
          <w:color w:val="auto"/>
          <w:sz w:val="22"/>
          <w:highlight w:val="none"/>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3.2.8</w:t>
      </w:r>
      <w:r>
        <w:rPr>
          <w:rFonts w:hint="eastAsia" w:ascii="宋体" w:hAnsi="宋体" w:cs="Arial"/>
          <w:color w:val="auto"/>
          <w:sz w:val="22"/>
          <w:highlight w:val="none"/>
        </w:rPr>
        <w:t>投标人认为</w:t>
      </w:r>
      <w:r>
        <w:rPr>
          <w:rFonts w:ascii="宋体" w:hAnsi="宋体" w:cs="Arial"/>
          <w:color w:val="auto"/>
          <w:sz w:val="22"/>
          <w:highlight w:val="none"/>
        </w:rPr>
        <w:t>应该提供的其他材料</w:t>
      </w:r>
      <w:r>
        <w:rPr>
          <w:rFonts w:hint="eastAsia" w:ascii="宋体" w:hAnsi="宋体" w:cs="宋体"/>
          <w:color w:val="auto"/>
          <w:sz w:val="22"/>
          <w:highlight w:val="none"/>
        </w:rPr>
        <w:t>。</w:t>
      </w:r>
    </w:p>
    <w:p>
      <w:pPr>
        <w:autoSpaceDE w:val="0"/>
        <w:autoSpaceDN w:val="0"/>
        <w:adjustRightInd w:val="0"/>
        <w:snapToGrid w:val="0"/>
        <w:spacing w:line="360" w:lineRule="exact"/>
        <w:rPr>
          <w:rFonts w:ascii="宋体" w:hAnsi="宋体" w:cs="Calibri"/>
          <w:b/>
          <w:bCs/>
          <w:color w:val="auto"/>
          <w:kern w:val="0"/>
          <w:sz w:val="22"/>
          <w:highlight w:val="none"/>
        </w:rPr>
      </w:pPr>
      <w:r>
        <w:rPr>
          <w:rFonts w:ascii="宋体" w:hAnsi="宋体" w:cs="Calibri"/>
          <w:b/>
          <w:bCs/>
          <w:color w:val="auto"/>
          <w:kern w:val="0"/>
          <w:sz w:val="22"/>
          <w:highlight w:val="none"/>
        </w:rPr>
        <w:t>3.3 投标报价</w:t>
      </w:r>
      <w:bookmarkEnd w:id="26"/>
    </w:p>
    <w:p>
      <w:pPr>
        <w:adjustRightInd w:val="0"/>
        <w:snapToGrid w:val="0"/>
        <w:spacing w:line="360" w:lineRule="exact"/>
        <w:ind w:firstLine="440"/>
        <w:rPr>
          <w:rFonts w:ascii="宋体" w:hAnsi="宋体" w:cs="宋体"/>
          <w:color w:val="auto"/>
          <w:sz w:val="22"/>
          <w:highlight w:val="none"/>
        </w:rPr>
      </w:pPr>
      <w:bookmarkStart w:id="27" w:name="_Toc13307"/>
      <w:r>
        <w:rPr>
          <w:rFonts w:hint="eastAsia" w:ascii="宋体" w:hAnsi="宋体" w:cs="宋体"/>
          <w:color w:val="auto"/>
          <w:sz w:val="22"/>
          <w:highlight w:val="none"/>
        </w:rPr>
        <w:t>3.3.1投标人应按第七章“投标文件格式”的要求填写相应表格并报价。</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3.3.2本工程各项取费标准及相关调整系数，根据《浙江省建设工程施工取费定额》（2010版）及浙江省现行的相关文件规定，请投标人在投标报价中，按照上述文件精神执行。</w:t>
      </w:r>
    </w:p>
    <w:p>
      <w:pPr>
        <w:adjustRightInd w:val="0"/>
        <w:snapToGrid w:val="0"/>
        <w:spacing w:line="360" w:lineRule="exact"/>
        <w:ind w:firstLine="440"/>
        <w:rPr>
          <w:rFonts w:ascii="宋体" w:hAnsi="宋体" w:cs="宋体"/>
          <w:b/>
          <w:color w:val="auto"/>
          <w:sz w:val="22"/>
          <w:highlight w:val="none"/>
        </w:rPr>
      </w:pPr>
      <w:r>
        <w:rPr>
          <w:rFonts w:hint="eastAsia" w:ascii="宋体" w:hAnsi="宋体" w:cs="宋体"/>
          <w:color w:val="auto"/>
          <w:sz w:val="22"/>
          <w:highlight w:val="none"/>
        </w:rPr>
        <w:t>3.3.3招标文件提供的工程量清单为参考清单，投标人根据招标文件要求和参考清单自行编制投标报价。</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3.3.4</w:t>
      </w:r>
      <w:r>
        <w:rPr>
          <w:rFonts w:hint="eastAsia" w:ascii="宋体" w:hAnsi="宋体" w:cs="宋体"/>
          <w:b/>
          <w:color w:val="auto"/>
          <w:sz w:val="22"/>
          <w:highlight w:val="none"/>
        </w:rPr>
        <w:t>本工程为固定总价合同（计日工除外）</w:t>
      </w:r>
      <w:r>
        <w:rPr>
          <w:rFonts w:hint="eastAsia" w:ascii="宋体" w:hAnsi="宋体" w:cs="宋体"/>
          <w:color w:val="auto"/>
          <w:sz w:val="22"/>
          <w:highlight w:val="none"/>
        </w:rPr>
        <w:t>。本项目投标人应充分考虑施工现场的实际情况、市场风险及自身承受能力进行报价。投标人根据本工程特点及施工技术规范、施工工艺要求，组织并测算为完成本项目所必须采取的工艺及措施，在分部分项工程量清单、措施项目清单、其他项目清单中进行报价。投标人对上述内容的漏报或者少报，视作对本工程的优惠。一旦中标，总价包干。在项目实施过程中，发包人不对承包人提出的任何工程量清单、价格变更要求进行总价调整，投标报价即为结算价。</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3.3.5投标报价中应包含国家有关部门和地方政府规定交纳的“规费”，其包括工程排污费、社会保障费、住房公积金、危险作业意外伤害保险；农民工工伤保险等。</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 xml:space="preserve">3.3.6 </w:t>
      </w:r>
      <w:r>
        <w:rPr>
          <w:rFonts w:hint="eastAsia" w:ascii="宋体" w:hAnsi="宋体" w:cs="宋体"/>
          <w:b/>
          <w:color w:val="auto"/>
          <w:sz w:val="22"/>
          <w:highlight w:val="none"/>
        </w:rPr>
        <w:t>计日工单价最高限价150元/工日。</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3.3.7工程量清单中的报价，均应以人民币元为单位，最终以人民币办理结算。</w:t>
      </w:r>
    </w:p>
    <w:p>
      <w:pPr>
        <w:adjustRightInd w:val="0"/>
        <w:snapToGrid w:val="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3.3.8投标人应充分考虑以下各项风险因素可能导致发生或增加的费用，并计入投标报价中，不报视作优惠：</w:t>
      </w:r>
    </w:p>
    <w:p>
      <w:pPr>
        <w:adjustRightInd w:val="0"/>
        <w:snapToGrid w:val="0"/>
        <w:spacing w:line="360" w:lineRule="exact"/>
        <w:ind w:firstLine="440"/>
        <w:rPr>
          <w:rFonts w:ascii="宋体" w:hAnsi="宋体" w:cs="宋体"/>
          <w:color w:val="auto"/>
          <w:sz w:val="22"/>
          <w:highlight w:val="none"/>
        </w:rPr>
      </w:pPr>
      <w:r>
        <w:rPr>
          <w:rFonts w:ascii="宋体" w:hAnsi="宋体" w:cs="宋体"/>
          <w:color w:val="auto"/>
          <w:sz w:val="22"/>
          <w:highlight w:val="none"/>
        </w:rPr>
        <w:t>a</w:t>
      </w:r>
      <w:r>
        <w:rPr>
          <w:rFonts w:hint="eastAsia" w:ascii="宋体" w:hAnsi="宋体" w:cs="宋体"/>
          <w:color w:val="auto"/>
          <w:sz w:val="22"/>
          <w:highlight w:val="none"/>
        </w:rPr>
        <w:t>、</w:t>
      </w:r>
      <w:r>
        <w:rPr>
          <w:rFonts w:hint="eastAsia" w:ascii="宋体" w:hAnsi="宋体" w:cs="宋体"/>
          <w:b/>
          <w:bCs/>
          <w:color w:val="auto"/>
          <w:sz w:val="22"/>
          <w:highlight w:val="none"/>
          <w:u w:val="single"/>
        </w:rPr>
        <w:t>本项目位于T3航站楼地下室中央空调主机房内，且为不停航施工，投标人必须采用不停航施工、不影响发包方正常开启中央空调，必须充分考虑以上因素导致的夜间加班、功效降低、证件办理、施工监管等产生的费用</w:t>
      </w:r>
      <w:r>
        <w:rPr>
          <w:rFonts w:hint="eastAsia" w:ascii="宋体" w:hAnsi="宋体" w:cs="宋体"/>
          <w:color w:val="auto"/>
          <w:sz w:val="22"/>
          <w:highlight w:val="none"/>
        </w:rPr>
        <w:t>；</w:t>
      </w:r>
    </w:p>
    <w:p>
      <w:pPr>
        <w:autoSpaceDE w:val="0"/>
        <w:autoSpaceDN w:val="0"/>
        <w:adjustRightInd w:val="0"/>
        <w:snapToGrid w:val="0"/>
        <w:spacing w:line="360" w:lineRule="exact"/>
        <w:rPr>
          <w:rFonts w:ascii="宋体" w:hAnsi="宋体" w:cs="Calibri"/>
          <w:b/>
          <w:bCs/>
          <w:color w:val="auto"/>
          <w:kern w:val="0"/>
          <w:sz w:val="22"/>
          <w:highlight w:val="none"/>
        </w:rPr>
      </w:pPr>
      <w:r>
        <w:rPr>
          <w:rFonts w:ascii="宋体" w:hAnsi="宋体" w:cs="Calibri"/>
          <w:b/>
          <w:bCs/>
          <w:color w:val="auto"/>
          <w:kern w:val="0"/>
          <w:sz w:val="22"/>
          <w:highlight w:val="none"/>
        </w:rPr>
        <w:t>3.4 投标有效期</w:t>
      </w:r>
      <w:bookmarkEnd w:id="27"/>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3.4.1在投标人须知前附表规定的投标有效期内，投标人不得要求撤销和修改其投标文件。</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color w:val="auto"/>
          <w:kern w:val="0"/>
          <w:sz w:val="22"/>
          <w:highlight w:val="none"/>
        </w:rPr>
      </w:pPr>
      <w:bookmarkStart w:id="28" w:name="_Toc30464"/>
      <w:r>
        <w:rPr>
          <w:rFonts w:ascii="宋体" w:hAnsi="宋体" w:cs="Calibri"/>
          <w:b/>
          <w:bCs/>
          <w:color w:val="auto"/>
          <w:kern w:val="0"/>
          <w:sz w:val="22"/>
          <w:highlight w:val="none"/>
        </w:rPr>
        <w:t>3.5 投标保证金</w:t>
      </w:r>
      <w:bookmarkEnd w:id="28"/>
      <w:r>
        <w:rPr>
          <w:rFonts w:hint="eastAsia" w:ascii="宋体" w:hAnsi="宋体" w:cs="Calibri"/>
          <w:b/>
          <w:bCs/>
          <w:color w:val="auto"/>
          <w:kern w:val="0"/>
          <w:sz w:val="22"/>
          <w:highlight w:val="none"/>
        </w:rPr>
        <w:t>（如有）</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3.5.1投标人在递交投标文件的同时，应按投标人须知前附表规定的金额、担保形式和第</w:t>
      </w:r>
      <w:r>
        <w:rPr>
          <w:rFonts w:hint="eastAsia" w:ascii="宋体" w:hAnsi="宋体" w:cs="Calibri"/>
          <w:color w:val="auto"/>
          <w:kern w:val="0"/>
          <w:sz w:val="22"/>
          <w:highlight w:val="none"/>
        </w:rPr>
        <w:t>七</w:t>
      </w:r>
      <w:r>
        <w:rPr>
          <w:rFonts w:ascii="宋体" w:hAnsi="宋体" w:cs="Calibri"/>
          <w:color w:val="auto"/>
          <w:kern w:val="0"/>
          <w:sz w:val="22"/>
          <w:highlight w:val="none"/>
        </w:rPr>
        <w:t>章</w:t>
      </w:r>
      <w:r>
        <w:rPr>
          <w:rFonts w:ascii="宋体" w:hAnsi="宋体" w:cs="Calibri"/>
          <w:color w:val="auto"/>
          <w:sz w:val="22"/>
          <w:highlight w:val="none"/>
        </w:rPr>
        <w:t>“投标文件格式”</w:t>
      </w:r>
      <w:r>
        <w:rPr>
          <w:rFonts w:ascii="宋体" w:hAnsi="宋体" w:cs="Calibri"/>
          <w:color w:val="auto"/>
          <w:kern w:val="0"/>
          <w:sz w:val="22"/>
          <w:highlight w:val="none"/>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3.5.2</w:t>
      </w:r>
      <w:r>
        <w:rPr>
          <w:rFonts w:hint="eastAsia" w:ascii="宋体" w:hAnsi="宋体" w:cs="Calibri"/>
          <w:color w:val="auto"/>
          <w:kern w:val="0"/>
          <w:sz w:val="22"/>
          <w:highlight w:val="none"/>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3.5.3投标人如有下列情形之一的，投标保证金将不予退还：</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（1）投标人在规定的投标有效期内撤销或修改其投标文件；</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kern w:val="0"/>
          <w:sz w:val="22"/>
          <w:highlight w:val="none"/>
        </w:rPr>
        <w:t>（2）中标人在收到中标通知书后，</w:t>
      </w:r>
      <w:r>
        <w:rPr>
          <w:rFonts w:ascii="宋体" w:hAnsi="宋体" w:cs="Calibri"/>
          <w:color w:val="auto"/>
          <w:sz w:val="22"/>
          <w:highlight w:val="none"/>
        </w:rPr>
        <w:t>无正当理由拒签合同协议书或未按招标文件规定提交履约担保，或因投标人在投标文件中未如实填报或隐瞒不报投标人的行贿犯罪记录导致取消中标资格的；</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w:t>
      </w:r>
      <w:r>
        <w:rPr>
          <w:rFonts w:hint="eastAsia" w:ascii="宋体" w:hAnsi="宋体" w:cs="Calibri"/>
          <w:color w:val="auto"/>
          <w:kern w:val="0"/>
          <w:sz w:val="22"/>
          <w:highlight w:val="none"/>
        </w:rPr>
        <w:t>3</w:t>
      </w:r>
      <w:r>
        <w:rPr>
          <w:rFonts w:ascii="宋体" w:hAnsi="宋体" w:cs="Calibri"/>
          <w:color w:val="auto"/>
          <w:kern w:val="0"/>
          <w:sz w:val="22"/>
          <w:highlight w:val="none"/>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color w:val="auto"/>
          <w:kern w:val="0"/>
          <w:sz w:val="22"/>
          <w:highlight w:val="none"/>
        </w:rPr>
      </w:pPr>
      <w:bookmarkStart w:id="29" w:name="_Toc29989"/>
      <w:r>
        <w:rPr>
          <w:rFonts w:ascii="宋体" w:hAnsi="宋体" w:cs="Calibri"/>
          <w:b/>
          <w:bCs/>
          <w:color w:val="auto"/>
          <w:kern w:val="0"/>
          <w:sz w:val="22"/>
          <w:highlight w:val="none"/>
        </w:rPr>
        <w:t>3.6 投标文件的编制</w:t>
      </w:r>
      <w:bookmarkEnd w:id="29"/>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3.6.1 投标文件应按本须知第3.2款规定的内容和第</w:t>
      </w:r>
      <w:r>
        <w:rPr>
          <w:rFonts w:hint="eastAsia" w:ascii="宋体" w:hAnsi="宋体" w:cs="Calibri"/>
          <w:color w:val="auto"/>
          <w:sz w:val="22"/>
          <w:highlight w:val="none"/>
        </w:rPr>
        <w:t>七</w:t>
      </w:r>
      <w:r>
        <w:rPr>
          <w:rFonts w:ascii="宋体" w:hAnsi="宋体" w:cs="Calibri"/>
          <w:color w:val="auto"/>
          <w:sz w:val="22"/>
          <w:highlight w:val="none"/>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sz w:val="22"/>
          <w:highlight w:val="none"/>
        </w:rPr>
        <w:t xml:space="preserve">3.6.2 </w:t>
      </w:r>
      <w:r>
        <w:rPr>
          <w:rFonts w:ascii="宋体" w:hAnsi="宋体" w:cs="Calibri"/>
          <w:color w:val="auto"/>
          <w:kern w:val="0"/>
          <w:sz w:val="22"/>
          <w:highlight w:val="none"/>
        </w:rPr>
        <w:t>投标文件应对招标文件有关工期、投标有效期、招标</w:t>
      </w:r>
      <w:r>
        <w:rPr>
          <w:rFonts w:hint="eastAsia" w:ascii="宋体" w:hAnsi="宋体" w:cs="Calibri"/>
          <w:color w:val="auto"/>
          <w:kern w:val="0"/>
          <w:sz w:val="22"/>
          <w:highlight w:val="none"/>
        </w:rPr>
        <w:t>内容</w:t>
      </w:r>
      <w:r>
        <w:rPr>
          <w:rFonts w:ascii="宋体" w:hAnsi="宋体" w:cs="Calibri"/>
          <w:color w:val="auto"/>
          <w:kern w:val="0"/>
          <w:sz w:val="22"/>
          <w:highlight w:val="none"/>
        </w:rPr>
        <w:t>等实质性内容作出响应。</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color w:val="auto"/>
          <w:kern w:val="0"/>
          <w:sz w:val="22"/>
          <w:highlight w:val="none"/>
        </w:rPr>
        <w:t>签字或盖章的具体要求见投标人须知前附表。</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3.6.4投标文件正本一份， 副本份数见投标人须知前附表。正本、副本的封面上应清楚地标记</w:t>
      </w:r>
      <w:r>
        <w:rPr>
          <w:rFonts w:ascii="宋体" w:hAnsi="宋体" w:cs="Calibri"/>
          <w:b/>
          <w:bCs/>
          <w:color w:val="auto"/>
          <w:sz w:val="22"/>
          <w:highlight w:val="none"/>
        </w:rPr>
        <w:t>“正本</w:t>
      </w:r>
      <w:r>
        <w:rPr>
          <w:rFonts w:ascii="宋体" w:hAnsi="宋体" w:cs="Calibri"/>
          <w:color w:val="auto"/>
          <w:sz w:val="22"/>
          <w:highlight w:val="none"/>
        </w:rPr>
        <w:t>”或“</w:t>
      </w:r>
      <w:r>
        <w:rPr>
          <w:rFonts w:ascii="宋体" w:hAnsi="宋体" w:cs="Calibri"/>
          <w:b/>
          <w:bCs/>
          <w:color w:val="auto"/>
          <w:sz w:val="22"/>
          <w:highlight w:val="none"/>
        </w:rPr>
        <w:t>副本</w:t>
      </w:r>
      <w:r>
        <w:rPr>
          <w:rFonts w:ascii="宋体" w:hAnsi="宋体" w:cs="Calibri"/>
          <w:color w:val="auto"/>
          <w:sz w:val="22"/>
          <w:highlight w:val="none"/>
        </w:rPr>
        <w:t>”的字样。当副本和正本不一致时，以正本为准。</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3.6.5投标文件的正本与副本应分别按A4规格装订成册，具体装订要求见投标人须知前附表规定。</w:t>
      </w:r>
      <w:bookmarkStart w:id="30" w:name="_Toc143421659"/>
    </w:p>
    <w:p>
      <w:pPr>
        <w:autoSpaceDE w:val="0"/>
        <w:autoSpaceDN w:val="0"/>
        <w:adjustRightInd w:val="0"/>
        <w:snapToGrid w:val="0"/>
        <w:spacing w:line="360" w:lineRule="exact"/>
        <w:rPr>
          <w:rFonts w:ascii="宋体" w:hAnsi="宋体" w:cs="Calibri"/>
          <w:b/>
          <w:bCs/>
          <w:color w:val="auto"/>
          <w:kern w:val="0"/>
          <w:sz w:val="22"/>
          <w:highlight w:val="none"/>
        </w:rPr>
      </w:pPr>
      <w:bookmarkStart w:id="31" w:name="_Toc32652"/>
      <w:r>
        <w:rPr>
          <w:rFonts w:ascii="宋体" w:hAnsi="宋体" w:cs="Calibri"/>
          <w:b/>
          <w:bCs/>
          <w:color w:val="auto"/>
          <w:kern w:val="0"/>
          <w:sz w:val="22"/>
          <w:highlight w:val="none"/>
        </w:rPr>
        <w:t>4.投标</w:t>
      </w:r>
      <w:bookmarkEnd w:id="30"/>
      <w:bookmarkEnd w:id="31"/>
    </w:p>
    <w:p>
      <w:pPr>
        <w:autoSpaceDE w:val="0"/>
        <w:autoSpaceDN w:val="0"/>
        <w:adjustRightInd w:val="0"/>
        <w:snapToGrid w:val="0"/>
        <w:spacing w:line="360" w:lineRule="exact"/>
        <w:rPr>
          <w:rFonts w:ascii="宋体" w:hAnsi="宋体" w:cs="Calibri"/>
          <w:b/>
          <w:bCs/>
          <w:color w:val="auto"/>
          <w:kern w:val="0"/>
          <w:sz w:val="22"/>
          <w:highlight w:val="none"/>
        </w:rPr>
      </w:pPr>
      <w:bookmarkStart w:id="32" w:name="_Toc649"/>
      <w:r>
        <w:rPr>
          <w:rFonts w:ascii="宋体" w:hAnsi="宋体" w:cs="Calibri"/>
          <w:b/>
          <w:bCs/>
          <w:color w:val="auto"/>
          <w:kern w:val="0"/>
          <w:sz w:val="22"/>
          <w:highlight w:val="none"/>
        </w:rPr>
        <w:t>4.1 投标文件的密封和标识</w:t>
      </w:r>
      <w:bookmarkEnd w:id="32"/>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sz w:val="22"/>
          <w:highlight w:val="none"/>
        </w:rPr>
        <w:t>4.1.1</w:t>
      </w:r>
      <w:r>
        <w:rPr>
          <w:rFonts w:ascii="宋体" w:hAnsi="宋体" w:cs="Calibri"/>
          <w:color w:val="auto"/>
          <w:kern w:val="0"/>
          <w:sz w:val="22"/>
          <w:highlight w:val="none"/>
        </w:rPr>
        <w:t>投标文件的正本、副本及电子文档可一同</w:t>
      </w:r>
      <w:r>
        <w:rPr>
          <w:rFonts w:hint="eastAsia" w:ascii="宋体" w:hAnsi="宋体" w:cs="Calibri"/>
          <w:color w:val="auto"/>
          <w:kern w:val="0"/>
          <w:sz w:val="22"/>
          <w:highlight w:val="none"/>
        </w:rPr>
        <w:t>密封</w:t>
      </w:r>
      <w:r>
        <w:rPr>
          <w:rFonts w:ascii="宋体" w:hAnsi="宋体" w:cs="Calibri"/>
          <w:color w:val="auto"/>
          <w:kern w:val="0"/>
          <w:sz w:val="22"/>
          <w:highlight w:val="none"/>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4.1.3 未按本章第4.1.1项或第4.1.2项要求密封和加写标记的投标文件，招标人不予受理。</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4.1.</w:t>
      </w:r>
      <w:r>
        <w:rPr>
          <w:rFonts w:hint="eastAsia" w:ascii="宋体" w:hAnsi="宋体" w:cs="Calibri"/>
          <w:color w:val="auto"/>
          <w:kern w:val="0"/>
          <w:sz w:val="22"/>
          <w:highlight w:val="none"/>
        </w:rPr>
        <w:t>4</w:t>
      </w:r>
      <w:r>
        <w:rPr>
          <w:rFonts w:ascii="宋体" w:hAnsi="宋体" w:cs="Calibri"/>
          <w:color w:val="auto"/>
          <w:sz w:val="22"/>
          <w:highlight w:val="none"/>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color w:val="auto"/>
          <w:kern w:val="0"/>
          <w:sz w:val="22"/>
          <w:highlight w:val="none"/>
        </w:rPr>
      </w:pPr>
      <w:bookmarkStart w:id="33" w:name="_Toc16616"/>
      <w:r>
        <w:rPr>
          <w:rFonts w:ascii="宋体" w:hAnsi="宋体" w:cs="Calibri"/>
          <w:b/>
          <w:bCs/>
          <w:color w:val="auto"/>
          <w:kern w:val="0"/>
          <w:sz w:val="22"/>
          <w:highlight w:val="none"/>
        </w:rPr>
        <w:t xml:space="preserve">4.2 投标文件的递交 </w:t>
      </w:r>
      <w:bookmarkEnd w:id="33"/>
    </w:p>
    <w:p>
      <w:pPr>
        <w:autoSpaceDE w:val="0"/>
        <w:autoSpaceDN w:val="0"/>
        <w:adjustRightInd w:val="0"/>
        <w:snapToGrid w:val="0"/>
        <w:spacing w:line="360" w:lineRule="exact"/>
        <w:ind w:firstLine="476"/>
        <w:rPr>
          <w:rFonts w:ascii="宋体" w:hAnsi="宋体" w:cs="Calibri"/>
          <w:b/>
          <w:bCs/>
          <w:color w:val="auto"/>
          <w:kern w:val="0"/>
          <w:sz w:val="22"/>
          <w:highlight w:val="none"/>
        </w:rPr>
      </w:pPr>
      <w:r>
        <w:rPr>
          <w:rFonts w:ascii="宋体" w:hAnsi="宋体" w:cs="Calibri"/>
          <w:b/>
          <w:bCs/>
          <w:color w:val="auto"/>
          <w:kern w:val="0"/>
          <w:sz w:val="22"/>
          <w:highlight w:val="none"/>
        </w:rPr>
        <w:t>4.2.1投标人应在本须知前附表规定的投标截止时间前递交投标文件。</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4.2.2投标人送达投标文件的地点：见投标人须知前附表。</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4.2.3除投标人须知前附表另有规定外，投标人所递交的投标文件不予退还。</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4.2.</w:t>
      </w:r>
      <w:r>
        <w:rPr>
          <w:rFonts w:hint="eastAsia" w:ascii="宋体" w:hAnsi="宋体" w:cs="Calibri"/>
          <w:color w:val="auto"/>
          <w:sz w:val="22"/>
          <w:highlight w:val="none"/>
        </w:rPr>
        <w:t>4</w:t>
      </w:r>
      <w:r>
        <w:rPr>
          <w:rFonts w:ascii="宋体" w:hAnsi="宋体" w:cs="Calibri"/>
          <w:color w:val="auto"/>
          <w:sz w:val="22"/>
          <w:highlight w:val="none"/>
        </w:rPr>
        <w:t>逾期送达的或者未送达指定地点的投标文件，招标人不予受理。</w:t>
      </w:r>
    </w:p>
    <w:p>
      <w:pPr>
        <w:autoSpaceDE w:val="0"/>
        <w:autoSpaceDN w:val="0"/>
        <w:adjustRightInd w:val="0"/>
        <w:snapToGrid w:val="0"/>
        <w:spacing w:line="360" w:lineRule="exact"/>
        <w:rPr>
          <w:rFonts w:ascii="宋体" w:hAnsi="宋体" w:cs="Calibri"/>
          <w:b/>
          <w:bCs/>
          <w:color w:val="auto"/>
          <w:kern w:val="0"/>
          <w:sz w:val="22"/>
          <w:highlight w:val="none"/>
        </w:rPr>
      </w:pPr>
      <w:bookmarkStart w:id="34" w:name="_Toc26099"/>
      <w:r>
        <w:rPr>
          <w:rFonts w:ascii="宋体" w:hAnsi="宋体" w:cs="Calibri"/>
          <w:b/>
          <w:bCs/>
          <w:color w:val="auto"/>
          <w:kern w:val="0"/>
          <w:sz w:val="22"/>
          <w:highlight w:val="none"/>
        </w:rPr>
        <w:t>4.3 投标文件的修改和撤回</w:t>
      </w:r>
      <w:bookmarkEnd w:id="34"/>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color w:val="auto"/>
          <w:kern w:val="0"/>
          <w:sz w:val="22"/>
          <w:highlight w:val="none"/>
        </w:rPr>
      </w:pPr>
      <w:bookmarkStart w:id="35" w:name="_Toc29641"/>
      <w:r>
        <w:rPr>
          <w:rFonts w:ascii="宋体" w:hAnsi="宋体" w:cs="Calibri"/>
          <w:b/>
          <w:bCs/>
          <w:color w:val="auto"/>
          <w:kern w:val="0"/>
          <w:sz w:val="22"/>
          <w:highlight w:val="none"/>
        </w:rPr>
        <w:t>5.开标</w:t>
      </w:r>
      <w:bookmarkEnd w:id="35"/>
    </w:p>
    <w:p>
      <w:pPr>
        <w:autoSpaceDE w:val="0"/>
        <w:autoSpaceDN w:val="0"/>
        <w:adjustRightInd w:val="0"/>
        <w:snapToGrid w:val="0"/>
        <w:spacing w:line="360" w:lineRule="exact"/>
        <w:rPr>
          <w:rFonts w:ascii="宋体" w:hAnsi="宋体" w:cs="Calibri"/>
          <w:b/>
          <w:bCs/>
          <w:color w:val="auto"/>
          <w:kern w:val="0"/>
          <w:sz w:val="22"/>
          <w:highlight w:val="none"/>
        </w:rPr>
      </w:pPr>
      <w:bookmarkStart w:id="36" w:name="_Toc15123"/>
      <w:r>
        <w:rPr>
          <w:rFonts w:ascii="宋体" w:hAnsi="宋体" w:cs="Calibri"/>
          <w:b/>
          <w:bCs/>
          <w:color w:val="auto"/>
          <w:kern w:val="0"/>
          <w:sz w:val="22"/>
          <w:highlight w:val="none"/>
        </w:rPr>
        <w:t>5.1 开标时间和地点</w:t>
      </w:r>
      <w:bookmarkEnd w:id="36"/>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5.1.1招标人在投标人须知规定的投标截止时间（开标时间）和地点公开开标，并邀请所有投标人的法定代表人或其委托代理人准时参加</w:t>
      </w:r>
      <w:r>
        <w:rPr>
          <w:rFonts w:hint="eastAsia" w:ascii="宋体" w:hAnsi="宋体" w:cs="Calibri"/>
          <w:color w:val="auto"/>
          <w:sz w:val="22"/>
          <w:highlight w:val="none"/>
        </w:rPr>
        <w:t>，参加开标的代表应签名报到以证明其出席，未参加开标的投标人视作默认开标结果。</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5.1.2投标人在投标时应随身携带下列资料提交招标</w:t>
      </w:r>
      <w:r>
        <w:rPr>
          <w:rFonts w:hint="eastAsia" w:ascii="宋体" w:hAnsi="宋体" w:cs="Calibri"/>
          <w:color w:val="auto"/>
          <w:sz w:val="22"/>
          <w:highlight w:val="none"/>
        </w:rPr>
        <w:t>人</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（1）委托代理人的身份证、法定代表人授权委托书</w:t>
      </w:r>
      <w:r>
        <w:rPr>
          <w:rFonts w:hint="eastAsia" w:ascii="宋体" w:hAnsi="宋体" w:cs="Calibri"/>
          <w:color w:val="auto"/>
          <w:sz w:val="22"/>
          <w:highlight w:val="none"/>
        </w:rPr>
        <w:t>（装订在投标文件内亦可）</w:t>
      </w:r>
      <w:r>
        <w:rPr>
          <w:rFonts w:ascii="宋体" w:hAnsi="宋体" w:cs="Calibri"/>
          <w:color w:val="auto"/>
          <w:sz w:val="22"/>
          <w:highlight w:val="none"/>
        </w:rPr>
        <w:t>；</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（2）投标保证金收执证明或汇款凭证或银行回单</w:t>
      </w:r>
      <w:r>
        <w:rPr>
          <w:rFonts w:hint="eastAsia" w:ascii="宋体" w:hAnsi="宋体" w:cs="Calibri"/>
          <w:color w:val="auto"/>
          <w:sz w:val="22"/>
          <w:highlight w:val="none"/>
        </w:rPr>
        <w:t>（装订在投标文件内亦可）</w:t>
      </w:r>
      <w:r>
        <w:rPr>
          <w:rFonts w:ascii="宋体" w:hAnsi="宋体" w:cs="Calibri"/>
          <w:color w:val="auto"/>
          <w:sz w:val="22"/>
          <w:highlight w:val="none"/>
        </w:rPr>
        <w:t>。</w:t>
      </w:r>
    </w:p>
    <w:p>
      <w:pPr>
        <w:autoSpaceDE w:val="0"/>
        <w:autoSpaceDN w:val="0"/>
        <w:adjustRightInd w:val="0"/>
        <w:snapToGrid w:val="0"/>
        <w:spacing w:line="360" w:lineRule="exact"/>
        <w:rPr>
          <w:rFonts w:ascii="宋体" w:hAnsi="宋体" w:cs="Calibri"/>
          <w:b/>
          <w:bCs/>
          <w:color w:val="auto"/>
          <w:kern w:val="0"/>
          <w:sz w:val="22"/>
          <w:highlight w:val="none"/>
        </w:rPr>
      </w:pPr>
      <w:bookmarkStart w:id="37" w:name="_Toc7101"/>
      <w:r>
        <w:rPr>
          <w:rFonts w:ascii="宋体" w:hAnsi="宋体" w:cs="Calibri"/>
          <w:b/>
          <w:bCs/>
          <w:color w:val="auto"/>
          <w:kern w:val="0"/>
          <w:sz w:val="22"/>
          <w:highlight w:val="none"/>
        </w:rPr>
        <w:t>5.2 开标程序</w:t>
      </w:r>
      <w:bookmarkEnd w:id="37"/>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主持人按下列程序进行开标：</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（1）宣布开标纪律；</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（2）公布在投标截止时间前递交投标文件的投标人名称，并点名确认投标人是否派人到场；</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（3）宣布开标人、唱标人、记录人、监标人等有关人员姓名；</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（4）按照投标人须知前附表规定检查投标文件的密封情况；</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（5）按照投标人须知前附表的规定确定并宣布投标文件开标顺序；</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（6）</w:t>
      </w:r>
      <w:r>
        <w:rPr>
          <w:rFonts w:ascii="宋体" w:hAnsi="宋体" w:cs="Calibri"/>
          <w:color w:val="auto"/>
          <w:sz w:val="22"/>
          <w:highlight w:val="none"/>
        </w:rPr>
        <w:t>按照宣布的开标顺序当众开标，公布投标人名称、投标保证金的递交情况、投标报价、工期</w:t>
      </w:r>
      <w:r>
        <w:rPr>
          <w:rFonts w:hint="eastAsia" w:ascii="宋体" w:hAnsi="宋体" w:cs="Calibri"/>
          <w:color w:val="auto"/>
          <w:sz w:val="22"/>
          <w:highlight w:val="none"/>
        </w:rPr>
        <w:t>、质量目标</w:t>
      </w:r>
      <w:r>
        <w:rPr>
          <w:rFonts w:ascii="宋体" w:hAnsi="宋体" w:cs="Calibri"/>
          <w:color w:val="auto"/>
          <w:sz w:val="22"/>
          <w:highlight w:val="none"/>
        </w:rPr>
        <w:t>及其他内容，并记录在案；</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（7）投标人代表、招标人代表、监标人、记录人等有关人员在开标记录上签字确认；</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（8）开标结束。</w:t>
      </w:r>
    </w:p>
    <w:p>
      <w:pPr>
        <w:autoSpaceDE w:val="0"/>
        <w:autoSpaceDN w:val="0"/>
        <w:adjustRightInd w:val="0"/>
        <w:snapToGrid w:val="0"/>
        <w:spacing w:line="360" w:lineRule="exact"/>
        <w:rPr>
          <w:rFonts w:ascii="宋体" w:hAnsi="宋体" w:cs="Calibri"/>
          <w:b/>
          <w:bCs/>
          <w:color w:val="auto"/>
          <w:kern w:val="0"/>
          <w:sz w:val="22"/>
          <w:highlight w:val="none"/>
        </w:rPr>
      </w:pPr>
      <w:bookmarkStart w:id="38" w:name="_Toc31578"/>
      <w:r>
        <w:rPr>
          <w:rFonts w:ascii="宋体" w:hAnsi="宋体" w:cs="Calibri"/>
          <w:b/>
          <w:bCs/>
          <w:color w:val="auto"/>
          <w:kern w:val="0"/>
          <w:sz w:val="22"/>
          <w:highlight w:val="none"/>
        </w:rPr>
        <w:t>6.评标</w:t>
      </w:r>
      <w:bookmarkEnd w:id="38"/>
    </w:p>
    <w:p>
      <w:pPr>
        <w:autoSpaceDE w:val="0"/>
        <w:autoSpaceDN w:val="0"/>
        <w:adjustRightInd w:val="0"/>
        <w:snapToGrid w:val="0"/>
        <w:spacing w:line="360" w:lineRule="exact"/>
        <w:rPr>
          <w:rFonts w:ascii="宋体" w:hAnsi="宋体" w:cs="Calibri"/>
          <w:b/>
          <w:bCs/>
          <w:color w:val="auto"/>
          <w:kern w:val="0"/>
          <w:sz w:val="22"/>
          <w:highlight w:val="none"/>
        </w:rPr>
      </w:pPr>
      <w:bookmarkStart w:id="39" w:name="_Toc10279"/>
      <w:r>
        <w:rPr>
          <w:rFonts w:ascii="宋体" w:hAnsi="宋体" w:cs="Calibri"/>
          <w:b/>
          <w:bCs/>
          <w:color w:val="auto"/>
          <w:kern w:val="0"/>
          <w:sz w:val="22"/>
          <w:highlight w:val="none"/>
        </w:rPr>
        <w:t>6.1 评标委员会</w:t>
      </w:r>
      <w:bookmarkEnd w:id="39"/>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6.1.2评标委员会成员有下列情形之一的，应当回避：</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（1）招标人或投标人的主要负责人的近亲属；</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（2）项目主管部门或者行政监督部门的人员；</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（3）与投标人有经济利益关系，可能影响对投标公正评审的；</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color w:val="auto"/>
          <w:kern w:val="0"/>
          <w:sz w:val="22"/>
          <w:highlight w:val="none"/>
        </w:rPr>
      </w:pPr>
      <w:bookmarkStart w:id="40" w:name="_Toc3460"/>
      <w:r>
        <w:rPr>
          <w:rFonts w:ascii="宋体" w:hAnsi="宋体" w:cs="Calibri"/>
          <w:b/>
          <w:bCs/>
          <w:color w:val="auto"/>
          <w:kern w:val="0"/>
          <w:sz w:val="22"/>
          <w:highlight w:val="none"/>
        </w:rPr>
        <w:t>6.2 评标原则</w:t>
      </w:r>
      <w:bookmarkEnd w:id="40"/>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评标活动遵循公平、公正、科学和择优的原则。</w:t>
      </w:r>
    </w:p>
    <w:p>
      <w:pPr>
        <w:autoSpaceDE w:val="0"/>
        <w:autoSpaceDN w:val="0"/>
        <w:adjustRightInd w:val="0"/>
        <w:snapToGrid w:val="0"/>
        <w:spacing w:line="360" w:lineRule="exact"/>
        <w:rPr>
          <w:rFonts w:ascii="宋体" w:hAnsi="宋体" w:cs="Calibri"/>
          <w:b/>
          <w:bCs/>
          <w:color w:val="auto"/>
          <w:kern w:val="0"/>
          <w:sz w:val="22"/>
          <w:highlight w:val="none"/>
        </w:rPr>
      </w:pPr>
      <w:bookmarkStart w:id="41" w:name="_Toc28178"/>
      <w:r>
        <w:rPr>
          <w:rFonts w:ascii="宋体" w:hAnsi="宋体" w:cs="Calibri"/>
          <w:b/>
          <w:bCs/>
          <w:color w:val="auto"/>
          <w:kern w:val="0"/>
          <w:sz w:val="22"/>
          <w:highlight w:val="none"/>
        </w:rPr>
        <w:t>6.3 评标</w:t>
      </w:r>
      <w:bookmarkEnd w:id="41"/>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评标委员会按照第</w:t>
      </w:r>
      <w:r>
        <w:rPr>
          <w:rFonts w:hint="eastAsia" w:ascii="宋体" w:hAnsi="宋体" w:cs="Calibri"/>
          <w:color w:val="auto"/>
          <w:kern w:val="0"/>
          <w:sz w:val="22"/>
          <w:highlight w:val="none"/>
        </w:rPr>
        <w:t>六</w:t>
      </w:r>
      <w:r>
        <w:rPr>
          <w:rFonts w:ascii="宋体" w:hAnsi="宋体" w:cs="Calibri"/>
          <w:color w:val="auto"/>
          <w:kern w:val="0"/>
          <w:sz w:val="22"/>
          <w:highlight w:val="none"/>
        </w:rPr>
        <w:t>章“评标方法及标准”对投标文件进行评审。第</w:t>
      </w:r>
      <w:r>
        <w:rPr>
          <w:rFonts w:hint="eastAsia" w:ascii="宋体" w:hAnsi="宋体" w:cs="Calibri"/>
          <w:color w:val="auto"/>
          <w:kern w:val="0"/>
          <w:sz w:val="22"/>
          <w:highlight w:val="none"/>
        </w:rPr>
        <w:t>六</w:t>
      </w:r>
      <w:r>
        <w:rPr>
          <w:rFonts w:ascii="宋体" w:hAnsi="宋体" w:cs="Calibri"/>
          <w:color w:val="auto"/>
          <w:kern w:val="0"/>
          <w:sz w:val="22"/>
          <w:highlight w:val="none"/>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color w:val="auto"/>
          <w:kern w:val="0"/>
          <w:sz w:val="22"/>
          <w:highlight w:val="none"/>
        </w:rPr>
      </w:pPr>
      <w:bookmarkStart w:id="42" w:name="_Toc24237"/>
      <w:r>
        <w:rPr>
          <w:rFonts w:ascii="宋体" w:hAnsi="宋体" w:cs="Calibri"/>
          <w:b/>
          <w:bCs/>
          <w:color w:val="auto"/>
          <w:kern w:val="0"/>
          <w:sz w:val="22"/>
          <w:highlight w:val="none"/>
        </w:rPr>
        <w:t>7.合同授予</w:t>
      </w:r>
      <w:bookmarkEnd w:id="42"/>
    </w:p>
    <w:p>
      <w:pPr>
        <w:autoSpaceDE w:val="0"/>
        <w:autoSpaceDN w:val="0"/>
        <w:adjustRightInd w:val="0"/>
        <w:snapToGrid w:val="0"/>
        <w:spacing w:line="360" w:lineRule="exact"/>
        <w:rPr>
          <w:rFonts w:ascii="宋体" w:hAnsi="宋体" w:cs="Calibri"/>
          <w:b/>
          <w:bCs/>
          <w:color w:val="auto"/>
          <w:kern w:val="0"/>
          <w:sz w:val="22"/>
          <w:highlight w:val="none"/>
        </w:rPr>
      </w:pPr>
      <w:bookmarkStart w:id="43" w:name="_Toc18809"/>
      <w:r>
        <w:rPr>
          <w:rFonts w:ascii="宋体" w:hAnsi="宋体" w:cs="Calibri"/>
          <w:b/>
          <w:bCs/>
          <w:color w:val="auto"/>
          <w:kern w:val="0"/>
          <w:sz w:val="22"/>
          <w:highlight w:val="none"/>
        </w:rPr>
        <w:t>7.1 定标方式</w:t>
      </w:r>
      <w:bookmarkEnd w:id="43"/>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color w:val="auto"/>
          <w:kern w:val="0"/>
          <w:sz w:val="22"/>
          <w:highlight w:val="none"/>
        </w:rPr>
      </w:pPr>
      <w:bookmarkStart w:id="44" w:name="_Toc14573"/>
      <w:r>
        <w:rPr>
          <w:rFonts w:ascii="宋体" w:hAnsi="宋体" w:cs="Calibri"/>
          <w:b/>
          <w:bCs/>
          <w:color w:val="auto"/>
          <w:kern w:val="0"/>
          <w:sz w:val="22"/>
          <w:highlight w:val="none"/>
        </w:rPr>
        <w:t>7.2 中标通知</w:t>
      </w:r>
      <w:bookmarkEnd w:id="44"/>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color w:val="auto"/>
          <w:kern w:val="0"/>
          <w:sz w:val="22"/>
          <w:highlight w:val="none"/>
        </w:rPr>
      </w:pPr>
      <w:bookmarkStart w:id="45" w:name="_Toc27132"/>
      <w:r>
        <w:rPr>
          <w:rFonts w:ascii="宋体" w:hAnsi="宋体" w:cs="Calibri"/>
          <w:b/>
          <w:bCs/>
          <w:color w:val="auto"/>
          <w:kern w:val="0"/>
          <w:sz w:val="22"/>
          <w:highlight w:val="none"/>
        </w:rPr>
        <w:t>7.3 履约</w:t>
      </w:r>
      <w:r>
        <w:rPr>
          <w:rFonts w:hint="eastAsia" w:ascii="宋体" w:hAnsi="宋体" w:cs="Calibri"/>
          <w:b/>
          <w:bCs/>
          <w:color w:val="auto"/>
          <w:kern w:val="0"/>
          <w:sz w:val="22"/>
          <w:highlight w:val="none"/>
        </w:rPr>
        <w:t>保证金</w:t>
      </w:r>
      <w:bookmarkEnd w:id="45"/>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7.3.1在签订合同前，中标人应按投标人须知前附表规定的金额</w:t>
      </w:r>
      <w:r>
        <w:rPr>
          <w:rFonts w:hint="eastAsia" w:ascii="宋体" w:hAnsi="宋体" w:cs="Calibri"/>
          <w:color w:val="auto"/>
          <w:kern w:val="0"/>
          <w:sz w:val="22"/>
          <w:highlight w:val="none"/>
        </w:rPr>
        <w:t>和</w:t>
      </w:r>
      <w:r>
        <w:rPr>
          <w:rFonts w:ascii="宋体" w:hAnsi="宋体" w:cs="Calibri"/>
          <w:color w:val="auto"/>
          <w:kern w:val="0"/>
          <w:sz w:val="22"/>
          <w:highlight w:val="none"/>
        </w:rPr>
        <w:t>担保形式向招标人提交履约</w:t>
      </w:r>
      <w:r>
        <w:rPr>
          <w:rFonts w:hint="eastAsia" w:ascii="宋体" w:hAnsi="宋体" w:cs="Calibri"/>
          <w:color w:val="auto"/>
          <w:kern w:val="0"/>
          <w:sz w:val="22"/>
          <w:highlight w:val="none"/>
        </w:rPr>
        <w:t>保证金</w:t>
      </w:r>
      <w:r>
        <w:rPr>
          <w:rFonts w:ascii="宋体" w:hAnsi="宋体" w:cs="Calibri"/>
          <w:color w:val="auto"/>
          <w:kern w:val="0"/>
          <w:sz w:val="22"/>
          <w:highlight w:val="none"/>
        </w:rPr>
        <w:t>。</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7.3.2 中标人不能按本章第7.3.1项要求提交履约</w:t>
      </w:r>
      <w:r>
        <w:rPr>
          <w:rFonts w:hint="eastAsia" w:ascii="宋体" w:hAnsi="宋体" w:cs="Calibri"/>
          <w:color w:val="auto"/>
          <w:kern w:val="0"/>
          <w:sz w:val="22"/>
          <w:highlight w:val="none"/>
        </w:rPr>
        <w:t>保证金</w:t>
      </w:r>
      <w:r>
        <w:rPr>
          <w:rFonts w:ascii="宋体" w:hAnsi="宋体" w:cs="Calibri"/>
          <w:color w:val="auto"/>
          <w:kern w:val="0"/>
          <w:sz w:val="22"/>
          <w:highlight w:val="none"/>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color w:val="auto"/>
          <w:kern w:val="0"/>
          <w:sz w:val="22"/>
          <w:highlight w:val="none"/>
        </w:rPr>
      </w:pPr>
      <w:bookmarkStart w:id="46" w:name="_Toc27581"/>
      <w:r>
        <w:rPr>
          <w:rFonts w:ascii="宋体" w:hAnsi="宋体" w:cs="Calibri"/>
          <w:b/>
          <w:bCs/>
          <w:color w:val="auto"/>
          <w:kern w:val="0"/>
          <w:sz w:val="22"/>
          <w:highlight w:val="none"/>
        </w:rPr>
        <w:t>7.4 签订合同</w:t>
      </w:r>
      <w:bookmarkEnd w:id="46"/>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sz w:val="22"/>
          <w:highlight w:val="none"/>
        </w:rPr>
        <w:t>7</w:t>
      </w:r>
      <w:bookmarkStart w:id="47" w:name="_Toc11806"/>
      <w:bookmarkStart w:id="48" w:name="_Toc220123241"/>
      <w:bookmarkStart w:id="49" w:name="_Toc219809801"/>
      <w:r>
        <w:rPr>
          <w:rFonts w:ascii="宋体" w:hAnsi="宋体" w:cs="Calibri"/>
          <w:color w:val="auto"/>
          <w:kern w:val="0"/>
          <w:sz w:val="22"/>
          <w:highlight w:val="none"/>
        </w:rPr>
        <w:t>.4.1招标人和中标人应当自中标通知书发出之日起30个工作日内订立书面</w:t>
      </w:r>
      <w:r>
        <w:rPr>
          <w:rFonts w:hint="eastAsia" w:ascii="宋体" w:hAnsi="宋体" w:cs="Calibri"/>
          <w:color w:val="auto"/>
          <w:kern w:val="0"/>
          <w:sz w:val="22"/>
          <w:highlight w:val="none"/>
        </w:rPr>
        <w:t>合同</w:t>
      </w:r>
      <w:r>
        <w:rPr>
          <w:rFonts w:ascii="宋体" w:hAnsi="宋体" w:cs="Calibri"/>
          <w:color w:val="auto"/>
          <w:kern w:val="0"/>
          <w:sz w:val="22"/>
          <w:highlight w:val="none"/>
        </w:rPr>
        <w:t>（合同条款按第</w:t>
      </w:r>
      <w:r>
        <w:rPr>
          <w:rFonts w:hint="eastAsia" w:ascii="宋体" w:hAnsi="宋体" w:cs="Calibri"/>
          <w:color w:val="auto"/>
          <w:kern w:val="0"/>
          <w:sz w:val="22"/>
          <w:highlight w:val="none"/>
        </w:rPr>
        <w:t>三</w:t>
      </w:r>
      <w:r>
        <w:rPr>
          <w:rFonts w:ascii="宋体" w:hAnsi="宋体" w:cs="Calibri"/>
          <w:color w:val="auto"/>
          <w:kern w:val="0"/>
          <w:sz w:val="22"/>
          <w:highlight w:val="none"/>
        </w:rPr>
        <w:t>章</w:t>
      </w:r>
      <w:r>
        <w:rPr>
          <w:rFonts w:hint="eastAsia" w:ascii="宋体" w:hAnsi="宋体" w:cs="Calibri"/>
          <w:color w:val="auto"/>
          <w:kern w:val="0"/>
          <w:sz w:val="22"/>
          <w:highlight w:val="none"/>
        </w:rPr>
        <w:t>“</w:t>
      </w:r>
      <w:r>
        <w:rPr>
          <w:rFonts w:ascii="宋体" w:hAnsi="宋体" w:cs="Calibri"/>
          <w:color w:val="auto"/>
          <w:kern w:val="0"/>
          <w:sz w:val="22"/>
          <w:highlight w:val="none"/>
        </w:rPr>
        <w:t>合同条款</w:t>
      </w:r>
      <w:r>
        <w:rPr>
          <w:rFonts w:hint="eastAsia" w:ascii="宋体" w:hAnsi="宋体" w:cs="Calibri"/>
          <w:color w:val="auto"/>
          <w:kern w:val="0"/>
          <w:sz w:val="22"/>
          <w:highlight w:val="none"/>
        </w:rPr>
        <w:t>及格式”</w:t>
      </w:r>
      <w:r>
        <w:rPr>
          <w:rFonts w:ascii="宋体" w:hAnsi="宋体" w:cs="Calibri"/>
          <w:color w:val="auto"/>
          <w:kern w:val="0"/>
          <w:sz w:val="22"/>
          <w:highlight w:val="none"/>
        </w:rPr>
        <w:t>）。中标人无正当理由拒签</w:t>
      </w:r>
      <w:r>
        <w:rPr>
          <w:rFonts w:hint="eastAsia" w:ascii="宋体" w:hAnsi="宋体" w:cs="Calibri"/>
          <w:color w:val="auto"/>
          <w:kern w:val="0"/>
          <w:sz w:val="22"/>
          <w:highlight w:val="none"/>
        </w:rPr>
        <w:t>合同</w:t>
      </w:r>
      <w:r>
        <w:rPr>
          <w:rFonts w:ascii="宋体" w:hAnsi="宋体" w:cs="Calibri"/>
          <w:color w:val="auto"/>
          <w:kern w:val="0"/>
          <w:sz w:val="22"/>
          <w:highlight w:val="none"/>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7.4.2 发出中标通知书后，招标人无正当理由拒签合同的，招标人向中标人退还投标保证金；给中标人造成损失的，还应当赔偿损失。</w:t>
      </w:r>
    </w:p>
    <w:p>
      <w:pPr>
        <w:autoSpaceDE w:val="0"/>
        <w:autoSpaceDN w:val="0"/>
        <w:adjustRightInd w:val="0"/>
        <w:snapToGrid w:val="0"/>
        <w:spacing w:line="360" w:lineRule="exact"/>
        <w:rPr>
          <w:rFonts w:ascii="宋体" w:hAnsi="宋体" w:cs="Calibri"/>
          <w:b/>
          <w:bCs/>
          <w:color w:val="auto"/>
          <w:kern w:val="0"/>
          <w:sz w:val="22"/>
          <w:highlight w:val="none"/>
        </w:rPr>
      </w:pPr>
      <w:r>
        <w:rPr>
          <w:rFonts w:ascii="宋体" w:hAnsi="宋体" w:cs="Calibri"/>
          <w:b/>
          <w:bCs/>
          <w:color w:val="auto"/>
          <w:kern w:val="0"/>
          <w:sz w:val="22"/>
          <w:highlight w:val="none"/>
        </w:rPr>
        <w:t>8.重新招标和不再招标</w:t>
      </w:r>
      <w:bookmarkEnd w:id="47"/>
      <w:bookmarkEnd w:id="48"/>
      <w:bookmarkEnd w:id="49"/>
    </w:p>
    <w:p>
      <w:pPr>
        <w:autoSpaceDE w:val="0"/>
        <w:autoSpaceDN w:val="0"/>
        <w:adjustRightInd w:val="0"/>
        <w:snapToGrid w:val="0"/>
        <w:spacing w:line="360" w:lineRule="exact"/>
        <w:rPr>
          <w:rFonts w:ascii="宋体" w:hAnsi="宋体" w:cs="Calibri"/>
          <w:b/>
          <w:bCs/>
          <w:color w:val="auto"/>
          <w:kern w:val="0"/>
          <w:sz w:val="22"/>
          <w:highlight w:val="none"/>
        </w:rPr>
      </w:pPr>
      <w:bookmarkStart w:id="50" w:name="_Toc219809802"/>
      <w:bookmarkStart w:id="51" w:name="_Toc220123242"/>
      <w:bookmarkStart w:id="52" w:name="_Toc15553"/>
      <w:r>
        <w:rPr>
          <w:rFonts w:ascii="宋体" w:hAnsi="宋体" w:cs="Calibri"/>
          <w:b/>
          <w:bCs/>
          <w:color w:val="auto"/>
          <w:kern w:val="0"/>
          <w:sz w:val="22"/>
          <w:highlight w:val="none"/>
        </w:rPr>
        <w:t>8.1 重新招标</w:t>
      </w:r>
      <w:bookmarkEnd w:id="50"/>
      <w:bookmarkEnd w:id="51"/>
      <w:bookmarkEnd w:id="52"/>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有下列情形之一的，招标人将重新招标；</w:t>
      </w:r>
    </w:p>
    <w:p>
      <w:pPr>
        <w:adjustRightInd w:val="0"/>
        <w:snapToGrid w:val="0"/>
        <w:spacing w:line="360" w:lineRule="exact"/>
        <w:ind w:firstLine="440"/>
        <w:rPr>
          <w:rFonts w:ascii="宋体" w:hAnsi="宋体" w:cs="Calibri"/>
          <w:color w:val="auto"/>
          <w:kern w:val="0"/>
          <w:sz w:val="22"/>
          <w:highlight w:val="none"/>
        </w:rPr>
      </w:pPr>
      <w:r>
        <w:rPr>
          <w:rFonts w:ascii="宋体" w:hAnsi="宋体" w:cs="Calibri"/>
          <w:color w:val="auto"/>
          <w:kern w:val="0"/>
          <w:sz w:val="22"/>
          <w:highlight w:val="none"/>
        </w:rPr>
        <w:t>（1）投标截止时间止，投标人少于3个的；</w:t>
      </w:r>
    </w:p>
    <w:p>
      <w:pPr>
        <w:adjustRightInd w:val="0"/>
        <w:snapToGrid w:val="0"/>
        <w:spacing w:line="360" w:lineRule="exact"/>
        <w:ind w:firstLine="476"/>
        <w:rPr>
          <w:rFonts w:ascii="宋体" w:hAnsi="宋体" w:cs="Calibri"/>
          <w:b/>
          <w:color w:val="auto"/>
          <w:kern w:val="0"/>
          <w:sz w:val="22"/>
          <w:highlight w:val="none"/>
        </w:rPr>
      </w:pPr>
      <w:r>
        <w:rPr>
          <w:rFonts w:ascii="宋体" w:hAnsi="宋体" w:cs="Calibri"/>
          <w:b/>
          <w:color w:val="auto"/>
          <w:kern w:val="0"/>
          <w:sz w:val="22"/>
          <w:highlight w:val="none"/>
        </w:rPr>
        <w:t>（2）</w:t>
      </w:r>
      <w:r>
        <w:rPr>
          <w:rFonts w:hint="eastAsia" w:ascii="宋体" w:hAnsi="宋体" w:cs="Calibri"/>
          <w:b/>
          <w:color w:val="auto"/>
          <w:kern w:val="0"/>
          <w:sz w:val="22"/>
          <w:highlight w:val="none"/>
        </w:rPr>
        <w:t>所有投标人的报价均偏高，招标人无法接受的；</w:t>
      </w:r>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kern w:val="0"/>
          <w:sz w:val="22"/>
          <w:highlight w:val="none"/>
        </w:rPr>
        <w:t>（</w:t>
      </w:r>
      <w:r>
        <w:rPr>
          <w:rFonts w:hint="eastAsia" w:ascii="宋体" w:hAnsi="宋体" w:cs="Calibri"/>
          <w:color w:val="auto"/>
          <w:kern w:val="0"/>
          <w:sz w:val="22"/>
          <w:highlight w:val="none"/>
        </w:rPr>
        <w:t>3</w:t>
      </w:r>
      <w:r>
        <w:rPr>
          <w:rFonts w:ascii="宋体" w:hAnsi="宋体" w:cs="Calibri"/>
          <w:color w:val="auto"/>
          <w:kern w:val="0"/>
          <w:sz w:val="22"/>
          <w:highlight w:val="none"/>
        </w:rPr>
        <w:t>）经评标委员会评审后否决所有投标的。</w:t>
      </w:r>
    </w:p>
    <w:p>
      <w:pPr>
        <w:autoSpaceDE w:val="0"/>
        <w:autoSpaceDN w:val="0"/>
        <w:adjustRightInd w:val="0"/>
        <w:snapToGrid w:val="0"/>
        <w:spacing w:line="360" w:lineRule="exact"/>
        <w:rPr>
          <w:rFonts w:ascii="宋体" w:hAnsi="宋体" w:cs="Calibri"/>
          <w:b/>
          <w:bCs/>
          <w:color w:val="auto"/>
          <w:kern w:val="0"/>
          <w:sz w:val="22"/>
          <w:highlight w:val="none"/>
        </w:rPr>
      </w:pPr>
      <w:bookmarkStart w:id="53" w:name="_Toc219809803"/>
      <w:bookmarkStart w:id="54" w:name="_Toc220123243"/>
      <w:bookmarkStart w:id="55" w:name="_Toc18806"/>
      <w:r>
        <w:rPr>
          <w:rFonts w:ascii="宋体" w:hAnsi="宋体" w:cs="Calibri"/>
          <w:b/>
          <w:bCs/>
          <w:color w:val="auto"/>
          <w:kern w:val="0"/>
          <w:sz w:val="22"/>
          <w:highlight w:val="none"/>
        </w:rPr>
        <w:t>8.2 不再招标</w:t>
      </w:r>
      <w:bookmarkEnd w:id="53"/>
      <w:bookmarkEnd w:id="54"/>
      <w:bookmarkEnd w:id="55"/>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color w:val="auto"/>
          <w:kern w:val="0"/>
          <w:sz w:val="22"/>
          <w:highlight w:val="none"/>
        </w:rPr>
      </w:pPr>
      <w:bookmarkStart w:id="56" w:name="_Toc2986"/>
      <w:bookmarkStart w:id="57" w:name="_Toc220123244"/>
      <w:bookmarkStart w:id="58" w:name="_Toc219809804"/>
      <w:bookmarkStart w:id="59" w:name="_Toc215941254"/>
      <w:r>
        <w:rPr>
          <w:rFonts w:ascii="宋体" w:hAnsi="宋体" w:cs="Calibri"/>
          <w:b/>
          <w:bCs/>
          <w:color w:val="auto"/>
          <w:kern w:val="0"/>
          <w:sz w:val="22"/>
          <w:highlight w:val="none"/>
        </w:rPr>
        <w:t>9.纪律和监督</w:t>
      </w:r>
      <w:bookmarkEnd w:id="56"/>
      <w:bookmarkEnd w:id="57"/>
      <w:bookmarkEnd w:id="58"/>
      <w:bookmarkEnd w:id="59"/>
    </w:p>
    <w:p>
      <w:pPr>
        <w:autoSpaceDE w:val="0"/>
        <w:autoSpaceDN w:val="0"/>
        <w:adjustRightInd w:val="0"/>
        <w:snapToGrid w:val="0"/>
        <w:spacing w:line="360" w:lineRule="exact"/>
        <w:rPr>
          <w:rFonts w:ascii="宋体" w:hAnsi="宋体" w:cs="Calibri"/>
          <w:b/>
          <w:bCs/>
          <w:color w:val="auto"/>
          <w:kern w:val="0"/>
          <w:sz w:val="22"/>
          <w:highlight w:val="none"/>
        </w:rPr>
      </w:pPr>
      <w:bookmarkStart w:id="60" w:name="_Toc5509"/>
      <w:bookmarkStart w:id="61" w:name="_Toc220123245"/>
      <w:bookmarkStart w:id="62" w:name="_Toc219809805"/>
      <w:r>
        <w:rPr>
          <w:rFonts w:ascii="宋体" w:hAnsi="宋体" w:cs="Calibri"/>
          <w:b/>
          <w:bCs/>
          <w:color w:val="auto"/>
          <w:kern w:val="0"/>
          <w:sz w:val="22"/>
          <w:highlight w:val="none"/>
        </w:rPr>
        <w:t>9.1 对招标人的纪律要求</w:t>
      </w:r>
      <w:bookmarkEnd w:id="60"/>
      <w:bookmarkEnd w:id="61"/>
      <w:bookmarkEnd w:id="62"/>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color w:val="auto"/>
          <w:kern w:val="0"/>
          <w:sz w:val="22"/>
          <w:highlight w:val="none"/>
        </w:rPr>
      </w:pPr>
      <w:bookmarkStart w:id="63" w:name="_Toc10820"/>
      <w:bookmarkStart w:id="64" w:name="_Toc220123246"/>
      <w:bookmarkStart w:id="65" w:name="_Toc219809806"/>
      <w:r>
        <w:rPr>
          <w:rFonts w:ascii="宋体" w:hAnsi="宋体" w:cs="Calibri"/>
          <w:b/>
          <w:bCs/>
          <w:color w:val="auto"/>
          <w:kern w:val="0"/>
          <w:sz w:val="22"/>
          <w:highlight w:val="none"/>
        </w:rPr>
        <w:t>9.2 对投标人的纪律要求</w:t>
      </w:r>
      <w:bookmarkEnd w:id="63"/>
      <w:bookmarkEnd w:id="64"/>
      <w:bookmarkEnd w:id="65"/>
    </w:p>
    <w:p>
      <w:pPr>
        <w:adjustRightInd w:val="0"/>
        <w:snapToGrid w:val="0"/>
        <w:spacing w:line="360" w:lineRule="exact"/>
        <w:ind w:firstLine="440"/>
        <w:rPr>
          <w:rFonts w:hint="eastAsia" w:ascii="宋体" w:hAnsi="宋体" w:cs="Calibri"/>
          <w:color w:val="auto"/>
          <w:sz w:val="22"/>
          <w:highlight w:val="none"/>
        </w:rPr>
      </w:pPr>
      <w:r>
        <w:rPr>
          <w:rFonts w:ascii="宋体" w:hAnsi="宋体" w:cs="Calibri"/>
          <w:color w:val="auto"/>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auto"/>
          <w:sz w:val="22"/>
          <w:highlight w:val="none"/>
        </w:rPr>
      </w:pPr>
      <w:r>
        <w:rPr>
          <w:rFonts w:hint="eastAsia" w:ascii="宋体" w:hAnsi="宋体" w:cs="Calibri"/>
          <w:color w:val="auto"/>
          <w:sz w:val="22"/>
          <w:highlight w:val="none"/>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color w:val="auto"/>
          <w:kern w:val="0"/>
          <w:sz w:val="22"/>
          <w:highlight w:val="none"/>
        </w:rPr>
      </w:pPr>
      <w:bookmarkStart w:id="66" w:name="_Toc220123247"/>
      <w:bookmarkStart w:id="67" w:name="_Toc219809807"/>
      <w:bookmarkStart w:id="68" w:name="_Toc10756"/>
      <w:r>
        <w:rPr>
          <w:rFonts w:ascii="宋体" w:hAnsi="宋体" w:cs="Calibri"/>
          <w:b/>
          <w:bCs/>
          <w:color w:val="auto"/>
          <w:kern w:val="0"/>
          <w:sz w:val="22"/>
          <w:highlight w:val="none"/>
        </w:rPr>
        <w:t>9.3 对评标委员会成员的纪律要求</w:t>
      </w:r>
      <w:bookmarkEnd w:id="66"/>
      <w:bookmarkEnd w:id="67"/>
      <w:bookmarkEnd w:id="68"/>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auto"/>
          <w:sz w:val="22"/>
          <w:highlight w:val="none"/>
        </w:rPr>
        <w:t>六</w:t>
      </w:r>
      <w:r>
        <w:rPr>
          <w:rFonts w:ascii="宋体" w:hAnsi="宋体" w:cs="Calibri"/>
          <w:color w:val="auto"/>
          <w:sz w:val="22"/>
          <w:highlight w:val="none"/>
        </w:rPr>
        <w:t>章“评标办法及标准”没有规定的评审因素和标准进行评标。</w:t>
      </w:r>
    </w:p>
    <w:p>
      <w:pPr>
        <w:autoSpaceDE w:val="0"/>
        <w:autoSpaceDN w:val="0"/>
        <w:adjustRightInd w:val="0"/>
        <w:snapToGrid w:val="0"/>
        <w:spacing w:line="360" w:lineRule="exact"/>
        <w:rPr>
          <w:rFonts w:ascii="宋体" w:hAnsi="宋体" w:cs="Calibri"/>
          <w:b/>
          <w:bCs/>
          <w:color w:val="auto"/>
          <w:kern w:val="0"/>
          <w:sz w:val="22"/>
          <w:highlight w:val="none"/>
        </w:rPr>
      </w:pPr>
      <w:bookmarkStart w:id="69" w:name="_Toc12792"/>
      <w:bookmarkStart w:id="70" w:name="_Toc220123248"/>
      <w:bookmarkStart w:id="71" w:name="_Toc219809808"/>
      <w:r>
        <w:rPr>
          <w:rFonts w:ascii="宋体" w:hAnsi="宋体" w:cs="Calibri"/>
          <w:b/>
          <w:bCs/>
          <w:color w:val="auto"/>
          <w:kern w:val="0"/>
          <w:sz w:val="22"/>
          <w:highlight w:val="none"/>
        </w:rPr>
        <w:t>9.4 对评标活动有关的工作人员的纪律要求</w:t>
      </w:r>
      <w:bookmarkEnd w:id="69"/>
      <w:bookmarkEnd w:id="70"/>
      <w:bookmarkEnd w:id="71"/>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color w:val="auto"/>
          <w:kern w:val="0"/>
          <w:sz w:val="22"/>
          <w:highlight w:val="none"/>
        </w:rPr>
      </w:pPr>
      <w:bookmarkStart w:id="72" w:name="_Toc239"/>
      <w:bookmarkStart w:id="73" w:name="_Toc220123249"/>
      <w:bookmarkStart w:id="74" w:name="_Toc219809809"/>
      <w:r>
        <w:rPr>
          <w:rFonts w:ascii="宋体" w:hAnsi="宋体" w:cs="Calibri"/>
          <w:b/>
          <w:bCs/>
          <w:color w:val="auto"/>
          <w:kern w:val="0"/>
          <w:sz w:val="22"/>
          <w:highlight w:val="none"/>
        </w:rPr>
        <w:t>9.5 投诉</w:t>
      </w:r>
      <w:bookmarkEnd w:id="72"/>
      <w:bookmarkEnd w:id="73"/>
      <w:bookmarkEnd w:id="74"/>
    </w:p>
    <w:p>
      <w:pPr>
        <w:adjustRightInd w:val="0"/>
        <w:snapToGrid w:val="0"/>
        <w:spacing w:line="360" w:lineRule="exact"/>
        <w:ind w:firstLine="440"/>
        <w:rPr>
          <w:rFonts w:ascii="宋体" w:hAnsi="宋体" w:cs="Calibri"/>
          <w:color w:val="auto"/>
          <w:sz w:val="22"/>
          <w:highlight w:val="none"/>
        </w:rPr>
      </w:pPr>
      <w:r>
        <w:rPr>
          <w:rFonts w:ascii="宋体" w:hAnsi="宋体" w:cs="Calibri"/>
          <w:color w:val="auto"/>
          <w:sz w:val="22"/>
          <w:highlight w:val="none"/>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color w:val="auto"/>
          <w:kern w:val="0"/>
          <w:sz w:val="22"/>
          <w:highlight w:val="none"/>
        </w:rPr>
      </w:pPr>
      <w:bookmarkStart w:id="75" w:name="_Toc10817"/>
      <w:r>
        <w:rPr>
          <w:rFonts w:ascii="宋体" w:hAnsi="宋体" w:cs="Calibri"/>
          <w:b/>
          <w:bCs/>
          <w:color w:val="auto"/>
          <w:kern w:val="0"/>
          <w:sz w:val="22"/>
          <w:highlight w:val="none"/>
        </w:rPr>
        <w:t>10. 需要补充的其他内容</w:t>
      </w:r>
      <w:bookmarkEnd w:id="75"/>
    </w:p>
    <w:p>
      <w:pPr>
        <w:autoSpaceDE w:val="0"/>
        <w:autoSpaceDN w:val="0"/>
        <w:adjustRightInd w:val="0"/>
        <w:snapToGrid w:val="0"/>
        <w:spacing w:line="360" w:lineRule="exact"/>
        <w:ind w:firstLine="440"/>
        <w:jc w:val="left"/>
        <w:rPr>
          <w:rFonts w:ascii="宋体" w:hAnsi="宋体" w:cs="Calibri"/>
          <w:color w:val="auto"/>
          <w:sz w:val="22"/>
          <w:highlight w:val="none"/>
        </w:rPr>
      </w:pPr>
      <w:r>
        <w:rPr>
          <w:rFonts w:ascii="宋体" w:hAnsi="宋体" w:cs="Calibri"/>
          <w:color w:val="auto"/>
          <w:sz w:val="22"/>
          <w:highlight w:val="none"/>
        </w:rPr>
        <w:t>需要补充的其他内容：见投标人须知前附表。</w:t>
      </w:r>
    </w:p>
    <w:p>
      <w:pPr>
        <w:spacing w:line="560" w:lineRule="exact"/>
        <w:rPr>
          <w:color w:val="auto"/>
          <w:highlight w:val="none"/>
        </w:rPr>
      </w:pPr>
    </w:p>
    <w:p>
      <w:pPr>
        <w:spacing w:line="560" w:lineRule="exact"/>
        <w:jc w:val="center"/>
        <w:rPr>
          <w:color w:val="auto"/>
          <w:highlight w:val="none"/>
        </w:rPr>
      </w:pPr>
    </w:p>
    <w:p>
      <w:pPr>
        <w:snapToGrid w:val="0"/>
        <w:spacing w:line="560" w:lineRule="exact"/>
        <w:rPr>
          <w:color w:val="auto"/>
          <w:highlight w:val="none"/>
        </w:rPr>
      </w:pPr>
    </w:p>
    <w:p>
      <w:pPr>
        <w:pStyle w:val="51"/>
        <w:rPr>
          <w:color w:val="auto"/>
          <w:highlight w:val="none"/>
        </w:rPr>
      </w:pPr>
      <w:r>
        <w:rPr>
          <w:color w:val="auto"/>
          <w:sz w:val="24"/>
          <w:highlight w:val="none"/>
        </w:rPr>
        <w:br w:type="page"/>
      </w:r>
      <w:bookmarkStart w:id="76" w:name="_Toc450630559"/>
      <w:r>
        <w:rPr>
          <w:color w:val="auto"/>
          <w:highlight w:val="none"/>
        </w:rPr>
        <w:t>第</w:t>
      </w:r>
      <w:r>
        <w:rPr>
          <w:rFonts w:hint="eastAsia"/>
          <w:color w:val="auto"/>
          <w:highlight w:val="none"/>
        </w:rPr>
        <w:t>三</w:t>
      </w:r>
      <w:r>
        <w:rPr>
          <w:color w:val="auto"/>
          <w:highlight w:val="none"/>
        </w:rPr>
        <w:t xml:space="preserve">章  </w:t>
      </w:r>
      <w:r>
        <w:rPr>
          <w:rFonts w:hint="eastAsia"/>
          <w:color w:val="auto"/>
          <w:highlight w:val="none"/>
        </w:rPr>
        <w:t>合同条款及格式</w:t>
      </w:r>
      <w:bookmarkEnd w:id="76"/>
    </w:p>
    <w:p>
      <w:pPr>
        <w:keepNext/>
        <w:keepLines/>
        <w:spacing w:before="120" w:after="120" w:line="400" w:lineRule="exact"/>
        <w:ind w:right="-16"/>
        <w:jc w:val="center"/>
        <w:outlineLvl w:val="0"/>
        <w:rPr>
          <w:rFonts w:ascii="宋体" w:hAnsi="宋体" w:cs="宋体"/>
          <w:b/>
          <w:color w:val="auto"/>
          <w:sz w:val="28"/>
          <w:szCs w:val="20"/>
          <w:highlight w:val="none"/>
        </w:rPr>
      </w:pPr>
      <w:r>
        <w:rPr>
          <w:color w:val="auto"/>
          <w:highlight w:val="none"/>
        </w:rPr>
        <w:br w:type="page"/>
      </w:r>
      <w:bookmarkStart w:id="77" w:name="_Toc448097405"/>
      <w:bookmarkStart w:id="78" w:name="_Toc450630560"/>
      <w:r>
        <w:rPr>
          <w:rFonts w:hint="eastAsia" w:ascii="宋体" w:hAnsi="宋体" w:cs="宋体"/>
          <w:b/>
          <w:color w:val="auto"/>
          <w:sz w:val="28"/>
          <w:szCs w:val="20"/>
          <w:highlight w:val="none"/>
        </w:rPr>
        <w:t>第一部分  合同协议书</w:t>
      </w:r>
      <w:bookmarkEnd w:id="77"/>
      <w:bookmarkEnd w:id="78"/>
    </w:p>
    <w:p>
      <w:pPr>
        <w:spacing w:line="400" w:lineRule="exact"/>
        <w:ind w:firstLine="440" w:firstLineChars="200"/>
        <w:rPr>
          <w:rFonts w:hint="eastAsia" w:ascii="宋体" w:hAnsi="宋体"/>
          <w:color w:val="auto"/>
          <w:sz w:val="22"/>
          <w:szCs w:val="22"/>
          <w:highlight w:val="none"/>
        </w:rPr>
      </w:pPr>
      <w:bookmarkStart w:id="79" w:name="_Toc144974828"/>
      <w:bookmarkStart w:id="80" w:name="_Toc152042548"/>
      <w:r>
        <w:rPr>
          <w:rFonts w:hint="eastAsia" w:ascii="宋体" w:hAnsi="宋体"/>
          <w:color w:val="auto"/>
          <w:sz w:val="22"/>
          <w:szCs w:val="22"/>
          <w:highlight w:val="none"/>
        </w:rPr>
        <w:t>杭州萧山国际机场有限公司（以下简称“发包人”）为实施</w:t>
      </w:r>
      <w:r>
        <w:rPr>
          <w:rFonts w:hint="eastAsia" w:ascii="宋体" w:hAnsi="宋体"/>
          <w:color w:val="auto"/>
          <w:sz w:val="22"/>
          <w:szCs w:val="22"/>
          <w:highlight w:val="none"/>
          <w:u w:val="single"/>
        </w:rPr>
        <w:t>杭州萧山国际机场</w:t>
      </w:r>
      <w:r>
        <w:rPr>
          <w:rFonts w:hint="eastAsia" w:ascii="宋体" w:hAnsi="宋体"/>
          <w:color w:val="auto"/>
          <w:sz w:val="22"/>
          <w:szCs w:val="22"/>
          <w:highlight w:val="none"/>
          <w:u w:val="single"/>
          <w:lang w:val="en-US" w:eastAsia="zh-CN"/>
        </w:rPr>
        <w:t xml:space="preserve">                               T3中央空调主机房电磁式冷热量表安装</w:t>
      </w:r>
      <w:r>
        <w:rPr>
          <w:rFonts w:hint="eastAsia" w:ascii="宋体" w:hAnsi="宋体"/>
          <w:color w:val="auto"/>
          <w:sz w:val="22"/>
          <w:szCs w:val="22"/>
          <w:highlight w:val="none"/>
          <w:u w:val="single"/>
        </w:rPr>
        <w:t>工程</w:t>
      </w:r>
      <w:r>
        <w:rPr>
          <w:rFonts w:hint="eastAsia" w:ascii="宋体" w:hAnsi="宋体"/>
          <w:color w:val="auto"/>
          <w:sz w:val="22"/>
          <w:szCs w:val="22"/>
          <w:highlight w:val="none"/>
        </w:rPr>
        <w:t>，已接受</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（以下简称“承包人”）对该项目施工的投标。发包人和承包人共同达成如下协议。</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 本协议书与下列文件一起构成合同文件：</w:t>
      </w:r>
      <w:bookmarkEnd w:id="79"/>
      <w:bookmarkEnd w:id="80"/>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(1)本合同书面（补充）协议以及合同履行中，双方有关工程的洽谈、变更等书面协议或文件；</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（2）本合同协议书（含合同谈判纪要）；</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（3）中标通知书；</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（4）本合同专用条款；</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（5）招标文件及其补充文件（包括询标记录）；</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（6）投标文件及其附件；</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（7）本合同通用条款；</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（8）标准、规范及有关技术文件；</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（9）图纸；</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（10）工程量清单；</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（11）工程报价书。 </w:t>
      </w:r>
    </w:p>
    <w:p>
      <w:pPr>
        <w:spacing w:line="400" w:lineRule="exact"/>
        <w:ind w:firstLine="440" w:firstLineChars="200"/>
        <w:rPr>
          <w:rFonts w:ascii="宋体" w:hAnsi="宋体"/>
          <w:color w:val="auto"/>
          <w:sz w:val="22"/>
          <w:szCs w:val="22"/>
          <w:highlight w:val="none"/>
        </w:rPr>
      </w:pPr>
      <w:bookmarkStart w:id="81" w:name="_Toc144974829"/>
      <w:bookmarkStart w:id="82" w:name="_Toc152042549"/>
      <w:r>
        <w:rPr>
          <w:rFonts w:hint="eastAsia" w:ascii="宋体" w:hAnsi="宋体"/>
          <w:color w:val="auto"/>
          <w:sz w:val="22"/>
          <w:szCs w:val="22"/>
          <w:highlight w:val="none"/>
        </w:rPr>
        <w:t>2. 上述文件互相补充和解释，如有不明确或不一致之处，以合同约定次序在先者为准。</w:t>
      </w:r>
      <w:bookmarkEnd w:id="81"/>
      <w:bookmarkEnd w:id="82"/>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 签约合同价：人民币（大写）</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元（¥</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元 ）。</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4. 承包人项目经理：。</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5. 工程质量符合</w:t>
      </w:r>
      <w:r>
        <w:rPr>
          <w:rFonts w:hint="eastAsia" w:ascii="宋体" w:hAnsi="宋体"/>
          <w:color w:val="auto"/>
          <w:sz w:val="22"/>
          <w:szCs w:val="22"/>
          <w:highlight w:val="none"/>
          <w:u w:val="single"/>
        </w:rPr>
        <w:t xml:space="preserve">  合同约定且达到合格  </w:t>
      </w:r>
      <w:r>
        <w:rPr>
          <w:rFonts w:hint="eastAsia" w:ascii="宋体" w:hAnsi="宋体"/>
          <w:color w:val="auto"/>
          <w:sz w:val="22"/>
          <w:szCs w:val="22"/>
          <w:highlight w:val="none"/>
        </w:rPr>
        <w:t>标准。</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6. 承包人承诺按合同约定承担工程的实施、完成及缺陷修复。</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7. 发包人承诺按合同约定的条件、时间和方式向承包人支付合同价款。</w:t>
      </w:r>
    </w:p>
    <w:p>
      <w:pPr>
        <w:spacing w:line="400" w:lineRule="exact"/>
        <w:ind w:left="437" w:leftChars="182" w:firstLine="0" w:firstLineChars="0"/>
        <w:rPr>
          <w:rFonts w:ascii="宋体" w:hAnsi="宋体"/>
          <w:color w:val="auto"/>
          <w:sz w:val="22"/>
          <w:szCs w:val="22"/>
          <w:highlight w:val="none"/>
        </w:rPr>
      </w:pPr>
      <w:r>
        <w:rPr>
          <w:rFonts w:hint="eastAsia" w:ascii="宋体" w:hAnsi="宋体"/>
          <w:color w:val="auto"/>
          <w:sz w:val="22"/>
          <w:szCs w:val="22"/>
          <w:highlight w:val="none"/>
        </w:rPr>
        <w:t xml:space="preserve">8. 承包人应按照发包人指示开工，工期于 </w:t>
      </w:r>
      <w:r>
        <w:rPr>
          <w:rFonts w:hint="eastAsia" w:ascii="宋体" w:hAnsi="宋体"/>
          <w:color w:val="auto"/>
          <w:sz w:val="22"/>
          <w:szCs w:val="22"/>
          <w:highlight w:val="none"/>
          <w:u w:val="single"/>
        </w:rPr>
        <w:t xml:space="preserve">       年  月  日</w:t>
      </w:r>
      <w:r>
        <w:rPr>
          <w:rFonts w:hint="eastAsia" w:ascii="宋体" w:hAnsi="宋体"/>
          <w:color w:val="auto"/>
          <w:sz w:val="22"/>
          <w:szCs w:val="22"/>
          <w:highlight w:val="none"/>
        </w:rPr>
        <w:t>前完工/工期为【  】日历天。9. 本协议书一式陆份，甲方执肆份，乙方执贰份。</w:t>
      </w:r>
    </w:p>
    <w:p>
      <w:pPr>
        <w:spacing w:line="400" w:lineRule="exact"/>
        <w:ind w:firstLine="440" w:firstLineChars="200"/>
        <w:rPr>
          <w:rFonts w:ascii="宋体" w:hAnsi="宋体"/>
          <w:color w:val="auto"/>
          <w:sz w:val="22"/>
          <w:szCs w:val="22"/>
          <w:highlight w:val="none"/>
        </w:rPr>
      </w:pPr>
      <w:bookmarkStart w:id="83" w:name="_Toc144974830"/>
      <w:bookmarkStart w:id="84" w:name="_Toc152042550"/>
      <w:r>
        <w:rPr>
          <w:rFonts w:hint="eastAsia" w:ascii="宋体" w:hAnsi="宋体"/>
          <w:color w:val="auto"/>
          <w:sz w:val="22"/>
          <w:szCs w:val="22"/>
          <w:highlight w:val="none"/>
        </w:rPr>
        <w:t>10. 合同未尽事宜，双方另行签订补充协议。补充协议是合同的组成部分。</w:t>
      </w:r>
      <w:bookmarkEnd w:id="83"/>
      <w:bookmarkEnd w:id="84"/>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11.合同生效：本合同自双方法定代表人或委托代理人签字盖章之日起生效。</w:t>
      </w:r>
    </w:p>
    <w:p>
      <w:pPr>
        <w:spacing w:line="400" w:lineRule="exact"/>
        <w:ind w:firstLine="440" w:firstLineChars="200"/>
        <w:rPr>
          <w:rFonts w:ascii="宋体" w:hAnsi="宋体"/>
          <w:color w:val="auto"/>
          <w:sz w:val="22"/>
          <w:szCs w:val="22"/>
          <w:highlight w:val="none"/>
        </w:rPr>
      </w:pP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发包人：                （盖单位章）    承包人：                  （盖单位章）</w:t>
      </w:r>
    </w:p>
    <w:p>
      <w:pPr>
        <w:spacing w:line="400" w:lineRule="exact"/>
        <w:ind w:firstLine="440" w:firstLineChars="200"/>
        <w:rPr>
          <w:rFonts w:ascii="宋体" w:hAnsi="宋体"/>
          <w:color w:val="auto"/>
          <w:sz w:val="22"/>
          <w:szCs w:val="22"/>
          <w:highlight w:val="none"/>
        </w:rPr>
      </w:pP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法定代表人或其委托代理人：              法定代表人或其委托代理人：          </w:t>
      </w:r>
    </w:p>
    <w:p>
      <w:pPr>
        <w:spacing w:line="400" w:lineRule="exact"/>
        <w:ind w:firstLine="480" w:firstLineChars="200"/>
        <w:rPr>
          <w:color w:val="auto"/>
          <w:szCs w:val="21"/>
          <w:highlight w:val="none"/>
        </w:rPr>
      </w:pPr>
      <w:r>
        <w:rPr>
          <w:color w:val="auto"/>
          <w:szCs w:val="21"/>
          <w:highlight w:val="none"/>
        </w:rPr>
        <w:br w:type="page"/>
      </w:r>
    </w:p>
    <w:p>
      <w:pPr>
        <w:keepNext/>
        <w:keepLines/>
        <w:spacing w:before="120" w:after="120" w:line="400" w:lineRule="exact"/>
        <w:ind w:right="-16"/>
        <w:jc w:val="center"/>
        <w:outlineLvl w:val="0"/>
        <w:rPr>
          <w:rFonts w:ascii="宋体" w:hAnsi="宋体" w:cs="宋体"/>
          <w:b/>
          <w:color w:val="auto"/>
          <w:sz w:val="28"/>
          <w:szCs w:val="20"/>
          <w:highlight w:val="none"/>
        </w:rPr>
      </w:pPr>
      <w:bookmarkStart w:id="85" w:name="_Toc246392119"/>
      <w:bookmarkStart w:id="86" w:name="_Toc375636693"/>
      <w:bookmarkStart w:id="87" w:name="_Toc448097406"/>
      <w:bookmarkStart w:id="88" w:name="_Toc450630561"/>
      <w:bookmarkStart w:id="89" w:name="_Toc375636694"/>
      <w:bookmarkStart w:id="90" w:name="_Toc152045766"/>
      <w:bookmarkStart w:id="91" w:name="_Toc144974736"/>
      <w:bookmarkStart w:id="92" w:name="_Toc152042545"/>
      <w:r>
        <w:rPr>
          <w:rFonts w:hint="eastAsia" w:ascii="宋体" w:hAnsi="宋体" w:cs="宋体"/>
          <w:b/>
          <w:color w:val="auto"/>
          <w:sz w:val="28"/>
          <w:szCs w:val="20"/>
          <w:highlight w:val="none"/>
        </w:rPr>
        <w:t>第二部分  通用合同条款</w:t>
      </w:r>
      <w:bookmarkEnd w:id="85"/>
      <w:bookmarkEnd w:id="86"/>
      <w:bookmarkEnd w:id="87"/>
      <w:bookmarkEnd w:id="88"/>
    </w:p>
    <w:p>
      <w:pPr>
        <w:pStyle w:val="86"/>
        <w:jc w:val="center"/>
        <w:rPr>
          <w:rFonts w:ascii="宋体" w:hAnsi="宋体" w:eastAsia="宋体"/>
          <w:b/>
          <w:color w:val="auto"/>
          <w:highlight w:val="none"/>
        </w:rPr>
      </w:pPr>
      <w:r>
        <w:rPr>
          <w:rFonts w:hint="eastAsia" w:ascii="宋体" w:hAnsi="宋体" w:eastAsia="宋体"/>
          <w:b/>
          <w:color w:val="auto"/>
          <w:highlight w:val="none"/>
        </w:rPr>
        <w:t>（略）</w:t>
      </w:r>
      <w:r>
        <w:rPr>
          <w:rFonts w:ascii="宋体" w:hAnsi="宋体" w:eastAsia="宋体"/>
          <w:b/>
          <w:color w:val="auto"/>
          <w:highlight w:val="none"/>
        </w:rPr>
        <w:br w:type="page"/>
      </w:r>
      <w:r>
        <w:rPr>
          <w:rFonts w:hint="eastAsia" w:ascii="宋体" w:hAnsi="宋体" w:eastAsia="宋体"/>
          <w:b/>
          <w:color w:val="auto"/>
          <w:highlight w:val="none"/>
        </w:rPr>
        <w:t>第三部分  专用合同条款</w:t>
      </w:r>
      <w:bookmarkEnd w:id="89"/>
    </w:p>
    <w:bookmarkEnd w:id="90"/>
    <w:bookmarkEnd w:id="91"/>
    <w:bookmarkEnd w:id="92"/>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1．一般约定</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1.1 词语定义</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1.1.2 合同当事人和人员</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1.1.2.2 发包人：杭州萧山国际机场有限公司</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1.1.2.3 承包人： </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1.1.2.4 承包人项目经理：</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1.1.2.6 监理人：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1.1.2.7 总监理工程师（总监）：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1.1.3 工程和设备</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1.1.3.4 工程名称：</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1.1.3.10 永久占地：本工程建筑红线范围内占用的土地。</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1.1.3.11 临时占地：除永久占地外，经发包人确认的施工总平面图内的土地。</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1.1.4 日期</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1.4 合同文件的优先顺序</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合同文件组成及解释顺序：</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1.6 图纸和承包人文件</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1.6.1发包人向承包人提供图纸日期和套数：开工前7天内提供施工图8套（包括竣工图使用的图纸4套），不足部分承包人可向发包人提请加晒，费用由承包人自负。标准图集由承包人自备。</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1.6.3 图纸修改图具体签发期限：在该工程或工程相应部位施工前的3天内。</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1.7联络</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1.7.3 承包人的地址：     邮编：</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1.7.4 发包人的地址：</w:t>
      </w:r>
      <w:r>
        <w:rPr>
          <w:rFonts w:hint="eastAsia" w:ascii="宋体" w:hAnsi="宋体" w:cs="宋体"/>
          <w:color w:val="auto"/>
          <w:sz w:val="22"/>
          <w:highlight w:val="none"/>
          <w:u w:val="single"/>
        </w:rPr>
        <w:t>杭州萧山国际机场内</w:t>
      </w:r>
      <w:r>
        <w:rPr>
          <w:rFonts w:hint="eastAsia" w:ascii="宋体" w:hAnsi="宋体" w:cs="宋体"/>
          <w:color w:val="auto"/>
          <w:sz w:val="22"/>
          <w:highlight w:val="none"/>
        </w:rPr>
        <w:t xml:space="preserve">            邮编：</w:t>
      </w:r>
      <w:r>
        <w:rPr>
          <w:rFonts w:hint="eastAsia" w:ascii="宋体" w:hAnsi="宋体" w:cs="宋体"/>
          <w:color w:val="auto"/>
          <w:sz w:val="22"/>
          <w:highlight w:val="none"/>
          <w:u w:val="single"/>
        </w:rPr>
        <w:t>311207</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1.7.5 如一方拒绝签收另一方通知，另一方以</w:t>
      </w:r>
      <w:r>
        <w:rPr>
          <w:rFonts w:hint="eastAsia" w:ascii="宋体" w:hAnsi="宋体" w:cs="宋体"/>
          <w:color w:val="auto"/>
          <w:sz w:val="22"/>
          <w:highlight w:val="none"/>
          <w:u w:val="single"/>
        </w:rPr>
        <w:t xml:space="preserve"> 邮递快件 </w:t>
      </w:r>
      <w:r>
        <w:rPr>
          <w:rFonts w:hint="eastAsia" w:ascii="宋体" w:hAnsi="宋体" w:cs="宋体"/>
          <w:color w:val="auto"/>
          <w:sz w:val="22"/>
          <w:highlight w:val="none"/>
        </w:rPr>
        <w:t>方式将通知送至专用条款中指定的地址，视为送达。</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2．发包人义务</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2.3 提供施工场地</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施工场地具备施工条件的要求及完成的时间：为开工日期前不少于3天。</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施工场地内地下管线和地下设施等有关资料的提供时间：为开工日期前不少于3天。</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3．监理人</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3.1 监理人的职责和权力</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3.1.1 需要经发包人事先批准才能行使的职权：</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（1）影响工期的施工暂停；</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（2）工程变更、设计变更的估价；</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（3）索赔价款的确定和支付；</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（4）涉及改变原设计意图的变更；</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（5）对承包人合同规定的义务提出变更；</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（6）暂估价的确定；</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（7）超出施工合同约定的工程价格的调整和变更。</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4．承包人</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4.1 承包人的一般义务</w:t>
      </w:r>
    </w:p>
    <w:p>
      <w:pPr>
        <w:snapToGrid w:val="0"/>
        <w:spacing w:line="36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4.1.10 承包人应无条件执行国家以及建筑业、法规、规章、规范和技术标准，服从机场当局管理，诚信履行投标承诺和本合同，</w:t>
      </w:r>
      <w:r>
        <w:rPr>
          <w:rFonts w:hint="eastAsia" w:ascii="宋体" w:hAnsi="宋体" w:cs="宋体"/>
          <w:b/>
          <w:color w:val="auto"/>
          <w:sz w:val="22"/>
          <w:highlight w:val="none"/>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再者：承包人与供应商签订合同时，必须经发包人认可并备案，否则，发包人有权拒付相应费用。</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4.2 履约担保</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增加以下条款：</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4.2.1承包人向发包人提供履约担保，担保方式为：支票、银行汇票、电汇，担保额度：合同总价（扣除暂列金额）的10％。 如承包人不能按投标承诺和合同要求履约，发包人将有权罚没部分或全部相应类别甚至其他类别的全部履约保证金。履约担保自本项目竣工验收合格后28日内无息退还。</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4.2.2承包人违约情形以发包人代表出具的书面意见为准，发包人有权直接以此为索赔依据，要求承包人承担违约责任。</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4.5 承包人项目经理</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（3）出现上述两种情况时，</w:t>
      </w:r>
      <w:r>
        <w:rPr>
          <w:rFonts w:hint="eastAsia" w:ascii="宋体" w:hAnsi="宋体" w:cs="宋体"/>
          <w:b/>
          <w:color w:val="auto"/>
          <w:sz w:val="22"/>
          <w:highlight w:val="none"/>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color w:val="auto"/>
          <w:sz w:val="22"/>
          <w:highlight w:val="none"/>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4.12 承包人其他义务</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4.12.3约定承包人应做的其他工作及费用承担：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5．材料和工程设备</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5.1 承包人提供的材料和工程设备</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增加以下条款：</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5.2 发包人提供的材料和工程设备</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5.2.8发包人供应材料设备发生的损耗按浙江省2010定额相关规定结算。</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7．交通运输</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7.1 道路通行权和场外设施</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9．施工安全、治安保卫和环境保护</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9.2 承包人的施工安全责任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9.2.1 承包人将施工安全措施计划报发包人审批。时间：于本合同生效后15天内。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增加以下条款：</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9.2.8为确保用电平稳，功率较大的电机式负荷需要承包人设置相应的降压启动设施。</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10．进度计划</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10.1 合同进度计划</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承包人提供详细的施工进度计划和施工方案说明的时间：合同签订后3天内提供。</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发包人确认的时间：于承包人提交后3天内。</w:t>
      </w:r>
    </w:p>
    <w:p>
      <w:pPr>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因承包人原因导致施工节点进度比合同节点进度计划延误达15日及以上时，发包人有权终止合同，有权没收履约保证金，并保留对承包人追溯赔偿其他一切损失的权利。</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10.2 合同进度计划的修订</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发包人批复的时间：于承包人提交后7天内。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因承包人的原因导致实际进度与合同计划进度不符，承包人无权就改进措施提出追加合同价款或工期索赔。</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11．开工和竣工</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11.5 承包人的工期延误</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逾期竣工违约金依发包人主张，可包括以下各项的单独或合并运用：</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（1）没收履约担保金中相应的工期部分或全部履约保证金；</w:t>
      </w:r>
    </w:p>
    <w:p>
      <w:pPr>
        <w:snapToGrid w:val="0"/>
        <w:spacing w:line="36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（2）按合同总工期每延误一天承包人应支付违约金人民币10000元；</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（3）根据本合同的其他约定支付违约金，并视给发包人造成的实际损失给予赔偿；</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12．暂停施工</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12.1 承包人暂停施工的责任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（6）因联系单变更或现场签证单未确认引起的暂停施工。</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13．工程质量</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13.7 承包人施工质量不达标的责任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14．试验和检验</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14.4 检验费用的约定</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15．变更（本项目不存在变更）</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16．价格调整</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 xml:space="preserve">16.1本合同价款采用固定总价合同方式确定，在项目实施过程中，发包人不对承包人提出的任何工程量及价格变更要求进行总价调整，投标报价即为结算价。 合同价款中包括的风险范围：a、发包范围内包含的所有内容；b、合同执行期内，投标材料、人工价格的市场变化；c、合同执行期内，施工临时停电、停水或因机场运营需要造成的连续8小时内的停工；d、合同执行期内，因客观原因造成承包人停工、窝工；e、合同执行期内可能发生的其他费用，包括市政、市容、环保、治安等。 风险费用的计算方法：承包人在投标报价时综合考虑，不再另行计取。 </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17．计量与支付</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17.2 预付款</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17.2.1 预付款</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发包人向承包人预付工程款的额度和预付办法：无。</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17.2.3预付款扣回：/。</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17.3 工程进度付款</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17.3.1 进度付款申请单</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双方约定的进度付款申请单份数：6 份，时间：每月5日前上报上月付款申请。</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17.3.2工程进度款：</w:t>
      </w:r>
    </w:p>
    <w:p>
      <w:pPr>
        <w:snapToGrid w:val="0"/>
        <w:spacing w:line="360" w:lineRule="exact"/>
        <w:ind w:firstLine="440" w:firstLineChars="200"/>
        <w:rPr>
          <w:rFonts w:hint="eastAsia" w:asciiTheme="minorEastAsia" w:hAnsiTheme="minorEastAsia" w:eastAsiaTheme="minorEastAsia" w:cstheme="minorEastAsia"/>
          <w:color w:val="auto"/>
          <w:sz w:val="22"/>
          <w:highlight w:val="none"/>
        </w:rPr>
      </w:pPr>
      <w:r>
        <w:rPr>
          <w:rFonts w:hint="eastAsia" w:asciiTheme="minorEastAsia" w:hAnsiTheme="minorEastAsia" w:eastAsiaTheme="minorEastAsia" w:cstheme="minorEastAsia"/>
          <w:color w:val="auto"/>
          <w:sz w:val="22"/>
          <w:highlight w:val="none"/>
          <w:u w:val="single"/>
        </w:rPr>
        <w:t>工程竣工验收通过并完成工程结算，经发包人认可后30天内，发包人向承包人支付结算价的</w:t>
      </w:r>
      <w:r>
        <w:rPr>
          <w:rFonts w:hint="eastAsia" w:asciiTheme="minorEastAsia" w:hAnsiTheme="minorEastAsia" w:eastAsiaTheme="minorEastAsia" w:cstheme="minorEastAsia"/>
          <w:color w:val="auto"/>
          <w:sz w:val="22"/>
          <w:highlight w:val="none"/>
          <w:u w:val="single"/>
          <w:lang w:val="en-US" w:eastAsia="zh-CN"/>
        </w:rPr>
        <w:t>95</w:t>
      </w:r>
      <w:r>
        <w:rPr>
          <w:rFonts w:hint="eastAsia" w:asciiTheme="minorEastAsia" w:hAnsiTheme="minorEastAsia" w:eastAsiaTheme="minorEastAsia" w:cstheme="minorEastAsia"/>
          <w:color w:val="auto"/>
          <w:sz w:val="22"/>
          <w:highlight w:val="none"/>
          <w:u w:val="single"/>
        </w:rPr>
        <w:t>%，并无息退还承包人履约保证金。结算价的5%留作质量保证金，待缺陷责任期满后无利息支付。</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17.4 质量保证金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修改以下内容：</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17.4.1 双方约定按第17.3.2款的规定扣留质量保证金。</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17.5 竣工结算</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17.5.1 竣工付款申请单</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（1）双方约定承包人提交的竣工付款申请单份数：6份，时间：工程竣工验收报告经发包人认可后28天内。</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17.6 最终结清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17.6.1 最终结清申请单</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双方约定承包人提交的最终结清申请单份数： 6份，时间：缺陷责任期终止证书签发后28天内。</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18．竣工验收</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18.9竣工归档资料</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19．缺陷责任与保修责任</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19.7 保修责任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双方约定工程质量保修范围、期限和责任：见“附件一：工程质量保修书”。</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20．保险</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20.1 工程保险</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双方约定的投保内容、保险金额、保险费率、保险期限等有关内容：建筑工程一切险和安装工程一切险由</w:t>
      </w:r>
      <w:r>
        <w:rPr>
          <w:rFonts w:hint="eastAsia" w:ascii="宋体" w:hAnsi="宋体" w:cs="宋体"/>
          <w:color w:val="auto"/>
          <w:sz w:val="22"/>
          <w:highlight w:val="none"/>
          <w:lang w:eastAsia="zh-CN"/>
        </w:rPr>
        <w:t>承包人</w:t>
      </w:r>
      <w:r>
        <w:rPr>
          <w:rFonts w:hint="eastAsia" w:ascii="宋体" w:hAnsi="宋体" w:cs="宋体"/>
          <w:color w:val="auto"/>
          <w:sz w:val="22"/>
          <w:highlight w:val="none"/>
        </w:rPr>
        <w:t>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21．不可抗力</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21.1 不可抗力的确认</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21.1.1双方关于不可抗力的约定：经相关行政主管部门认定，直接造成本工程损失的六级以上地震、山洪暴发、战争。</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22．违约</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22.1 承包人违约</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22.1.1除通用条款中约定的情形外，承包人违约情形还包括：</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（1）不符合本合同4.5.5、4.5.6款情形约定的到位率或任职要求的，或其它管理人员到位率小于90％的；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（2）投标文件记载的主要管理、技术人员不到位或未经发包人同意擅自更换的；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（3）无法定和约定的理由拒绝或懈怠履行合同的。</w:t>
      </w:r>
    </w:p>
    <w:p>
      <w:pPr>
        <w:snapToGrid w:val="0"/>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（4）不符合本合同第7.1条、10.1 条、15.4.4 条、20.1条规定及要求的。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22.1.2对承包人违约的处理：</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发生22.1.1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根据承包人的违约情形，发包人可主张承包人承担如下部分或全部的赔偿责任：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（1）没收承包人履约保证金；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（2）及时整改及承担费用的责任；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（5）承包人须承担因其违约导致发包人所遭受的第三人索赔；</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（6）承包人须承担其违约行为导致发包人所遭受其他实际损害的赔偿责任；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（7）本专用合同其他条款约定的违约金。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22.1.8发包人根据法律规定或合同约定解除本合同的，发包人无须向承包人作任何赔偿或补偿。</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（1）向发包人支付不低于本合同约定的合同总价的10%作为违约金；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（2）承担发包人就本协议项下未完施工内容另行招标或其他方式订约所开支的费用；</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（4）赔偿发包人遭受的其他实际损失；</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22.1.10 本合同履行中，因承包人违约，发包人扣除全部或部分履约金的，则自发包人书面通知之日起5日内，承包人应以转账支票、银行汇票或电汇方式向发包人补足该履约保证金；逾期补足的，承包人应向发包人按未补足金额的千分之一每日计付违约金。</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24．争议的解决</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24.1 争议的解决方式</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双方约定，在履行合同过程中产生的争议时，可请工程所在地建设行政主管部门调解，协商不成的：向杭州仲裁委员会申请仲裁。</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25．其他补充条款</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 投标文件的充分性</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 承包人根据合同应承担的全部义务；</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 为该工程的正确实施、竣工后修补由于承包人原因造成的缺陷所必须发生的一切开支。</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25.3 本工程联系单签证均以发包人公章为准，未加盖发包人公章的均为无效签证。</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25.5本工程须注意以下事项：</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（1）与承包人签订《杭州萧山国际机场安全文明施工协议书》；</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（2）承包人应严格按“杭州市文明标化工地”的要求组织施工；</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（3）工程质量目标须无条件满足招标人的总体质量目标；</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（4）按工程总进度计划安排施工；</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（5）承包人如需在场内搭建临设，必须征得发包人同意，并在发包人指定地点搭建；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（6）发包人负责提供水、电源接入点，水电费用由承包人承担；</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25.6工程、设计变更及现场签证管理按有关文件执行。</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25.7双方同意，若对本工程质量有争议，则由发包人指定的鉴定机构鉴定，鉴定费用由造成质量瑕疵的责任方承担。</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25.8本合同于签订后，发现存在以下情形之一的，发包人有权解除本合同：</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（6）承包人与本工程相关的应有资格、资质、认证或其他行政许可已被终止、中止或暂扣的；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25.9承包人及其人员在签订和履行本合同中所知悉的发包人商业秘密，应予严格保密。</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25.12承包人进场后应服从发包人的监督和管理。</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25.13承包人进场后应签订《工程质量保修书》（附件一）、和《安全文明施工协议书》（附件二），服从发包人的监督和管理。</w:t>
      </w:r>
    </w:p>
    <w:p>
      <w:pPr>
        <w:snapToGrid w:val="0"/>
        <w:spacing w:line="360" w:lineRule="exact"/>
        <w:rPr>
          <w:rFonts w:hint="eastAsia" w:ascii="宋体" w:hAnsi="宋体" w:cs="宋体"/>
          <w:color w:val="auto"/>
          <w:sz w:val="22"/>
          <w:highlight w:val="none"/>
          <w:lang w:val="zh-CN"/>
        </w:rPr>
      </w:pPr>
      <w:r>
        <w:rPr>
          <w:rFonts w:hint="eastAsia" w:ascii="宋体" w:hAnsi="宋体" w:cs="宋体"/>
          <w:color w:val="auto"/>
          <w:sz w:val="22"/>
          <w:highlight w:val="none"/>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宋体" w:hAnsi="宋体" w:cs="宋体"/>
          <w:color w:val="auto"/>
          <w:sz w:val="22"/>
          <w:highlight w:val="none"/>
          <w:lang w:val="en-US" w:eastAsia="zh-CN"/>
        </w:rPr>
        <w:t>30%</w:t>
      </w:r>
      <w:r>
        <w:rPr>
          <w:rFonts w:hint="eastAsia" w:ascii="宋体" w:hAnsi="宋体" w:cs="宋体"/>
          <w:color w:val="auto"/>
          <w:sz w:val="22"/>
          <w:highlight w:val="none"/>
          <w:lang w:val="zh-CN"/>
        </w:rPr>
        <w:t>】的水费转供设施维护费（加收部分主要是损耗、运行维护、维修费等）。如自来水公司水价调整，水费单价也作相应的调整，收取的【</w:t>
      </w:r>
      <w:r>
        <w:rPr>
          <w:rFonts w:hint="eastAsia" w:ascii="宋体" w:hAnsi="宋体" w:cs="宋体"/>
          <w:color w:val="auto"/>
          <w:sz w:val="22"/>
          <w:highlight w:val="none"/>
          <w:lang w:val="en-US" w:eastAsia="zh-CN"/>
        </w:rPr>
        <w:t>30%</w:t>
      </w:r>
      <w:r>
        <w:rPr>
          <w:rFonts w:hint="eastAsia" w:ascii="宋体" w:hAnsi="宋体" w:cs="宋体"/>
          <w:color w:val="auto"/>
          <w:sz w:val="22"/>
          <w:highlight w:val="none"/>
          <w:lang w:val="zh-CN"/>
        </w:rPr>
        <w:t>】费率不变，收费单价保留小数点后两位，四舍五入，用水计量以发包人计量为准。</w:t>
      </w:r>
    </w:p>
    <w:p>
      <w:pPr>
        <w:snapToGrid w:val="0"/>
        <w:spacing w:line="360" w:lineRule="exact"/>
        <w:rPr>
          <w:rFonts w:hint="eastAsia" w:ascii="宋体" w:hAnsi="宋体" w:cs="宋体"/>
          <w:color w:val="auto"/>
          <w:sz w:val="22"/>
          <w:highlight w:val="none"/>
          <w:lang w:val="zh-CN"/>
        </w:rPr>
      </w:pPr>
      <w:r>
        <w:rPr>
          <w:rFonts w:hint="eastAsia" w:ascii="宋体" w:hAnsi="宋体" w:cs="宋体"/>
          <w:color w:val="auto"/>
          <w:sz w:val="22"/>
          <w:highlight w:val="none"/>
          <w:lang w:val="zh-CN"/>
        </w:rPr>
        <w:t>25.15施工用电：由发包人提供用电接口，场内接管、安装电表由承包人自行解决，承包人施工前需向机场水电管理部门提出申请并通过。电费以供电局电价</w:t>
      </w:r>
      <w:r>
        <w:rPr>
          <w:rFonts w:hint="eastAsia" w:ascii="宋体" w:hAnsi="宋体" w:cs="宋体"/>
          <w:color w:val="auto"/>
          <w:sz w:val="22"/>
          <w:highlight w:val="none"/>
          <w:lang w:val="en-US" w:eastAsia="zh-CN"/>
        </w:rPr>
        <w:t>0.7126</w:t>
      </w:r>
      <w:r>
        <w:rPr>
          <w:rFonts w:hint="eastAsia" w:ascii="宋体" w:hAnsi="宋体" w:cs="宋体"/>
          <w:color w:val="auto"/>
          <w:sz w:val="22"/>
          <w:highlight w:val="none"/>
          <w:lang w:val="zh-CN"/>
        </w:rPr>
        <w:t>元/度为基础单价，并在基础单价上加收【</w:t>
      </w:r>
      <w:r>
        <w:rPr>
          <w:rFonts w:hint="eastAsia" w:ascii="宋体" w:hAnsi="宋体" w:cs="宋体"/>
          <w:color w:val="auto"/>
          <w:sz w:val="22"/>
          <w:highlight w:val="none"/>
          <w:lang w:val="en-US" w:eastAsia="zh-CN"/>
        </w:rPr>
        <w:t>33%</w:t>
      </w:r>
      <w:r>
        <w:rPr>
          <w:rFonts w:hint="eastAsia" w:ascii="宋体" w:hAnsi="宋体" w:cs="宋体"/>
          <w:color w:val="auto"/>
          <w:sz w:val="22"/>
          <w:highlight w:val="none"/>
          <w:lang w:val="zh-CN"/>
        </w:rPr>
        <w:t>】的电费转供设施维护费（加收部分主要是损耗、运行维护、维修费等）。如供电局电价调整，电费单价也作相应的调整，收取的【</w:t>
      </w:r>
      <w:r>
        <w:rPr>
          <w:rFonts w:hint="eastAsia" w:ascii="宋体" w:hAnsi="宋体" w:cs="宋体"/>
          <w:color w:val="auto"/>
          <w:sz w:val="22"/>
          <w:highlight w:val="none"/>
          <w:lang w:val="en-US" w:eastAsia="zh-CN"/>
        </w:rPr>
        <w:t>33%</w:t>
      </w:r>
      <w:r>
        <w:rPr>
          <w:rFonts w:hint="eastAsia" w:ascii="宋体" w:hAnsi="宋体" w:cs="宋体"/>
          <w:color w:val="auto"/>
          <w:sz w:val="22"/>
          <w:highlight w:val="none"/>
          <w:lang w:val="zh-CN"/>
        </w:rPr>
        <w:t>】费率不变，收费单价保留小数点后两位，四舍五入，用电计量以发包人计量为准。</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25.16合同份数：一式陆份，甲方执肆份，乙方执贰份，同等有效。</w:t>
      </w:r>
    </w:p>
    <w:p>
      <w:pPr>
        <w:snapToGrid w:val="0"/>
        <w:spacing w:line="360" w:lineRule="exact"/>
        <w:rPr>
          <w:rFonts w:ascii="宋体" w:hAnsi="宋体" w:cs="宋体"/>
          <w:color w:val="auto"/>
          <w:sz w:val="22"/>
          <w:highlight w:val="none"/>
        </w:rPr>
      </w:pPr>
      <w:r>
        <w:rPr>
          <w:rFonts w:hint="eastAsia" w:ascii="宋体" w:hAnsi="宋体" w:cs="宋体"/>
          <w:color w:val="auto"/>
          <w:sz w:val="22"/>
          <w:highlight w:val="none"/>
        </w:rPr>
        <w:t>25.17附件：</w:t>
      </w:r>
    </w:p>
    <w:p>
      <w:pPr>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 xml:space="preserve">附件一：工程质量保修书 </w:t>
      </w:r>
    </w:p>
    <w:p>
      <w:pPr>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附件二：安全文明施工协议书</w:t>
      </w:r>
    </w:p>
    <w:p>
      <w:pPr>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附件三</w:t>
      </w:r>
      <w:r>
        <w:rPr>
          <w:rFonts w:hint="eastAsia" w:ascii="宋体" w:hAnsi="宋体" w:cs="宋体"/>
          <w:color w:val="auto"/>
          <w:sz w:val="22"/>
          <w:highlight w:val="none"/>
          <w:lang w:eastAsia="zh-CN"/>
        </w:rPr>
        <w:t>：</w:t>
      </w:r>
      <w:r>
        <w:rPr>
          <w:rFonts w:hint="eastAsia" w:ascii="宋体" w:hAnsi="宋体" w:cs="宋体"/>
          <w:color w:val="auto"/>
          <w:sz w:val="22"/>
          <w:highlight w:val="none"/>
        </w:rPr>
        <w:t>杭州萧山国际机场基建项目安全文明施工考核办法</w:t>
      </w:r>
    </w:p>
    <w:p>
      <w:pPr>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附件</w:t>
      </w:r>
      <w:r>
        <w:rPr>
          <w:rFonts w:hint="eastAsia" w:ascii="宋体" w:hAnsi="宋体" w:cs="宋体"/>
          <w:color w:val="auto"/>
          <w:sz w:val="22"/>
          <w:highlight w:val="none"/>
          <w:lang w:eastAsia="zh-CN"/>
        </w:rPr>
        <w:t>四</w:t>
      </w:r>
      <w:r>
        <w:rPr>
          <w:rFonts w:hint="eastAsia" w:ascii="宋体" w:hAnsi="宋体" w:cs="宋体"/>
          <w:color w:val="auto"/>
          <w:sz w:val="22"/>
          <w:highlight w:val="none"/>
        </w:rPr>
        <w:t>：廉洁自律承诺书</w:t>
      </w:r>
    </w:p>
    <w:p>
      <w:pPr>
        <w:tabs>
          <w:tab w:val="left" w:pos="540"/>
        </w:tabs>
        <w:topLinePunc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附件一</w:t>
      </w:r>
    </w:p>
    <w:p>
      <w:pPr>
        <w:tabs>
          <w:tab w:val="left" w:pos="540"/>
        </w:tabs>
        <w:topLinePunct/>
        <w:ind w:firstLine="723"/>
        <w:jc w:val="center"/>
        <w:rPr>
          <w:rFonts w:ascii="宋体" w:hAnsi="宋体" w:cs="宋体"/>
          <w:b/>
          <w:color w:val="auto"/>
          <w:sz w:val="36"/>
          <w:highlight w:val="none"/>
        </w:rPr>
      </w:pPr>
      <w:r>
        <w:rPr>
          <w:rFonts w:hint="eastAsia" w:ascii="宋体" w:hAnsi="宋体" w:cs="宋体"/>
          <w:b/>
          <w:color w:val="auto"/>
          <w:sz w:val="36"/>
          <w:highlight w:val="none"/>
        </w:rPr>
        <w:t>工程质量保修书</w:t>
      </w:r>
    </w:p>
    <w:p>
      <w:pPr>
        <w:spacing w:line="340" w:lineRule="exact"/>
        <w:rPr>
          <w:rFonts w:ascii="宋体" w:hAnsi="宋体" w:cs="宋体"/>
          <w:color w:val="auto"/>
          <w:sz w:val="22"/>
          <w:highlight w:val="none"/>
        </w:rPr>
      </w:pPr>
      <w:r>
        <w:rPr>
          <w:rFonts w:hint="eastAsia" w:ascii="宋体" w:hAnsi="宋体" w:cs="宋体"/>
          <w:color w:val="auto"/>
          <w:sz w:val="22"/>
          <w:highlight w:val="none"/>
        </w:rPr>
        <w:t xml:space="preserve">发包人（全称）：杭州萧山国际机场有限公司                                </w:t>
      </w:r>
    </w:p>
    <w:p>
      <w:pPr>
        <w:spacing w:line="340" w:lineRule="exact"/>
        <w:rPr>
          <w:rFonts w:ascii="宋体" w:hAnsi="宋体" w:cs="宋体"/>
          <w:color w:val="auto"/>
          <w:sz w:val="22"/>
          <w:highlight w:val="none"/>
        </w:rPr>
      </w:pPr>
      <w:r>
        <w:rPr>
          <w:rFonts w:hint="eastAsia" w:ascii="宋体" w:hAnsi="宋体" w:cs="宋体"/>
          <w:color w:val="auto"/>
          <w:sz w:val="22"/>
          <w:highlight w:val="none"/>
        </w:rPr>
        <w:t xml:space="preserve">承包人（全称）：                                 </w:t>
      </w:r>
    </w:p>
    <w:p>
      <w:pPr>
        <w:spacing w:line="340" w:lineRule="exact"/>
        <w:rPr>
          <w:rFonts w:ascii="宋体" w:hAnsi="宋体" w:cs="宋体"/>
          <w:color w:val="auto"/>
          <w:sz w:val="22"/>
          <w:highlight w:val="none"/>
        </w:rPr>
      </w:pPr>
      <w:r>
        <w:rPr>
          <w:rFonts w:hint="eastAsia" w:ascii="宋体" w:hAnsi="宋体" w:cs="宋体"/>
          <w:color w:val="auto"/>
          <w:sz w:val="22"/>
          <w:highlight w:val="none"/>
        </w:rPr>
        <w:t xml:space="preserve">    发包人和承包人根据《中华人民共和国建筑法》和《建设工程质量管理条例》，经协商一致就</w:t>
      </w:r>
      <w:r>
        <w:rPr>
          <w:rFonts w:hint="eastAsia" w:ascii="宋体" w:hAnsi="宋体" w:cs="宋体"/>
          <w:b/>
          <w:color w:val="auto"/>
          <w:sz w:val="22"/>
          <w:highlight w:val="none"/>
          <w:u w:val="single"/>
        </w:rPr>
        <w:t>杭州萧山国际机场</w:t>
      </w:r>
      <w:bookmarkStart w:id="93" w:name="OLE_LINK2"/>
      <w:r>
        <w:rPr>
          <w:rFonts w:hint="eastAsia" w:ascii="宋体" w:hAnsi="宋体" w:cs="宋体"/>
          <w:b/>
          <w:color w:val="auto"/>
          <w:sz w:val="22"/>
          <w:highlight w:val="none"/>
          <w:u w:val="single"/>
          <w:lang w:val="en-US" w:eastAsia="zh-CN"/>
        </w:rPr>
        <w:t>T3中央空调主机房电磁式冷热量表安装</w:t>
      </w:r>
      <w:bookmarkEnd w:id="93"/>
      <w:r>
        <w:rPr>
          <w:rFonts w:hint="eastAsia" w:ascii="宋体" w:hAnsi="宋体" w:cs="宋体"/>
          <w:b/>
          <w:color w:val="auto"/>
          <w:sz w:val="22"/>
          <w:highlight w:val="none"/>
          <w:u w:val="single"/>
          <w:lang w:val="en-US" w:eastAsia="zh-CN"/>
        </w:rPr>
        <w:t>工</w:t>
      </w:r>
      <w:r>
        <w:rPr>
          <w:rFonts w:hint="eastAsia" w:ascii="宋体" w:hAnsi="宋体" w:cs="宋体"/>
          <w:b/>
          <w:color w:val="auto"/>
          <w:sz w:val="22"/>
          <w:highlight w:val="none"/>
          <w:u w:val="single"/>
        </w:rPr>
        <w:t>程</w:t>
      </w:r>
      <w:r>
        <w:rPr>
          <w:rFonts w:hint="eastAsia" w:ascii="宋体" w:hAnsi="宋体" w:cs="宋体"/>
          <w:color w:val="auto"/>
          <w:sz w:val="22"/>
          <w:highlight w:val="none"/>
        </w:rPr>
        <w:t>（工程全称）签订工程质量保修书。</w:t>
      </w:r>
    </w:p>
    <w:p>
      <w:pPr>
        <w:spacing w:line="340" w:lineRule="exact"/>
        <w:rPr>
          <w:rFonts w:ascii="宋体" w:hAnsi="宋体" w:cs="宋体"/>
          <w:color w:val="auto"/>
          <w:sz w:val="22"/>
          <w:highlight w:val="none"/>
        </w:rPr>
      </w:pPr>
      <w:r>
        <w:rPr>
          <w:rFonts w:hint="eastAsia" w:ascii="宋体" w:hAnsi="宋体" w:cs="宋体"/>
          <w:color w:val="auto"/>
          <w:sz w:val="22"/>
          <w:highlight w:val="none"/>
        </w:rPr>
        <w:t>　　一、工程质量保修范围和内容</w:t>
      </w:r>
    </w:p>
    <w:p>
      <w:pPr>
        <w:spacing w:line="340" w:lineRule="exact"/>
        <w:rPr>
          <w:rFonts w:ascii="宋体" w:hAnsi="宋体" w:cs="宋体"/>
          <w:color w:val="auto"/>
          <w:sz w:val="22"/>
          <w:highlight w:val="none"/>
        </w:rPr>
      </w:pPr>
      <w:r>
        <w:rPr>
          <w:rFonts w:hint="eastAsia" w:ascii="宋体" w:hAnsi="宋体" w:cs="宋体"/>
          <w:color w:val="auto"/>
          <w:sz w:val="22"/>
          <w:highlight w:val="none"/>
        </w:rPr>
        <w:t>　　承包人在缺陷责任期内，按照有关法律规定和合同约定，承担工程质量保修责任。</w:t>
      </w:r>
    </w:p>
    <w:p>
      <w:pPr>
        <w:spacing w:line="340" w:lineRule="exact"/>
        <w:ind w:firstLine="420"/>
        <w:rPr>
          <w:rFonts w:ascii="宋体" w:hAnsi="宋体" w:cs="宋体"/>
          <w:color w:val="auto"/>
          <w:sz w:val="22"/>
          <w:highlight w:val="none"/>
        </w:rPr>
      </w:pPr>
      <w:r>
        <w:rPr>
          <w:rFonts w:hint="eastAsia" w:ascii="宋体" w:hAnsi="宋体" w:cs="宋体"/>
          <w:color w:val="auto"/>
          <w:sz w:val="22"/>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color w:val="auto"/>
          <w:sz w:val="22"/>
          <w:highlight w:val="none"/>
          <w:u w:val="single"/>
        </w:rPr>
        <w:t>杭州萧山国际机场</w:t>
      </w:r>
      <w:r>
        <w:rPr>
          <w:rFonts w:hint="eastAsia" w:ascii="宋体" w:hAnsi="宋体" w:cs="宋体"/>
          <w:b/>
          <w:color w:val="auto"/>
          <w:sz w:val="22"/>
          <w:highlight w:val="none"/>
          <w:u w:val="single"/>
          <w:lang w:val="en-US" w:eastAsia="zh-CN"/>
        </w:rPr>
        <w:t>T3中央空调主机房电磁式冷热量表安装</w:t>
      </w:r>
      <w:r>
        <w:rPr>
          <w:rFonts w:hint="eastAsia" w:ascii="宋体" w:hAnsi="宋体" w:cs="宋体"/>
          <w:b/>
          <w:color w:val="auto"/>
          <w:sz w:val="22"/>
          <w:highlight w:val="none"/>
          <w:u w:val="single"/>
        </w:rPr>
        <w:t>工程</w:t>
      </w:r>
      <w:r>
        <w:rPr>
          <w:rFonts w:hint="eastAsia" w:ascii="宋体" w:hAnsi="宋体" w:cs="宋体"/>
          <w:color w:val="auto"/>
          <w:sz w:val="22"/>
          <w:highlight w:val="none"/>
        </w:rPr>
        <w:t>施工图纸所示内容。</w:t>
      </w:r>
    </w:p>
    <w:p>
      <w:pPr>
        <w:spacing w:line="340" w:lineRule="exact"/>
        <w:rPr>
          <w:rFonts w:ascii="宋体" w:hAnsi="宋体" w:cs="宋体"/>
          <w:color w:val="auto"/>
          <w:sz w:val="22"/>
          <w:highlight w:val="none"/>
        </w:rPr>
      </w:pPr>
      <w:r>
        <w:rPr>
          <w:rFonts w:hint="eastAsia" w:ascii="宋体" w:hAnsi="宋体" w:cs="宋体"/>
          <w:b/>
          <w:color w:val="auto"/>
          <w:sz w:val="22"/>
          <w:highlight w:val="none"/>
        </w:rPr>
        <w:t>　　</w:t>
      </w:r>
      <w:r>
        <w:rPr>
          <w:rFonts w:hint="eastAsia" w:ascii="宋体" w:hAnsi="宋体" w:cs="宋体"/>
          <w:color w:val="auto"/>
          <w:sz w:val="22"/>
          <w:highlight w:val="none"/>
        </w:rPr>
        <w:t>二、质量保修期</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根据《建设工程质量管理条例》及有关规定，工程的质量保修期如下：按国家有关规定。</w:t>
      </w:r>
    </w:p>
    <w:p>
      <w:pPr>
        <w:spacing w:line="340" w:lineRule="exact"/>
        <w:rPr>
          <w:rFonts w:ascii="宋体" w:hAnsi="宋体" w:cs="宋体"/>
          <w:color w:val="auto"/>
          <w:sz w:val="22"/>
          <w:highlight w:val="none"/>
        </w:rPr>
      </w:pPr>
      <w:r>
        <w:rPr>
          <w:rFonts w:hint="eastAsia" w:ascii="宋体" w:hAnsi="宋体" w:cs="宋体"/>
          <w:color w:val="auto"/>
          <w:sz w:val="22"/>
          <w:highlight w:val="none"/>
        </w:rPr>
        <w:t>　　质量保修期自工程竣工验收合格之日起计算。</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三、缺陷责任期</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工程缺陷责任期为</w:t>
      </w:r>
      <w:r>
        <w:rPr>
          <w:rFonts w:hint="eastAsia" w:ascii="宋体" w:hAnsi="宋体" w:cs="宋体"/>
          <w:color w:val="auto"/>
          <w:sz w:val="22"/>
          <w:highlight w:val="none"/>
          <w:u w:val="single"/>
        </w:rPr>
        <w:t xml:space="preserve"> 24 </w:t>
      </w:r>
      <w:r>
        <w:rPr>
          <w:rFonts w:hint="eastAsia" w:ascii="宋体" w:hAnsi="宋体" w:cs="宋体"/>
          <w:color w:val="auto"/>
          <w:sz w:val="22"/>
          <w:highlight w:val="none"/>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缺陷责任期终止后，发包人应退还剩余的质量保证金。</w:t>
      </w:r>
    </w:p>
    <w:p>
      <w:pPr>
        <w:spacing w:line="340" w:lineRule="exact"/>
        <w:rPr>
          <w:rFonts w:ascii="宋体" w:hAnsi="宋体" w:cs="宋体"/>
          <w:color w:val="auto"/>
          <w:sz w:val="22"/>
          <w:highlight w:val="none"/>
        </w:rPr>
      </w:pPr>
      <w:r>
        <w:rPr>
          <w:rFonts w:hint="eastAsia" w:ascii="宋体" w:hAnsi="宋体" w:cs="宋体"/>
          <w:color w:val="auto"/>
          <w:sz w:val="22"/>
          <w:highlight w:val="none"/>
        </w:rPr>
        <w:t xml:space="preserve">    四、质量保修责任</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2．发生紧急事故需抢修的，承包人在接到事故通知后，应当立即到达事故现场进行持续抢修直至修复。</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color w:val="auto"/>
          <w:sz w:val="22"/>
          <w:highlight w:val="none"/>
        </w:rPr>
      </w:pPr>
      <w:r>
        <w:rPr>
          <w:rFonts w:hint="eastAsia" w:ascii="宋体" w:hAnsi="宋体" w:cs="宋体"/>
          <w:color w:val="auto"/>
          <w:sz w:val="22"/>
          <w:highlight w:val="none"/>
        </w:rPr>
        <w:t>　　五、保修费用</w:t>
      </w:r>
    </w:p>
    <w:p>
      <w:pPr>
        <w:spacing w:line="340" w:lineRule="exact"/>
        <w:rPr>
          <w:rFonts w:ascii="宋体" w:hAnsi="宋体" w:cs="宋体"/>
          <w:color w:val="auto"/>
          <w:sz w:val="22"/>
          <w:highlight w:val="none"/>
        </w:rPr>
      </w:pPr>
      <w:r>
        <w:rPr>
          <w:rFonts w:hint="eastAsia" w:ascii="宋体" w:hAnsi="宋体" w:cs="宋体"/>
          <w:color w:val="auto"/>
          <w:sz w:val="22"/>
          <w:highlight w:val="none"/>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六、双方约定的其他工程质量保修事项： </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color w:val="auto"/>
          <w:sz w:val="22"/>
          <w:highlight w:val="none"/>
        </w:rPr>
      </w:pPr>
    </w:p>
    <w:p>
      <w:pPr>
        <w:spacing w:line="340" w:lineRule="exact"/>
        <w:ind w:firstLine="420"/>
        <w:rPr>
          <w:rFonts w:ascii="宋体" w:hAnsi="宋体" w:cs="宋体"/>
          <w:color w:val="auto"/>
          <w:sz w:val="22"/>
          <w:highlight w:val="none"/>
        </w:rPr>
      </w:pPr>
      <w:r>
        <w:rPr>
          <w:rFonts w:hint="eastAsia" w:ascii="宋体" w:hAnsi="宋体" w:cs="宋体"/>
          <w:color w:val="auto"/>
          <w:sz w:val="22"/>
          <w:highlight w:val="none"/>
        </w:rPr>
        <w:t xml:space="preserve">发    包    人（公章）：             </w:t>
      </w:r>
      <w:r>
        <w:rPr>
          <w:rFonts w:hint="eastAsia" w:ascii="宋体" w:hAnsi="宋体" w:cs="宋体"/>
          <w:color w:val="auto"/>
          <w:sz w:val="22"/>
          <w:highlight w:val="none"/>
        </w:rPr>
        <w:tab/>
      </w:r>
      <w:r>
        <w:rPr>
          <w:rFonts w:hint="eastAsia" w:ascii="宋体" w:hAnsi="宋体" w:cs="宋体"/>
          <w:color w:val="auto"/>
          <w:sz w:val="22"/>
          <w:highlight w:val="none"/>
        </w:rPr>
        <w:t>承    包    人（公章）：</w:t>
      </w:r>
    </w:p>
    <w:p>
      <w:pPr>
        <w:spacing w:line="340" w:lineRule="exact"/>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附件二：</w:t>
      </w:r>
    </w:p>
    <w:p>
      <w:pPr>
        <w:tabs>
          <w:tab w:val="left" w:pos="540"/>
        </w:tabs>
        <w:topLinePunct/>
        <w:ind w:firstLine="723"/>
        <w:jc w:val="center"/>
        <w:rPr>
          <w:rFonts w:ascii="宋体" w:hAnsi="宋体" w:cs="宋体"/>
          <w:b/>
          <w:color w:val="auto"/>
          <w:sz w:val="36"/>
          <w:highlight w:val="none"/>
        </w:rPr>
      </w:pPr>
      <w:r>
        <w:rPr>
          <w:rFonts w:hint="eastAsia" w:ascii="宋体" w:hAnsi="宋体" w:cs="宋体"/>
          <w:b/>
          <w:color w:val="auto"/>
          <w:sz w:val="36"/>
          <w:highlight w:val="none"/>
        </w:rPr>
        <w:t>安全文明施工协议书</w:t>
      </w:r>
    </w:p>
    <w:p>
      <w:pPr>
        <w:spacing w:line="360" w:lineRule="exact"/>
        <w:rPr>
          <w:rFonts w:ascii="宋体" w:hAnsi="宋体"/>
          <w:b/>
          <w:color w:val="auto"/>
          <w:sz w:val="22"/>
          <w:szCs w:val="22"/>
          <w:highlight w:val="none"/>
        </w:rPr>
      </w:pPr>
      <w:r>
        <w:rPr>
          <w:rFonts w:hint="eastAsia" w:ascii="宋体" w:hAnsi="宋体"/>
          <w:b/>
          <w:color w:val="auto"/>
          <w:sz w:val="22"/>
          <w:szCs w:val="22"/>
          <w:highlight w:val="none"/>
        </w:rPr>
        <w:t>发包人（甲方）：</w:t>
      </w:r>
      <w:r>
        <w:rPr>
          <w:rFonts w:hint="eastAsia" w:ascii="宋体" w:hAnsi="宋体"/>
          <w:b/>
          <w:color w:val="auto"/>
          <w:sz w:val="22"/>
          <w:szCs w:val="22"/>
          <w:highlight w:val="none"/>
          <w:u w:val="single"/>
        </w:rPr>
        <w:t>杭州萧山国际机场有限公司</w:t>
      </w:r>
    </w:p>
    <w:p>
      <w:pPr>
        <w:spacing w:line="360" w:lineRule="exact"/>
        <w:rPr>
          <w:rFonts w:ascii="宋体" w:hAnsi="宋体"/>
          <w:b/>
          <w:color w:val="auto"/>
          <w:sz w:val="22"/>
          <w:szCs w:val="22"/>
          <w:highlight w:val="none"/>
          <w:u w:val="single"/>
        </w:rPr>
      </w:pPr>
      <w:r>
        <w:rPr>
          <w:rFonts w:hint="eastAsia" w:ascii="宋体" w:hAnsi="宋体"/>
          <w:b/>
          <w:color w:val="auto"/>
          <w:sz w:val="22"/>
          <w:szCs w:val="22"/>
          <w:highlight w:val="none"/>
        </w:rPr>
        <w:t>承包人（乙方）：</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为确保</w:t>
      </w:r>
      <w:r>
        <w:rPr>
          <w:rFonts w:hint="eastAsia" w:ascii="宋体" w:hAnsi="宋体"/>
          <w:b/>
          <w:color w:val="auto"/>
          <w:sz w:val="22"/>
          <w:szCs w:val="22"/>
          <w:highlight w:val="none"/>
        </w:rPr>
        <w:t>杭州萧山国际机场</w:t>
      </w:r>
      <w:r>
        <w:rPr>
          <w:rFonts w:hint="eastAsia" w:ascii="宋体" w:hAnsi="宋体" w:cs="宋体"/>
          <w:b/>
          <w:color w:val="auto"/>
          <w:sz w:val="22"/>
          <w:highlight w:val="none"/>
          <w:u w:val="single"/>
          <w:lang w:val="en-US" w:eastAsia="zh-CN"/>
        </w:rPr>
        <w:t>T3中央空调主机房电磁式冷热量表安装</w:t>
      </w:r>
      <w:r>
        <w:rPr>
          <w:rFonts w:hint="eastAsia" w:ascii="宋体" w:hAnsi="宋体"/>
          <w:b/>
          <w:color w:val="auto"/>
          <w:sz w:val="22"/>
          <w:szCs w:val="22"/>
          <w:highlight w:val="none"/>
        </w:rPr>
        <w:t>工程</w:t>
      </w:r>
      <w:r>
        <w:rPr>
          <w:rFonts w:ascii="宋体" w:hAnsi="宋体"/>
          <w:color w:val="auto"/>
          <w:sz w:val="22"/>
          <w:szCs w:val="22"/>
          <w:highlight w:val="none"/>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color w:val="auto"/>
          <w:sz w:val="22"/>
          <w:szCs w:val="22"/>
          <w:highlight w:val="none"/>
        </w:rPr>
      </w:pPr>
      <w:r>
        <w:rPr>
          <w:rFonts w:ascii="宋体" w:hAnsi="宋体"/>
          <w:b/>
          <w:color w:val="auto"/>
          <w:sz w:val="22"/>
          <w:szCs w:val="22"/>
          <w:highlight w:val="none"/>
        </w:rPr>
        <w:t>一、甲方对乙方实行安全目标管理，安全目标的具体内容是</w:t>
      </w:r>
      <w:r>
        <w:rPr>
          <w:rFonts w:ascii="宋体" w:hAnsi="宋体"/>
          <w:color w:val="auto"/>
          <w:sz w:val="22"/>
          <w:szCs w:val="22"/>
          <w:highlight w:val="none"/>
        </w:rPr>
        <w:t>：</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1、无死亡事故和重大伤害事故(含道路交通事故)。</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2、无重大责任事故。</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3、无空防安全事故。</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4、无七类重大刑事案件(杀人、绑架、强奸、放火、爆炸、劫持、故意伤害致死)及其它严重、恶性案件。</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上述情况的认定按国家和行业的有关规定和标准执行。</w:t>
      </w:r>
    </w:p>
    <w:p>
      <w:pPr>
        <w:spacing w:line="360" w:lineRule="exact"/>
        <w:ind w:firstLine="442" w:firstLineChars="200"/>
        <w:rPr>
          <w:rFonts w:ascii="宋体" w:hAnsi="宋体"/>
          <w:b/>
          <w:color w:val="auto"/>
          <w:sz w:val="22"/>
          <w:szCs w:val="22"/>
          <w:highlight w:val="none"/>
        </w:rPr>
      </w:pPr>
      <w:r>
        <w:rPr>
          <w:rFonts w:ascii="宋体" w:hAnsi="宋体"/>
          <w:b/>
          <w:color w:val="auto"/>
          <w:sz w:val="22"/>
          <w:szCs w:val="22"/>
          <w:highlight w:val="none"/>
        </w:rPr>
        <w:t>二、甲方的协助责任和权利</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5、不得对乙方提出违反国家法律、法规和强制性标准规定的要求。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9、利用施工例会定期分析和掌握施工单位的治安情况，通报当前治安形势，交流工作经验，协助处理相关问题。</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10、乙方拒不按照本协议条款规定组织安全文明施工的，甲方有权责令乙方停工整改直至终止合同。</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11、甲方有权对乙方各项安全工作进行监督、检查。</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color w:val="auto"/>
          <w:sz w:val="22"/>
          <w:szCs w:val="22"/>
          <w:highlight w:val="none"/>
        </w:rPr>
      </w:pPr>
      <w:r>
        <w:rPr>
          <w:rFonts w:ascii="宋体" w:hAnsi="宋体"/>
          <w:b/>
          <w:color w:val="auto"/>
          <w:sz w:val="22"/>
          <w:szCs w:val="22"/>
          <w:highlight w:val="none"/>
        </w:rPr>
        <w:t>三、乙方的安全责任和权利</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（一）乙方应从事的施工安全管理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24、在采用新技术、新工艺、新设备、新材料时，应当对作业人员进行相应的安全生产教育培训。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（二）乙方应从事的空防安全管理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（三）乙方应从事的不停航施工项目安全管理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 xml:space="preserve">（四）乙方的文明施工责任 </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color w:val="auto"/>
          <w:sz w:val="22"/>
          <w:szCs w:val="22"/>
          <w:highlight w:val="none"/>
        </w:rPr>
      </w:pPr>
      <w:r>
        <w:rPr>
          <w:rFonts w:ascii="宋体" w:hAnsi="宋体"/>
          <w:color w:val="auto"/>
          <w:sz w:val="22"/>
          <w:szCs w:val="22"/>
          <w:highlight w:val="none"/>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（五）乙方应从事的社会治安综合治理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39、认真排查、调处各类矛盾，及时消除隐患，杜绝各类社会矛盾引发的群体性事件的发生。</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（六）乙方应从事的消防安全管理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43、施工中使用明火，使用电、气进行焊接和切割作业，须经机场公安消防管理部门审查批准，未经批准一律不得使用。</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44、加强对施工人员进行消防安全教育，使其熟悉本岗位防火措施、遇险报警、初期扑救及自救逃生的知识和技能。</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（七）乙方应从事的交通安全管理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color w:val="auto"/>
          <w:sz w:val="22"/>
          <w:szCs w:val="22"/>
          <w:highlight w:val="none"/>
        </w:rPr>
      </w:pPr>
      <w:r>
        <w:rPr>
          <w:rFonts w:ascii="宋体" w:hAnsi="宋体"/>
          <w:b/>
          <w:color w:val="auto"/>
          <w:sz w:val="22"/>
          <w:szCs w:val="22"/>
          <w:highlight w:val="none"/>
        </w:rPr>
        <w:t>四、违约责任</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color w:val="auto"/>
          <w:sz w:val="22"/>
          <w:szCs w:val="22"/>
          <w:highlight w:val="none"/>
        </w:rPr>
      </w:pPr>
      <w:r>
        <w:rPr>
          <w:rFonts w:ascii="宋体" w:hAnsi="宋体"/>
          <w:color w:val="auto"/>
          <w:sz w:val="22"/>
          <w:szCs w:val="22"/>
          <w:highlight w:val="none"/>
        </w:rPr>
        <w:t>五、本协议书附于《施工合同》正副本后，签字盖章后生效。</w:t>
      </w:r>
    </w:p>
    <w:p>
      <w:pPr>
        <w:adjustRightInd w:val="0"/>
        <w:snapToGrid w:val="0"/>
        <w:spacing w:line="360" w:lineRule="exact"/>
        <w:rPr>
          <w:rFonts w:ascii="宋体" w:hAnsi="宋体"/>
          <w:b/>
          <w:bCs/>
          <w:color w:val="auto"/>
          <w:sz w:val="22"/>
          <w:szCs w:val="22"/>
          <w:highlight w:val="none"/>
        </w:rPr>
      </w:pPr>
      <w:r>
        <w:rPr>
          <w:rFonts w:ascii="宋体" w:hAnsi="宋体"/>
          <w:b/>
          <w:bCs/>
          <w:color w:val="auto"/>
          <w:sz w:val="22"/>
          <w:szCs w:val="22"/>
          <w:highlight w:val="none"/>
        </w:rPr>
        <w:t>五、附则：</w:t>
      </w:r>
    </w:p>
    <w:p>
      <w:pPr>
        <w:adjustRightInd w:val="0"/>
        <w:snapToGrid w:val="0"/>
        <w:spacing w:line="360" w:lineRule="exact"/>
        <w:rPr>
          <w:rFonts w:ascii="宋体" w:hAnsi="宋体"/>
          <w:color w:val="auto"/>
          <w:sz w:val="22"/>
          <w:szCs w:val="22"/>
          <w:highlight w:val="none"/>
        </w:rPr>
      </w:pPr>
      <w:r>
        <w:rPr>
          <w:rFonts w:ascii="宋体" w:hAnsi="宋体"/>
          <w:color w:val="auto"/>
          <w:sz w:val="22"/>
          <w:szCs w:val="22"/>
          <w:highlight w:val="none"/>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color w:val="auto"/>
          <w:sz w:val="22"/>
          <w:szCs w:val="22"/>
          <w:highlight w:val="none"/>
        </w:rPr>
      </w:pPr>
      <w:r>
        <w:rPr>
          <w:rFonts w:ascii="宋体" w:hAnsi="宋体"/>
          <w:color w:val="auto"/>
          <w:sz w:val="22"/>
          <w:szCs w:val="22"/>
          <w:highlight w:val="none"/>
        </w:rPr>
        <w:t>（二）本责任书解释权归甲方。</w:t>
      </w:r>
    </w:p>
    <w:p>
      <w:pPr>
        <w:adjustRightInd w:val="0"/>
        <w:snapToGrid w:val="0"/>
        <w:spacing w:line="360" w:lineRule="exact"/>
        <w:rPr>
          <w:rFonts w:ascii="宋体" w:hAnsi="宋体"/>
          <w:color w:val="auto"/>
          <w:sz w:val="22"/>
          <w:szCs w:val="22"/>
          <w:highlight w:val="none"/>
        </w:rPr>
      </w:pPr>
      <w:r>
        <w:rPr>
          <w:rFonts w:ascii="宋体" w:hAnsi="宋体"/>
          <w:color w:val="auto"/>
          <w:sz w:val="22"/>
          <w:szCs w:val="22"/>
          <w:highlight w:val="none"/>
        </w:rPr>
        <w:t>（三）本责任书由甲乙双方共同盖章后生效。</w:t>
      </w:r>
    </w:p>
    <w:p>
      <w:pPr>
        <w:adjustRightInd w:val="0"/>
        <w:snapToGrid w:val="0"/>
        <w:spacing w:line="360" w:lineRule="exact"/>
        <w:rPr>
          <w:rFonts w:ascii="宋体" w:hAnsi="宋体"/>
          <w:color w:val="auto"/>
          <w:sz w:val="22"/>
          <w:szCs w:val="22"/>
          <w:highlight w:val="none"/>
        </w:rPr>
      </w:pPr>
    </w:p>
    <w:p>
      <w:pPr>
        <w:adjustRightInd w:val="0"/>
        <w:snapToGrid w:val="0"/>
        <w:spacing w:line="360" w:lineRule="exact"/>
        <w:ind w:left="5632" w:hanging="5632" w:hangingChars="2550"/>
        <w:rPr>
          <w:rFonts w:ascii="宋体" w:hAnsi="宋体"/>
          <w:b/>
          <w:color w:val="auto"/>
          <w:sz w:val="22"/>
          <w:szCs w:val="22"/>
          <w:highlight w:val="none"/>
        </w:rPr>
      </w:pPr>
      <w:r>
        <w:rPr>
          <w:rFonts w:hint="eastAsia" w:ascii="宋体" w:hAnsi="宋体"/>
          <w:b/>
          <w:color w:val="auto"/>
          <w:sz w:val="22"/>
          <w:szCs w:val="22"/>
          <w:highlight w:val="none"/>
        </w:rPr>
        <w:t>发包人：杭州萧山国际机场有限公司         承包人：</w:t>
      </w:r>
    </w:p>
    <w:p>
      <w:pPr>
        <w:spacing w:line="360" w:lineRule="exact"/>
        <w:rPr>
          <w:rFonts w:ascii="宋体" w:hAnsi="宋体"/>
          <w:color w:val="auto"/>
          <w:sz w:val="22"/>
          <w:szCs w:val="22"/>
          <w:highlight w:val="none"/>
        </w:rPr>
      </w:pPr>
    </w:p>
    <w:p>
      <w:pPr>
        <w:adjustRightInd w:val="0"/>
        <w:snapToGrid w:val="0"/>
        <w:spacing w:line="360" w:lineRule="exact"/>
        <w:rPr>
          <w:rFonts w:ascii="宋体" w:hAnsi="宋体"/>
          <w:color w:val="auto"/>
          <w:sz w:val="22"/>
          <w:szCs w:val="22"/>
          <w:highlight w:val="none"/>
        </w:rPr>
      </w:pPr>
      <w:r>
        <w:rPr>
          <w:rFonts w:hint="eastAsia" w:ascii="宋体" w:hAnsi="宋体"/>
          <w:b/>
          <w:color w:val="auto"/>
          <w:sz w:val="22"/>
          <w:szCs w:val="22"/>
          <w:highlight w:val="none"/>
        </w:rPr>
        <w:t xml:space="preserve"> 年   月   日                               年   月   日</w:t>
      </w:r>
    </w:p>
    <w:p>
      <w:pPr>
        <w:rPr>
          <w:rFonts w:ascii="宋体" w:hAnsi="宋体" w:cs="宋体"/>
          <w:bCs/>
          <w:color w:val="auto"/>
          <w:sz w:val="22"/>
          <w:szCs w:val="22"/>
          <w:highlight w:val="none"/>
        </w:rPr>
      </w:pPr>
    </w:p>
    <w:p>
      <w:pPr>
        <w:pStyle w:val="68"/>
        <w:ind w:firstLine="0" w:firstLineChars="0"/>
        <w:rPr>
          <w:rFonts w:ascii="宋体" w:hAnsi="宋体"/>
          <w:color w:val="auto"/>
          <w:highlight w:val="none"/>
        </w:rPr>
      </w:pPr>
      <w:r>
        <w:rPr>
          <w:rFonts w:hint="eastAsia" w:ascii="宋体" w:hAnsi="宋体"/>
          <w:color w:val="auto"/>
          <w:highlight w:val="none"/>
        </w:rPr>
        <w:br w:type="page"/>
      </w:r>
      <w:r>
        <w:rPr>
          <w:rFonts w:hint="eastAsia" w:ascii="宋体" w:hAnsi="宋体"/>
          <w:color w:val="auto"/>
          <w:highlight w:val="none"/>
        </w:rPr>
        <w:t>附件三</w:t>
      </w:r>
    </w:p>
    <w:p>
      <w:pPr>
        <w:pStyle w:val="68"/>
        <w:ind w:firstLine="0" w:firstLineChars="0"/>
        <w:jc w:val="center"/>
        <w:rPr>
          <w:rFonts w:ascii="宋体" w:hAnsi="宋体"/>
          <w:b/>
          <w:color w:val="auto"/>
          <w:sz w:val="36"/>
          <w:highlight w:val="none"/>
        </w:rPr>
      </w:pPr>
      <w:r>
        <w:rPr>
          <w:rFonts w:hint="eastAsia" w:ascii="宋体" w:hAnsi="宋体"/>
          <w:b/>
          <w:color w:val="auto"/>
          <w:sz w:val="36"/>
          <w:highlight w:val="none"/>
        </w:rPr>
        <w:t>廉洁自律承诺书</w:t>
      </w:r>
    </w:p>
    <w:p>
      <w:pPr>
        <w:pStyle w:val="68"/>
        <w:ind w:firstLine="0" w:firstLineChars="0"/>
        <w:rPr>
          <w:rFonts w:ascii="宋体" w:hAnsi="宋体"/>
          <w:color w:val="auto"/>
          <w:highlight w:val="none"/>
        </w:rPr>
      </w:pPr>
    </w:p>
    <w:p>
      <w:pPr>
        <w:pStyle w:val="73"/>
        <w:adjustRightInd w:val="0"/>
        <w:snapToGrid w:val="0"/>
        <w:spacing w:line="500" w:lineRule="exact"/>
        <w:ind w:firstLine="0" w:firstLineChars="0"/>
        <w:rPr>
          <w:rFonts w:ascii="宋体" w:hAnsi="宋体"/>
          <w:color w:val="auto"/>
          <w:sz w:val="22"/>
          <w:szCs w:val="22"/>
          <w:highlight w:val="none"/>
        </w:rPr>
      </w:pPr>
      <w:r>
        <w:rPr>
          <w:rFonts w:hint="eastAsia" w:ascii="宋体" w:hAnsi="宋体"/>
          <w:color w:val="auto"/>
          <w:sz w:val="22"/>
          <w:szCs w:val="22"/>
          <w:highlight w:val="none"/>
        </w:rPr>
        <w:t>杭州萧山国际机场有限公司：</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我单位响应贵公司项目招标（竞争性谈判）要求，参加项目投标（竞争性谈判）。在投标过程中及中标后，我们将严格遵守国家法律法规要求，并郑重承诺：</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一、不以任何形式向贵公司有关人员及部门赠送礼金礼物或其它代币券、回扣、中介费、咨询费等好处费；</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二、不以任何名义为贵公司有关人员及部门报销应由贵公司或个人支付的费用；</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三、不向贵公司有关人员及部门提供有可能影响公正的宴请和健身娱乐等活动；</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四、不为贵公司有关人员出国（境）、旅游等提供方便；</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五、不为贵公司有关人员个人装修住房、婚丧嫁娶、配偶子女工作安排等提供好处；</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86661113。</w:t>
      </w:r>
    </w:p>
    <w:p>
      <w:pPr>
        <w:pStyle w:val="73"/>
        <w:adjustRightInd w:val="0"/>
        <w:snapToGrid w:val="0"/>
        <w:spacing w:line="500" w:lineRule="exact"/>
        <w:ind w:firstLine="440"/>
        <w:rPr>
          <w:rFonts w:ascii="宋体" w:hAnsi="宋体"/>
          <w:color w:val="auto"/>
          <w:sz w:val="22"/>
          <w:szCs w:val="22"/>
          <w:highlight w:val="none"/>
        </w:rPr>
      </w:pPr>
      <w:r>
        <w:rPr>
          <w:rFonts w:hint="eastAsia" w:ascii="宋体" w:hAnsi="宋体"/>
          <w:color w:val="auto"/>
          <w:sz w:val="22"/>
          <w:szCs w:val="22"/>
          <w:highlight w:val="none"/>
        </w:rPr>
        <w:t>如违反上述承诺，贵公司有权立即取消我单位投标、中标或在建项目的实施资格，有权拒绝我单位在一定时期内进入贵公司进行项目建设或其它经营活动。由此引起的相应损失均由我单位承担。</w:t>
      </w:r>
    </w:p>
    <w:p>
      <w:pPr>
        <w:pStyle w:val="73"/>
        <w:adjustRightInd w:val="0"/>
        <w:snapToGrid w:val="0"/>
        <w:spacing w:line="500" w:lineRule="exact"/>
        <w:ind w:firstLine="0" w:firstLineChars="0"/>
        <w:jc w:val="left"/>
        <w:rPr>
          <w:rFonts w:hint="eastAsia" w:ascii="宋体" w:hAnsi="宋体"/>
          <w:color w:val="auto"/>
          <w:sz w:val="22"/>
          <w:szCs w:val="22"/>
          <w:highlight w:val="none"/>
        </w:rPr>
      </w:pPr>
    </w:p>
    <w:p>
      <w:pPr>
        <w:pStyle w:val="73"/>
        <w:adjustRightInd w:val="0"/>
        <w:snapToGrid w:val="0"/>
        <w:spacing w:line="500" w:lineRule="exact"/>
        <w:ind w:firstLine="0" w:firstLineChars="0"/>
        <w:jc w:val="left"/>
        <w:rPr>
          <w:rFonts w:ascii="宋体" w:hAnsi="宋体"/>
          <w:color w:val="auto"/>
          <w:sz w:val="22"/>
          <w:szCs w:val="22"/>
          <w:highlight w:val="none"/>
        </w:rPr>
      </w:pPr>
      <w:r>
        <w:rPr>
          <w:rFonts w:hint="eastAsia" w:ascii="宋体" w:hAnsi="宋体"/>
          <w:color w:val="auto"/>
          <w:sz w:val="22"/>
          <w:szCs w:val="22"/>
          <w:highlight w:val="none"/>
        </w:rPr>
        <w:t xml:space="preserve">承诺人单位名称（盖章）：            </w:t>
      </w:r>
    </w:p>
    <w:p>
      <w:pPr>
        <w:pStyle w:val="73"/>
        <w:adjustRightInd w:val="0"/>
        <w:snapToGrid w:val="0"/>
        <w:spacing w:line="500" w:lineRule="exact"/>
        <w:ind w:firstLine="0" w:firstLineChars="0"/>
        <w:jc w:val="left"/>
        <w:rPr>
          <w:rFonts w:ascii="宋体" w:hAnsi="宋体"/>
          <w:color w:val="auto"/>
          <w:sz w:val="22"/>
          <w:szCs w:val="22"/>
          <w:highlight w:val="none"/>
        </w:rPr>
      </w:pPr>
      <w:r>
        <w:rPr>
          <w:rFonts w:hint="eastAsia" w:ascii="宋体" w:hAnsi="宋体"/>
          <w:color w:val="auto"/>
          <w:sz w:val="22"/>
          <w:szCs w:val="22"/>
          <w:highlight w:val="none"/>
        </w:rPr>
        <w:t xml:space="preserve">法定代表人 ：                    </w:t>
      </w:r>
    </w:p>
    <w:p>
      <w:pPr>
        <w:pStyle w:val="73"/>
        <w:adjustRightInd w:val="0"/>
        <w:snapToGrid w:val="0"/>
        <w:spacing w:line="500" w:lineRule="exact"/>
        <w:ind w:firstLine="0" w:firstLineChars="0"/>
        <w:jc w:val="left"/>
        <w:rPr>
          <w:rFonts w:ascii="宋体" w:hAnsi="宋体"/>
          <w:color w:val="auto"/>
          <w:sz w:val="22"/>
          <w:szCs w:val="22"/>
          <w:highlight w:val="none"/>
        </w:rPr>
      </w:pPr>
      <w:r>
        <w:rPr>
          <w:rFonts w:hint="eastAsia" w:ascii="宋体" w:hAnsi="宋体"/>
          <w:color w:val="auto"/>
          <w:sz w:val="22"/>
          <w:szCs w:val="22"/>
          <w:highlight w:val="none"/>
        </w:rPr>
        <w:t xml:space="preserve">或                            </w:t>
      </w:r>
    </w:p>
    <w:p>
      <w:pPr>
        <w:pStyle w:val="73"/>
        <w:adjustRightInd w:val="0"/>
        <w:snapToGrid w:val="0"/>
        <w:spacing w:line="500" w:lineRule="exact"/>
        <w:ind w:firstLine="0" w:firstLineChars="0"/>
        <w:jc w:val="left"/>
        <w:rPr>
          <w:rFonts w:ascii="宋体" w:hAnsi="宋体"/>
          <w:color w:val="auto"/>
          <w:sz w:val="22"/>
          <w:szCs w:val="22"/>
          <w:highlight w:val="none"/>
        </w:rPr>
      </w:pPr>
      <w:r>
        <w:rPr>
          <w:rFonts w:hint="eastAsia" w:ascii="宋体" w:hAnsi="宋体"/>
          <w:color w:val="auto"/>
          <w:sz w:val="22"/>
          <w:szCs w:val="22"/>
          <w:highlight w:val="none"/>
        </w:rPr>
        <w:t xml:space="preserve">委托代理人：                   </w:t>
      </w:r>
    </w:p>
    <w:p>
      <w:pPr>
        <w:pStyle w:val="73"/>
        <w:adjustRightInd w:val="0"/>
        <w:snapToGrid w:val="0"/>
        <w:spacing w:line="500" w:lineRule="exact"/>
        <w:ind w:firstLine="0" w:firstLineChars="0"/>
        <w:jc w:val="left"/>
        <w:rPr>
          <w:rFonts w:ascii="宋体" w:hAnsi="宋体"/>
          <w:color w:val="auto"/>
          <w:sz w:val="22"/>
          <w:szCs w:val="22"/>
          <w:highlight w:val="none"/>
        </w:rPr>
      </w:pPr>
    </w:p>
    <w:p>
      <w:pPr>
        <w:widowControl/>
        <w:jc w:val="left"/>
        <w:rPr>
          <w:rFonts w:ascii="Cambria" w:hAnsi="Cambria" w:eastAsia="黑体" w:cs="Times New Roman"/>
          <w:b/>
          <w:bCs/>
          <w:color w:val="auto"/>
          <w:kern w:val="0"/>
          <w:sz w:val="32"/>
          <w:szCs w:val="32"/>
          <w:highlight w:val="none"/>
        </w:rPr>
      </w:pPr>
      <w:r>
        <w:rPr>
          <w:rFonts w:hint="eastAsia" w:ascii="宋体" w:hAnsi="宋体"/>
          <w:color w:val="auto"/>
          <w:sz w:val="22"/>
          <w:highlight w:val="none"/>
        </w:rPr>
        <w:t>签订日期：　年  月  日</w:t>
      </w:r>
    </w:p>
    <w:p>
      <w:pPr>
        <w:widowControl/>
        <w:jc w:val="left"/>
        <w:rPr>
          <w:rFonts w:ascii="Cambria" w:hAnsi="Cambria" w:eastAsia="黑体" w:cs="Times New Roman"/>
          <w:b/>
          <w:bCs/>
          <w:color w:val="auto"/>
          <w:kern w:val="0"/>
          <w:sz w:val="32"/>
          <w:szCs w:val="32"/>
          <w:highlight w:val="none"/>
        </w:rPr>
      </w:pPr>
      <w:r>
        <w:rPr>
          <w:color w:val="auto"/>
          <w:highlight w:val="none"/>
        </w:rPr>
        <w:br w:type="page"/>
      </w:r>
    </w:p>
    <w:p>
      <w:pPr>
        <w:pStyle w:val="51"/>
        <w:numPr>
          <w:ilvl w:val="0"/>
          <w:numId w:val="5"/>
        </w:numPr>
        <w:rPr>
          <w:rFonts w:hint="eastAsia"/>
          <w:color w:val="auto"/>
          <w:highlight w:val="none"/>
        </w:rPr>
      </w:pPr>
      <w:bookmarkStart w:id="94" w:name="_Toc450630562"/>
      <w:r>
        <w:rPr>
          <w:rFonts w:hint="eastAsia"/>
          <w:color w:val="auto"/>
          <w:highlight w:val="none"/>
        </w:rPr>
        <w:t xml:space="preserve"> 参考工程量清单</w:t>
      </w:r>
      <w:bookmarkEnd w:id="94"/>
      <w:r>
        <w:rPr>
          <w:rFonts w:hint="eastAsia"/>
          <w:color w:val="auto"/>
          <w:highlight w:val="none"/>
        </w:rPr>
        <w:t>、</w:t>
      </w:r>
      <w:bookmarkStart w:id="95" w:name="OLE_LINK4"/>
      <w:r>
        <w:rPr>
          <w:rFonts w:hint="eastAsia"/>
          <w:color w:val="auto"/>
          <w:highlight w:val="none"/>
        </w:rPr>
        <w:t>技术标准和要求</w:t>
      </w:r>
    </w:p>
    <w:bookmarkEnd w:id="95"/>
    <w:p>
      <w:pPr>
        <w:spacing w:line="400" w:lineRule="exact"/>
        <w:rPr>
          <w:rFonts w:hint="eastAsia" w:ascii="宋体" w:hAnsi="宋体"/>
          <w:b/>
          <w:color w:val="auto"/>
          <w:sz w:val="28"/>
          <w:szCs w:val="28"/>
          <w:highlight w:val="none"/>
        </w:rPr>
      </w:pPr>
      <w:bookmarkStart w:id="96" w:name="OLE_LINK3"/>
      <w:r>
        <w:rPr>
          <w:rFonts w:hint="eastAsia" w:ascii="宋体" w:hAnsi="宋体"/>
          <w:b/>
          <w:color w:val="auto"/>
          <w:sz w:val="28"/>
          <w:szCs w:val="28"/>
          <w:highlight w:val="none"/>
        </w:rPr>
        <w:t>一、</w:t>
      </w:r>
      <w:r>
        <w:rPr>
          <w:rFonts w:hint="eastAsia" w:ascii="宋体" w:hAnsi="宋体"/>
          <w:b/>
          <w:color w:val="auto"/>
          <w:sz w:val="28"/>
          <w:szCs w:val="28"/>
          <w:highlight w:val="none"/>
          <w:lang w:eastAsia="zh-CN"/>
        </w:rPr>
        <w:t>参考工程量清单</w:t>
      </w:r>
    </w:p>
    <w:bookmarkEnd w:id="96"/>
    <w:p>
      <w:pPr>
        <w:numPr>
          <w:ilvl w:val="0"/>
          <w:numId w:val="0"/>
        </w:numPr>
        <w:rPr>
          <w:color w:val="auto"/>
          <w:highlight w:val="none"/>
        </w:rPr>
      </w:pPr>
    </w:p>
    <w:tbl>
      <w:tblPr>
        <w:tblStyle w:val="58"/>
        <w:tblW w:w="8180" w:type="dxa"/>
        <w:tblInd w:w="163"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020"/>
        <w:gridCol w:w="2700"/>
        <w:gridCol w:w="2295"/>
        <w:gridCol w:w="1080"/>
        <w:gridCol w:w="108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81" w:hRule="atLeast"/>
        </w:trPr>
        <w:tc>
          <w:tcPr>
            <w:tcW w:w="1020" w:type="dxa"/>
            <w:tcBorders>
              <w:bottom w:val="single" w:color="000000" w:sz="8" w:space="0"/>
              <w:right w:val="single" w:color="000000" w:sz="8" w:space="0"/>
            </w:tcBorders>
          </w:tcPr>
          <w:p>
            <w:pPr>
              <w:pStyle w:val="142"/>
              <w:spacing w:before="158"/>
              <w:ind w:left="273" w:right="231"/>
              <w:rPr>
                <w:b/>
                <w:color w:val="auto"/>
                <w:sz w:val="22"/>
                <w:highlight w:val="none"/>
              </w:rPr>
            </w:pPr>
            <w:r>
              <w:rPr>
                <w:b/>
                <w:color w:val="auto"/>
                <w:sz w:val="22"/>
                <w:highlight w:val="none"/>
              </w:rPr>
              <w:t>序号</w:t>
            </w:r>
          </w:p>
        </w:tc>
        <w:tc>
          <w:tcPr>
            <w:tcW w:w="2700" w:type="dxa"/>
            <w:tcBorders>
              <w:left w:val="single" w:color="000000" w:sz="8" w:space="0"/>
              <w:bottom w:val="single" w:color="000000" w:sz="8" w:space="0"/>
              <w:right w:val="single" w:color="000000" w:sz="8" w:space="0"/>
            </w:tcBorders>
          </w:tcPr>
          <w:p>
            <w:pPr>
              <w:pStyle w:val="142"/>
              <w:spacing w:before="158"/>
              <w:ind w:left="468" w:right="412"/>
              <w:rPr>
                <w:b/>
                <w:color w:val="auto"/>
                <w:sz w:val="22"/>
                <w:highlight w:val="none"/>
              </w:rPr>
            </w:pPr>
            <w:r>
              <w:rPr>
                <w:b/>
                <w:color w:val="auto"/>
                <w:sz w:val="22"/>
                <w:highlight w:val="none"/>
              </w:rPr>
              <w:t>名称</w:t>
            </w:r>
          </w:p>
        </w:tc>
        <w:tc>
          <w:tcPr>
            <w:tcW w:w="2295" w:type="dxa"/>
            <w:tcBorders>
              <w:left w:val="single" w:color="000000" w:sz="8" w:space="0"/>
              <w:bottom w:val="single" w:color="000000" w:sz="8" w:space="0"/>
              <w:right w:val="single" w:color="000000" w:sz="8" w:space="0"/>
            </w:tcBorders>
          </w:tcPr>
          <w:p>
            <w:pPr>
              <w:pStyle w:val="142"/>
              <w:spacing w:before="158"/>
              <w:ind w:left="374" w:right="318"/>
              <w:rPr>
                <w:b/>
                <w:color w:val="auto"/>
                <w:sz w:val="22"/>
                <w:highlight w:val="none"/>
              </w:rPr>
            </w:pPr>
            <w:r>
              <w:rPr>
                <w:b/>
                <w:color w:val="auto"/>
                <w:sz w:val="22"/>
                <w:highlight w:val="none"/>
              </w:rPr>
              <w:t>规格/型号</w:t>
            </w:r>
          </w:p>
        </w:tc>
        <w:tc>
          <w:tcPr>
            <w:tcW w:w="1080" w:type="dxa"/>
            <w:tcBorders>
              <w:left w:val="single" w:color="000000" w:sz="8" w:space="0"/>
              <w:bottom w:val="single" w:color="000000" w:sz="8" w:space="0"/>
              <w:right w:val="single" w:color="000000" w:sz="8" w:space="0"/>
            </w:tcBorders>
          </w:tcPr>
          <w:p>
            <w:pPr>
              <w:pStyle w:val="142"/>
              <w:spacing w:before="158"/>
              <w:ind w:left="318" w:right="260"/>
              <w:rPr>
                <w:b/>
                <w:color w:val="auto"/>
                <w:sz w:val="22"/>
                <w:highlight w:val="none"/>
              </w:rPr>
            </w:pPr>
            <w:r>
              <w:rPr>
                <w:b/>
                <w:color w:val="auto"/>
                <w:sz w:val="22"/>
                <w:highlight w:val="none"/>
              </w:rPr>
              <w:t>单位</w:t>
            </w:r>
          </w:p>
        </w:tc>
        <w:tc>
          <w:tcPr>
            <w:tcW w:w="1085" w:type="dxa"/>
            <w:tcBorders>
              <w:left w:val="single" w:color="000000" w:sz="8" w:space="0"/>
              <w:bottom w:val="single" w:color="000000" w:sz="8" w:space="0"/>
              <w:right w:val="single" w:color="000000" w:sz="8" w:space="0"/>
            </w:tcBorders>
          </w:tcPr>
          <w:p>
            <w:pPr>
              <w:pStyle w:val="142"/>
              <w:spacing w:before="158"/>
              <w:ind w:left="318" w:right="265"/>
              <w:rPr>
                <w:b/>
                <w:color w:val="auto"/>
                <w:sz w:val="22"/>
                <w:highlight w:val="none"/>
              </w:rPr>
            </w:pPr>
            <w:r>
              <w:rPr>
                <w:b/>
                <w:color w:val="auto"/>
                <w:sz w:val="22"/>
                <w:highlight w:val="none"/>
              </w:rPr>
              <w:t>数量</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94" w:hRule="atLeast"/>
        </w:trPr>
        <w:tc>
          <w:tcPr>
            <w:tcW w:w="1020" w:type="dxa"/>
            <w:tcBorders>
              <w:top w:val="single" w:color="000000" w:sz="8" w:space="0"/>
              <w:bottom w:val="single" w:color="000000" w:sz="8" w:space="0"/>
              <w:right w:val="single" w:color="000000" w:sz="8" w:space="0"/>
            </w:tcBorders>
          </w:tcPr>
          <w:p>
            <w:pPr>
              <w:pStyle w:val="142"/>
              <w:ind w:left="43"/>
              <w:rPr>
                <w:rFonts w:hint="eastAsia" w:eastAsia="宋体"/>
                <w:color w:val="auto"/>
                <w:sz w:val="22"/>
                <w:highlight w:val="none"/>
                <w:lang w:eastAsia="zh-CN"/>
              </w:rPr>
            </w:pPr>
            <w:r>
              <w:rPr>
                <w:rFonts w:hint="eastAsia"/>
                <w:color w:val="auto"/>
                <w:w w:val="100"/>
                <w:sz w:val="22"/>
                <w:highlight w:val="none"/>
                <w:lang w:val="en-US" w:eastAsia="zh-CN"/>
              </w:rPr>
              <w:t>1</w:t>
            </w:r>
          </w:p>
        </w:tc>
        <w:tc>
          <w:tcPr>
            <w:tcW w:w="2700" w:type="dxa"/>
            <w:tcBorders>
              <w:top w:val="single" w:color="000000" w:sz="8" w:space="0"/>
              <w:left w:val="single" w:color="000000" w:sz="8" w:space="0"/>
              <w:bottom w:val="single" w:color="000000" w:sz="8" w:space="0"/>
              <w:right w:val="single" w:color="000000" w:sz="8" w:space="0"/>
            </w:tcBorders>
          </w:tcPr>
          <w:p>
            <w:pPr>
              <w:pStyle w:val="142"/>
              <w:ind w:left="468" w:right="412"/>
              <w:rPr>
                <w:color w:val="auto"/>
                <w:sz w:val="22"/>
                <w:highlight w:val="none"/>
              </w:rPr>
            </w:pPr>
            <w:r>
              <w:rPr>
                <w:color w:val="auto"/>
                <w:sz w:val="22"/>
                <w:highlight w:val="none"/>
              </w:rPr>
              <w:t>能量表</w:t>
            </w:r>
            <w:r>
              <w:rPr>
                <w:rFonts w:hint="eastAsia"/>
                <w:color w:val="auto"/>
                <w:sz w:val="22"/>
                <w:highlight w:val="none"/>
                <w:lang w:eastAsia="zh-CN"/>
              </w:rPr>
              <w:t>安装、接线调试等</w:t>
            </w:r>
          </w:p>
        </w:tc>
        <w:tc>
          <w:tcPr>
            <w:tcW w:w="2295" w:type="dxa"/>
            <w:tcBorders>
              <w:top w:val="single" w:color="000000" w:sz="8" w:space="0"/>
              <w:left w:val="single" w:color="000000" w:sz="8" w:space="0"/>
              <w:bottom w:val="single" w:color="000000" w:sz="8" w:space="0"/>
              <w:right w:val="single" w:color="000000" w:sz="8" w:space="0"/>
            </w:tcBorders>
          </w:tcPr>
          <w:p>
            <w:pPr>
              <w:pStyle w:val="142"/>
              <w:ind w:left="377" w:right="318"/>
              <w:rPr>
                <w:color w:val="auto"/>
                <w:sz w:val="22"/>
                <w:highlight w:val="none"/>
              </w:rPr>
            </w:pPr>
            <w:r>
              <w:rPr>
                <w:color w:val="auto"/>
                <w:sz w:val="22"/>
                <w:highlight w:val="none"/>
              </w:rPr>
              <w:t>D</w:t>
            </w:r>
            <w:r>
              <w:rPr>
                <w:rFonts w:hint="eastAsia"/>
                <w:color w:val="auto"/>
                <w:sz w:val="22"/>
                <w:highlight w:val="none"/>
                <w:lang w:val="en-US" w:eastAsia="zh-CN"/>
              </w:rPr>
              <w:t>N300</w:t>
            </w:r>
          </w:p>
        </w:tc>
        <w:tc>
          <w:tcPr>
            <w:tcW w:w="1080" w:type="dxa"/>
            <w:tcBorders>
              <w:top w:val="single" w:color="000000" w:sz="8" w:space="0"/>
              <w:left w:val="single" w:color="000000" w:sz="8" w:space="0"/>
              <w:bottom w:val="single" w:color="000000" w:sz="8" w:space="0"/>
              <w:right w:val="single" w:color="000000" w:sz="8" w:space="0"/>
            </w:tcBorders>
          </w:tcPr>
          <w:p>
            <w:pPr>
              <w:pStyle w:val="142"/>
              <w:ind w:left="58"/>
              <w:rPr>
                <w:color w:val="auto"/>
                <w:sz w:val="22"/>
                <w:highlight w:val="none"/>
              </w:rPr>
            </w:pPr>
            <w:r>
              <w:rPr>
                <w:color w:val="auto"/>
                <w:w w:val="100"/>
                <w:sz w:val="22"/>
                <w:highlight w:val="none"/>
              </w:rPr>
              <w:t>台</w:t>
            </w:r>
          </w:p>
        </w:tc>
        <w:tc>
          <w:tcPr>
            <w:tcW w:w="1085" w:type="dxa"/>
            <w:tcBorders>
              <w:top w:val="single" w:color="000000" w:sz="8" w:space="0"/>
              <w:left w:val="single" w:color="000000" w:sz="8" w:space="0"/>
              <w:bottom w:val="single" w:color="000000" w:sz="8" w:space="0"/>
              <w:right w:val="single" w:color="000000" w:sz="8" w:space="0"/>
            </w:tcBorders>
          </w:tcPr>
          <w:p>
            <w:pPr>
              <w:pStyle w:val="142"/>
              <w:ind w:left="53"/>
              <w:rPr>
                <w:rFonts w:hint="eastAsia" w:eastAsia="宋体"/>
                <w:color w:val="auto"/>
                <w:sz w:val="22"/>
                <w:highlight w:val="none"/>
                <w:lang w:eastAsia="zh-CN"/>
              </w:rPr>
            </w:pPr>
            <w:r>
              <w:rPr>
                <w:rFonts w:hint="eastAsia"/>
                <w:color w:val="auto"/>
                <w:w w:val="100"/>
                <w:sz w:val="22"/>
                <w:highlight w:val="none"/>
                <w:lang w:val="en-US" w:eastAsia="zh-CN"/>
              </w:rPr>
              <w:t>6</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95" w:hRule="atLeast"/>
        </w:trPr>
        <w:tc>
          <w:tcPr>
            <w:tcW w:w="1020" w:type="dxa"/>
            <w:tcBorders>
              <w:top w:val="single" w:color="000000" w:sz="8" w:space="0"/>
              <w:bottom w:val="single" w:color="000000" w:sz="8" w:space="0"/>
              <w:right w:val="single" w:color="000000" w:sz="8" w:space="0"/>
            </w:tcBorders>
          </w:tcPr>
          <w:p>
            <w:pPr>
              <w:pStyle w:val="142"/>
              <w:ind w:left="43"/>
              <w:rPr>
                <w:rFonts w:hint="eastAsia" w:eastAsia="宋体"/>
                <w:color w:val="auto"/>
                <w:sz w:val="22"/>
                <w:highlight w:val="none"/>
                <w:lang w:eastAsia="zh-CN"/>
              </w:rPr>
            </w:pPr>
            <w:r>
              <w:rPr>
                <w:rFonts w:hint="eastAsia"/>
                <w:color w:val="auto"/>
                <w:w w:val="100"/>
                <w:sz w:val="22"/>
                <w:highlight w:val="none"/>
                <w:lang w:val="en-US" w:eastAsia="zh-CN"/>
              </w:rPr>
              <w:t>2</w:t>
            </w:r>
          </w:p>
        </w:tc>
        <w:tc>
          <w:tcPr>
            <w:tcW w:w="2700" w:type="dxa"/>
            <w:tcBorders>
              <w:top w:val="single" w:color="000000" w:sz="8" w:space="0"/>
              <w:left w:val="single" w:color="000000" w:sz="8" w:space="0"/>
              <w:bottom w:val="single" w:color="000000" w:sz="8" w:space="0"/>
              <w:right w:val="single" w:color="000000" w:sz="8" w:space="0"/>
            </w:tcBorders>
          </w:tcPr>
          <w:p>
            <w:pPr>
              <w:pStyle w:val="142"/>
              <w:ind w:left="468" w:right="412"/>
              <w:rPr>
                <w:color w:val="auto"/>
                <w:sz w:val="22"/>
                <w:highlight w:val="none"/>
              </w:rPr>
            </w:pPr>
            <w:r>
              <w:rPr>
                <w:color w:val="auto"/>
                <w:sz w:val="22"/>
                <w:highlight w:val="none"/>
              </w:rPr>
              <w:t>能量表</w:t>
            </w:r>
            <w:r>
              <w:rPr>
                <w:rFonts w:hint="eastAsia"/>
                <w:color w:val="auto"/>
                <w:sz w:val="22"/>
                <w:highlight w:val="none"/>
                <w:lang w:eastAsia="zh-CN"/>
              </w:rPr>
              <w:t>安装、接线调试等</w:t>
            </w:r>
          </w:p>
        </w:tc>
        <w:tc>
          <w:tcPr>
            <w:tcW w:w="2295" w:type="dxa"/>
            <w:tcBorders>
              <w:top w:val="single" w:color="000000" w:sz="8" w:space="0"/>
              <w:left w:val="single" w:color="000000" w:sz="8" w:space="0"/>
              <w:bottom w:val="single" w:color="000000" w:sz="8" w:space="0"/>
              <w:right w:val="single" w:color="000000" w:sz="8" w:space="0"/>
            </w:tcBorders>
          </w:tcPr>
          <w:p>
            <w:pPr>
              <w:pStyle w:val="142"/>
              <w:ind w:left="377" w:right="318"/>
              <w:rPr>
                <w:rFonts w:hint="eastAsia" w:eastAsia="宋体"/>
                <w:color w:val="auto"/>
                <w:sz w:val="22"/>
                <w:highlight w:val="none"/>
                <w:lang w:eastAsia="zh-CN"/>
              </w:rPr>
            </w:pPr>
            <w:r>
              <w:rPr>
                <w:rFonts w:hint="eastAsia"/>
                <w:color w:val="auto"/>
                <w:sz w:val="22"/>
                <w:highlight w:val="none"/>
                <w:lang w:val="en-US" w:eastAsia="zh-CN"/>
              </w:rPr>
              <w:t>DN200</w:t>
            </w:r>
          </w:p>
        </w:tc>
        <w:tc>
          <w:tcPr>
            <w:tcW w:w="1080" w:type="dxa"/>
            <w:tcBorders>
              <w:top w:val="single" w:color="000000" w:sz="8" w:space="0"/>
              <w:left w:val="single" w:color="000000" w:sz="8" w:space="0"/>
              <w:bottom w:val="single" w:color="000000" w:sz="8" w:space="0"/>
              <w:right w:val="single" w:color="000000" w:sz="8" w:space="0"/>
            </w:tcBorders>
          </w:tcPr>
          <w:p>
            <w:pPr>
              <w:pStyle w:val="142"/>
              <w:ind w:left="58"/>
              <w:rPr>
                <w:color w:val="auto"/>
                <w:sz w:val="22"/>
                <w:highlight w:val="none"/>
              </w:rPr>
            </w:pPr>
            <w:r>
              <w:rPr>
                <w:color w:val="auto"/>
                <w:w w:val="100"/>
                <w:sz w:val="22"/>
                <w:highlight w:val="none"/>
              </w:rPr>
              <w:t>台</w:t>
            </w:r>
          </w:p>
        </w:tc>
        <w:tc>
          <w:tcPr>
            <w:tcW w:w="1085" w:type="dxa"/>
            <w:tcBorders>
              <w:top w:val="single" w:color="000000" w:sz="8" w:space="0"/>
              <w:left w:val="single" w:color="000000" w:sz="8" w:space="0"/>
              <w:bottom w:val="single" w:color="000000" w:sz="8" w:space="0"/>
              <w:right w:val="single" w:color="000000" w:sz="8" w:space="0"/>
            </w:tcBorders>
          </w:tcPr>
          <w:p>
            <w:pPr>
              <w:pStyle w:val="142"/>
              <w:ind w:left="53"/>
              <w:rPr>
                <w:rFonts w:hint="eastAsia" w:eastAsia="宋体"/>
                <w:color w:val="auto"/>
                <w:sz w:val="22"/>
                <w:highlight w:val="none"/>
                <w:lang w:eastAsia="zh-CN"/>
              </w:rPr>
            </w:pPr>
            <w:r>
              <w:rPr>
                <w:rFonts w:hint="eastAsia"/>
                <w:color w:val="auto"/>
                <w:w w:val="100"/>
                <w:sz w:val="22"/>
                <w:highlight w:val="none"/>
                <w:lang w:val="en-US" w:eastAsia="zh-CN"/>
              </w:rPr>
              <w:t>4</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94" w:hRule="atLeast"/>
        </w:trPr>
        <w:tc>
          <w:tcPr>
            <w:tcW w:w="1020" w:type="dxa"/>
            <w:tcBorders>
              <w:top w:val="single" w:color="000000" w:sz="8" w:space="0"/>
              <w:bottom w:val="single" w:color="000000" w:sz="8" w:space="0"/>
              <w:right w:val="single" w:color="000000" w:sz="8" w:space="0"/>
            </w:tcBorders>
          </w:tcPr>
          <w:p>
            <w:pPr>
              <w:pStyle w:val="142"/>
              <w:ind w:left="43"/>
              <w:rPr>
                <w:rFonts w:hint="eastAsia" w:eastAsia="宋体"/>
                <w:color w:val="auto"/>
                <w:sz w:val="22"/>
                <w:highlight w:val="none"/>
                <w:lang w:eastAsia="zh-CN"/>
              </w:rPr>
            </w:pPr>
            <w:r>
              <w:rPr>
                <w:rFonts w:hint="eastAsia"/>
                <w:color w:val="auto"/>
                <w:w w:val="100"/>
                <w:sz w:val="22"/>
                <w:highlight w:val="none"/>
                <w:lang w:val="en-US" w:eastAsia="zh-CN"/>
              </w:rPr>
              <w:t>3</w:t>
            </w:r>
          </w:p>
        </w:tc>
        <w:tc>
          <w:tcPr>
            <w:tcW w:w="2700" w:type="dxa"/>
            <w:tcBorders>
              <w:top w:val="single" w:color="000000" w:sz="8" w:space="0"/>
              <w:left w:val="single" w:color="000000" w:sz="8" w:space="0"/>
              <w:bottom w:val="single" w:color="000000" w:sz="8" w:space="0"/>
              <w:right w:val="single" w:color="000000" w:sz="8" w:space="0"/>
            </w:tcBorders>
          </w:tcPr>
          <w:p>
            <w:pPr>
              <w:pStyle w:val="142"/>
              <w:ind w:left="468" w:right="412"/>
              <w:rPr>
                <w:color w:val="auto"/>
                <w:sz w:val="22"/>
                <w:highlight w:val="none"/>
              </w:rPr>
            </w:pPr>
            <w:r>
              <w:rPr>
                <w:color w:val="auto"/>
                <w:sz w:val="22"/>
                <w:highlight w:val="none"/>
              </w:rPr>
              <w:t>数据集抄设备</w:t>
            </w:r>
            <w:r>
              <w:rPr>
                <w:rFonts w:hint="eastAsia"/>
                <w:color w:val="auto"/>
                <w:sz w:val="22"/>
                <w:highlight w:val="none"/>
                <w:lang w:eastAsia="zh-CN"/>
              </w:rPr>
              <w:t>安装</w:t>
            </w:r>
          </w:p>
        </w:tc>
        <w:tc>
          <w:tcPr>
            <w:tcW w:w="2295" w:type="dxa"/>
            <w:tcBorders>
              <w:top w:val="single" w:color="000000" w:sz="8" w:space="0"/>
              <w:left w:val="single" w:color="000000" w:sz="8" w:space="0"/>
              <w:bottom w:val="single" w:color="000000" w:sz="8" w:space="0"/>
              <w:right w:val="single" w:color="000000" w:sz="8" w:space="0"/>
            </w:tcBorders>
          </w:tcPr>
          <w:p>
            <w:pPr>
              <w:pStyle w:val="142"/>
              <w:ind w:left="377" w:right="318"/>
              <w:rPr>
                <w:color w:val="auto"/>
                <w:sz w:val="22"/>
                <w:highlight w:val="none"/>
              </w:rPr>
            </w:pPr>
          </w:p>
        </w:tc>
        <w:tc>
          <w:tcPr>
            <w:tcW w:w="1080" w:type="dxa"/>
            <w:tcBorders>
              <w:top w:val="single" w:color="000000" w:sz="8" w:space="0"/>
              <w:left w:val="single" w:color="000000" w:sz="8" w:space="0"/>
              <w:bottom w:val="single" w:color="000000" w:sz="8" w:space="0"/>
              <w:right w:val="single" w:color="000000" w:sz="8" w:space="0"/>
            </w:tcBorders>
          </w:tcPr>
          <w:p>
            <w:pPr>
              <w:pStyle w:val="142"/>
              <w:ind w:left="58"/>
              <w:rPr>
                <w:rFonts w:hint="eastAsia" w:eastAsia="宋体"/>
                <w:color w:val="auto"/>
                <w:sz w:val="22"/>
                <w:highlight w:val="none"/>
                <w:lang w:eastAsia="zh-CN"/>
              </w:rPr>
            </w:pPr>
            <w:r>
              <w:rPr>
                <w:rFonts w:hint="eastAsia"/>
                <w:color w:val="auto"/>
                <w:w w:val="100"/>
                <w:sz w:val="22"/>
                <w:highlight w:val="none"/>
                <w:lang w:eastAsia="zh-CN"/>
              </w:rPr>
              <w:t>套</w:t>
            </w:r>
          </w:p>
        </w:tc>
        <w:tc>
          <w:tcPr>
            <w:tcW w:w="1085" w:type="dxa"/>
            <w:tcBorders>
              <w:top w:val="single" w:color="000000" w:sz="8" w:space="0"/>
              <w:left w:val="single" w:color="000000" w:sz="8" w:space="0"/>
              <w:bottom w:val="single" w:color="000000" w:sz="8" w:space="0"/>
              <w:right w:val="single" w:color="000000" w:sz="8" w:space="0"/>
            </w:tcBorders>
          </w:tcPr>
          <w:p>
            <w:pPr>
              <w:pStyle w:val="142"/>
              <w:ind w:left="53"/>
              <w:rPr>
                <w:color w:val="auto"/>
                <w:sz w:val="22"/>
                <w:highlight w:val="none"/>
              </w:rPr>
            </w:pPr>
            <w:r>
              <w:rPr>
                <w:color w:val="auto"/>
                <w:w w:val="100"/>
                <w:sz w:val="22"/>
                <w:highlight w:val="none"/>
              </w:rPr>
              <w: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94" w:hRule="atLeast"/>
        </w:trPr>
        <w:tc>
          <w:tcPr>
            <w:tcW w:w="1020" w:type="dxa"/>
            <w:tcBorders>
              <w:top w:val="single" w:color="000000" w:sz="8" w:space="0"/>
              <w:bottom w:val="single" w:color="000000" w:sz="8" w:space="0"/>
              <w:right w:val="single" w:color="000000" w:sz="8" w:space="0"/>
            </w:tcBorders>
          </w:tcPr>
          <w:p>
            <w:pPr>
              <w:pStyle w:val="142"/>
              <w:ind w:left="43"/>
              <w:rPr>
                <w:rFonts w:hint="eastAsia" w:eastAsia="宋体"/>
                <w:color w:val="auto"/>
                <w:sz w:val="22"/>
                <w:highlight w:val="none"/>
                <w:lang w:eastAsia="zh-CN"/>
              </w:rPr>
            </w:pPr>
            <w:r>
              <w:rPr>
                <w:rFonts w:hint="eastAsia"/>
                <w:color w:val="auto"/>
                <w:w w:val="100"/>
                <w:sz w:val="22"/>
                <w:highlight w:val="none"/>
                <w:lang w:val="en-US" w:eastAsia="zh-CN"/>
              </w:rPr>
              <w:t>4</w:t>
            </w:r>
          </w:p>
        </w:tc>
        <w:tc>
          <w:tcPr>
            <w:tcW w:w="2700" w:type="dxa"/>
            <w:tcBorders>
              <w:top w:val="single" w:color="000000" w:sz="8" w:space="0"/>
              <w:left w:val="single" w:color="000000" w:sz="8" w:space="0"/>
              <w:bottom w:val="single" w:color="000000" w:sz="8" w:space="0"/>
              <w:right w:val="single" w:color="000000" w:sz="8" w:space="0"/>
            </w:tcBorders>
          </w:tcPr>
          <w:p>
            <w:pPr>
              <w:pStyle w:val="142"/>
              <w:ind w:left="468" w:right="412"/>
              <w:rPr>
                <w:color w:val="auto"/>
                <w:sz w:val="22"/>
                <w:highlight w:val="none"/>
              </w:rPr>
            </w:pPr>
            <w:r>
              <w:rPr>
                <w:color w:val="auto"/>
                <w:sz w:val="22"/>
                <w:highlight w:val="none"/>
              </w:rPr>
              <w:t>对夹式涡轮蝶阀</w:t>
            </w:r>
            <w:r>
              <w:rPr>
                <w:rFonts w:hint="eastAsia"/>
                <w:color w:val="auto"/>
                <w:sz w:val="22"/>
                <w:highlight w:val="none"/>
                <w:lang w:eastAsia="zh-CN"/>
              </w:rPr>
              <w:t>（含法兰片）安装</w:t>
            </w:r>
          </w:p>
        </w:tc>
        <w:tc>
          <w:tcPr>
            <w:tcW w:w="2295" w:type="dxa"/>
            <w:tcBorders>
              <w:top w:val="single" w:color="000000" w:sz="8" w:space="0"/>
              <w:left w:val="single" w:color="000000" w:sz="8" w:space="0"/>
              <w:bottom w:val="single" w:color="000000" w:sz="8" w:space="0"/>
              <w:right w:val="single" w:color="000000" w:sz="8" w:space="0"/>
            </w:tcBorders>
          </w:tcPr>
          <w:p>
            <w:pPr>
              <w:pStyle w:val="142"/>
              <w:ind w:left="377" w:right="318"/>
              <w:rPr>
                <w:color w:val="auto"/>
                <w:sz w:val="22"/>
                <w:highlight w:val="none"/>
              </w:rPr>
            </w:pPr>
            <w:r>
              <w:rPr>
                <w:color w:val="auto"/>
                <w:sz w:val="22"/>
                <w:highlight w:val="none"/>
              </w:rPr>
              <w:t>D</w:t>
            </w:r>
            <w:r>
              <w:rPr>
                <w:rFonts w:hint="eastAsia"/>
                <w:color w:val="auto"/>
                <w:sz w:val="22"/>
                <w:highlight w:val="none"/>
                <w:lang w:val="en-US" w:eastAsia="zh-CN"/>
              </w:rPr>
              <w:t>N200</w:t>
            </w:r>
          </w:p>
        </w:tc>
        <w:tc>
          <w:tcPr>
            <w:tcW w:w="1080" w:type="dxa"/>
            <w:tcBorders>
              <w:top w:val="single" w:color="000000" w:sz="8" w:space="0"/>
              <w:left w:val="single" w:color="000000" w:sz="8" w:space="0"/>
              <w:bottom w:val="single" w:color="000000" w:sz="8" w:space="0"/>
              <w:right w:val="single" w:color="000000" w:sz="8" w:space="0"/>
            </w:tcBorders>
          </w:tcPr>
          <w:p>
            <w:pPr>
              <w:pStyle w:val="142"/>
              <w:ind w:left="58"/>
              <w:rPr>
                <w:color w:val="auto"/>
                <w:sz w:val="22"/>
                <w:highlight w:val="none"/>
              </w:rPr>
            </w:pPr>
            <w:r>
              <w:rPr>
                <w:color w:val="auto"/>
                <w:w w:val="100"/>
                <w:sz w:val="22"/>
                <w:highlight w:val="none"/>
              </w:rPr>
              <w:t>个</w:t>
            </w:r>
          </w:p>
        </w:tc>
        <w:tc>
          <w:tcPr>
            <w:tcW w:w="1085" w:type="dxa"/>
            <w:tcBorders>
              <w:top w:val="single" w:color="000000" w:sz="8" w:space="0"/>
              <w:left w:val="single" w:color="000000" w:sz="8" w:space="0"/>
              <w:bottom w:val="single" w:color="000000" w:sz="8" w:space="0"/>
              <w:right w:val="single" w:color="000000" w:sz="8" w:space="0"/>
            </w:tcBorders>
          </w:tcPr>
          <w:p>
            <w:pPr>
              <w:pStyle w:val="142"/>
              <w:ind w:left="53"/>
              <w:rPr>
                <w:rFonts w:hint="eastAsia" w:eastAsia="宋体"/>
                <w:color w:val="auto"/>
                <w:sz w:val="22"/>
                <w:highlight w:val="none"/>
                <w:lang w:eastAsia="zh-CN"/>
              </w:rPr>
            </w:pPr>
            <w:r>
              <w:rPr>
                <w:rFonts w:hint="eastAsia"/>
                <w:color w:val="auto"/>
                <w:w w:val="100"/>
                <w:sz w:val="22"/>
                <w:highlight w:val="none"/>
                <w:lang w:val="en-US" w:eastAsia="zh-CN"/>
              </w:rPr>
              <w:t>8</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594" w:hRule="atLeast"/>
        </w:trPr>
        <w:tc>
          <w:tcPr>
            <w:tcW w:w="1020" w:type="dxa"/>
            <w:tcBorders>
              <w:top w:val="single" w:color="000000" w:sz="8" w:space="0"/>
              <w:bottom w:val="single" w:color="000000" w:sz="8" w:space="0"/>
              <w:right w:val="single" w:color="000000" w:sz="8" w:space="0"/>
            </w:tcBorders>
          </w:tcPr>
          <w:p>
            <w:pPr>
              <w:pStyle w:val="142"/>
              <w:ind w:left="43"/>
              <w:rPr>
                <w:rFonts w:hint="eastAsia"/>
                <w:color w:val="auto"/>
                <w:w w:val="100"/>
                <w:sz w:val="22"/>
                <w:highlight w:val="none"/>
                <w:lang w:val="en-US" w:eastAsia="zh-CN"/>
              </w:rPr>
            </w:pPr>
            <w:r>
              <w:rPr>
                <w:rFonts w:hint="eastAsia"/>
                <w:color w:val="auto"/>
                <w:w w:val="100"/>
                <w:sz w:val="22"/>
                <w:highlight w:val="none"/>
                <w:lang w:val="en-US" w:eastAsia="zh-CN"/>
              </w:rPr>
              <w:t>5</w:t>
            </w:r>
          </w:p>
        </w:tc>
        <w:tc>
          <w:tcPr>
            <w:tcW w:w="2700" w:type="dxa"/>
            <w:tcBorders>
              <w:top w:val="single" w:color="000000" w:sz="8" w:space="0"/>
              <w:left w:val="single" w:color="000000" w:sz="8" w:space="0"/>
              <w:bottom w:val="single" w:color="000000" w:sz="8" w:space="0"/>
              <w:right w:val="single" w:color="000000" w:sz="8" w:space="0"/>
            </w:tcBorders>
          </w:tcPr>
          <w:p>
            <w:pPr>
              <w:pStyle w:val="142"/>
              <w:ind w:left="468" w:right="412"/>
              <w:rPr>
                <w:rFonts w:hint="eastAsia" w:eastAsia="宋体"/>
                <w:color w:val="auto"/>
                <w:sz w:val="22"/>
                <w:highlight w:val="none"/>
                <w:lang w:eastAsia="zh-CN"/>
              </w:rPr>
            </w:pPr>
            <w:r>
              <w:rPr>
                <w:rFonts w:hint="eastAsia"/>
                <w:color w:val="auto"/>
                <w:sz w:val="22"/>
                <w:highlight w:val="none"/>
                <w:lang w:eastAsia="zh-CN"/>
              </w:rPr>
              <w:t>法兰片</w:t>
            </w:r>
          </w:p>
        </w:tc>
        <w:tc>
          <w:tcPr>
            <w:tcW w:w="2295" w:type="dxa"/>
            <w:tcBorders>
              <w:top w:val="single" w:color="000000" w:sz="8" w:space="0"/>
              <w:left w:val="single" w:color="000000" w:sz="8" w:space="0"/>
              <w:bottom w:val="single" w:color="000000" w:sz="8" w:space="0"/>
              <w:right w:val="single" w:color="000000" w:sz="8" w:space="0"/>
            </w:tcBorders>
          </w:tcPr>
          <w:p>
            <w:pPr>
              <w:pStyle w:val="142"/>
              <w:ind w:left="377" w:right="318"/>
              <w:rPr>
                <w:rFonts w:hint="eastAsia" w:eastAsia="宋体"/>
                <w:color w:val="auto"/>
                <w:sz w:val="22"/>
                <w:highlight w:val="none"/>
                <w:lang w:eastAsia="zh-CN"/>
              </w:rPr>
            </w:pPr>
            <w:r>
              <w:rPr>
                <w:rFonts w:hint="eastAsia"/>
                <w:color w:val="auto"/>
                <w:sz w:val="15"/>
                <w:szCs w:val="15"/>
                <w:highlight w:val="none"/>
                <w:lang w:eastAsia="zh-CN"/>
              </w:rPr>
              <w:t>与能量表相配套的规格</w:t>
            </w:r>
          </w:p>
        </w:tc>
        <w:tc>
          <w:tcPr>
            <w:tcW w:w="1080" w:type="dxa"/>
            <w:tcBorders>
              <w:top w:val="single" w:color="000000" w:sz="8" w:space="0"/>
              <w:left w:val="single" w:color="000000" w:sz="8" w:space="0"/>
              <w:bottom w:val="single" w:color="000000" w:sz="8" w:space="0"/>
              <w:right w:val="single" w:color="000000" w:sz="8" w:space="0"/>
            </w:tcBorders>
          </w:tcPr>
          <w:p>
            <w:pPr>
              <w:pStyle w:val="142"/>
              <w:ind w:left="58"/>
              <w:rPr>
                <w:rFonts w:hint="eastAsia" w:eastAsia="宋体"/>
                <w:color w:val="auto"/>
                <w:w w:val="100"/>
                <w:sz w:val="22"/>
                <w:highlight w:val="none"/>
                <w:lang w:eastAsia="zh-CN"/>
              </w:rPr>
            </w:pPr>
            <w:r>
              <w:rPr>
                <w:rFonts w:hint="eastAsia"/>
                <w:color w:val="auto"/>
                <w:w w:val="100"/>
                <w:sz w:val="22"/>
                <w:highlight w:val="none"/>
                <w:lang w:eastAsia="zh-CN"/>
              </w:rPr>
              <w:t>套</w:t>
            </w:r>
          </w:p>
        </w:tc>
        <w:tc>
          <w:tcPr>
            <w:tcW w:w="1085" w:type="dxa"/>
            <w:tcBorders>
              <w:top w:val="single" w:color="000000" w:sz="8" w:space="0"/>
              <w:left w:val="single" w:color="000000" w:sz="8" w:space="0"/>
              <w:bottom w:val="single" w:color="000000" w:sz="8" w:space="0"/>
              <w:right w:val="single" w:color="000000" w:sz="8" w:space="0"/>
            </w:tcBorders>
          </w:tcPr>
          <w:p>
            <w:pPr>
              <w:pStyle w:val="142"/>
              <w:ind w:left="53"/>
              <w:rPr>
                <w:rFonts w:hint="eastAsia"/>
                <w:color w:val="auto"/>
                <w:w w:val="100"/>
                <w:sz w:val="22"/>
                <w:highlight w:val="none"/>
                <w:lang w:val="en-US" w:eastAsia="zh-CN"/>
              </w:rPr>
            </w:pPr>
            <w:r>
              <w:rPr>
                <w:rFonts w:hint="eastAsia"/>
                <w:color w:val="auto"/>
                <w:w w:val="100"/>
                <w:sz w:val="22"/>
                <w:highlight w:val="none"/>
                <w:lang w:val="en-US" w:eastAsia="zh-CN"/>
              </w:rPr>
              <w:t>10</w:t>
            </w:r>
          </w:p>
        </w:tc>
      </w:tr>
    </w:tbl>
    <w:p>
      <w:pPr>
        <w:spacing w:line="400" w:lineRule="exact"/>
        <w:ind w:firstLine="440" w:firstLineChars="200"/>
        <w:rPr>
          <w:rFonts w:hint="eastAsia" w:ascii="宋体" w:hAnsi="宋体"/>
          <w:color w:val="auto"/>
          <w:highlight w:val="none"/>
          <w:lang w:eastAsia="zh-CN"/>
        </w:rPr>
      </w:pPr>
      <w:r>
        <w:rPr>
          <w:rFonts w:hint="eastAsia" w:ascii="宋体" w:hAnsi="宋体"/>
          <w:color w:val="auto"/>
          <w:sz w:val="22"/>
          <w:szCs w:val="22"/>
          <w:highlight w:val="none"/>
        </w:rPr>
        <w:t>★</w:t>
      </w:r>
      <w:r>
        <w:rPr>
          <w:rFonts w:hint="eastAsia" w:ascii="宋体" w:hAnsi="宋体"/>
          <w:color w:val="auto"/>
          <w:highlight w:val="none"/>
          <w:lang w:eastAsia="zh-CN"/>
        </w:rPr>
        <w:t>注：以上能量表和蝶阀规格型号为竣工图管道公称直径，建议投标人进行现场踏勘，具体以实际情况为准。</w:t>
      </w:r>
    </w:p>
    <w:p>
      <w:pPr>
        <w:numPr>
          <w:ilvl w:val="0"/>
          <w:numId w:val="6"/>
        </w:numPr>
        <w:spacing w:line="400" w:lineRule="exact"/>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t>技术标准和要求</w:t>
      </w:r>
    </w:p>
    <w:p>
      <w:pPr>
        <w:spacing w:line="400" w:lineRule="exact"/>
        <w:ind w:firstLine="440" w:firstLineChars="200"/>
        <w:rPr>
          <w:rFonts w:ascii="宋体" w:hAnsi="宋体"/>
          <w:color w:val="auto"/>
          <w:highlight w:val="none"/>
        </w:rPr>
      </w:pPr>
      <w:bookmarkStart w:id="97" w:name="OLE_LINK5"/>
      <w:r>
        <w:rPr>
          <w:rFonts w:hint="eastAsia" w:ascii="宋体" w:hAnsi="宋体"/>
          <w:color w:val="auto"/>
          <w:sz w:val="22"/>
          <w:szCs w:val="22"/>
          <w:highlight w:val="none"/>
        </w:rPr>
        <w:t>★</w:t>
      </w:r>
      <w:bookmarkEnd w:id="97"/>
      <w:r>
        <w:rPr>
          <w:rFonts w:hint="eastAsia" w:ascii="宋体" w:hAnsi="宋体"/>
          <w:color w:val="auto"/>
          <w:highlight w:val="none"/>
        </w:rPr>
        <w:t>1、</w:t>
      </w:r>
      <w:r>
        <w:rPr>
          <w:rFonts w:ascii="宋体" w:hAnsi="宋体"/>
          <w:color w:val="auto"/>
          <w:highlight w:val="none"/>
        </w:rPr>
        <w:t>根据技术文件要求，本工程项目的材料、设备、施工必须达到现行中华人民共和国及省、市、行业的有关法规、规范的要求，</w:t>
      </w:r>
      <w:r>
        <w:rPr>
          <w:rFonts w:hint="eastAsia" w:ascii="宋体" w:hAnsi="宋体"/>
          <w:color w:val="auto"/>
          <w:highlight w:val="none"/>
        </w:rPr>
        <w:t>无论何时，当本文件需要参考有关材料测试的标准和规范时，应采用相关标准和规范的现行最新版本或修改版本。具体的技术参数如下：</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1）精度</w:t>
      </w:r>
      <w:r>
        <w:rPr>
          <w:rFonts w:hint="eastAsia" w:ascii="微软雅黑" w:hAnsi="微软雅黑" w:eastAsia="微软雅黑"/>
          <w:color w:val="auto"/>
          <w:sz w:val="22"/>
          <w:highlight w:val="none"/>
          <w:lang w:val="zh-CN"/>
        </w:rPr>
        <w:t>≥</w:t>
      </w:r>
      <w:r>
        <w:rPr>
          <w:rFonts w:hint="eastAsia" w:ascii="微软雅黑" w:hAnsi="微软雅黑" w:eastAsia="微软雅黑"/>
          <w:color w:val="auto"/>
          <w:sz w:val="22"/>
          <w:highlight w:val="none"/>
          <w:lang w:val="en-US" w:eastAsia="zh-CN"/>
        </w:rPr>
        <w:t>2级</w:t>
      </w:r>
      <w:r>
        <w:rPr>
          <w:rFonts w:hint="eastAsia" w:ascii="微软雅黑" w:hAnsi="微软雅黑" w:eastAsia="微软雅黑"/>
          <w:color w:val="auto"/>
          <w:sz w:val="22"/>
          <w:highlight w:val="none"/>
        </w:rPr>
        <w:t>，防护等级</w:t>
      </w:r>
      <w:bookmarkStart w:id="98" w:name="OLE_LINK6"/>
      <w:r>
        <w:rPr>
          <w:rFonts w:hint="eastAsia" w:ascii="微软雅黑" w:hAnsi="微软雅黑" w:eastAsia="微软雅黑"/>
          <w:color w:val="auto"/>
          <w:sz w:val="22"/>
          <w:highlight w:val="none"/>
          <w:lang w:val="zh-CN"/>
        </w:rPr>
        <w:t>≥</w:t>
      </w:r>
      <w:bookmarkEnd w:id="98"/>
      <w:r>
        <w:rPr>
          <w:rFonts w:hint="eastAsia" w:ascii="微软雅黑" w:hAnsi="微软雅黑" w:eastAsia="微软雅黑"/>
          <w:color w:val="auto"/>
          <w:sz w:val="22"/>
          <w:highlight w:val="none"/>
        </w:rPr>
        <w:t>IP6</w:t>
      </w:r>
      <w:r>
        <w:rPr>
          <w:rFonts w:hint="eastAsia" w:ascii="微软雅黑" w:hAnsi="微软雅黑" w:eastAsia="微软雅黑"/>
          <w:color w:val="auto"/>
          <w:sz w:val="22"/>
          <w:highlight w:val="none"/>
          <w:lang w:val="en-US" w:eastAsia="zh-CN"/>
        </w:rPr>
        <w:t>8</w:t>
      </w:r>
      <w:r>
        <w:rPr>
          <w:rFonts w:hint="eastAsia" w:ascii="宋体" w:hAnsi="宋体"/>
          <w:color w:val="auto"/>
          <w:highlight w:val="none"/>
        </w:rPr>
        <w:t>；</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2）</w:t>
      </w:r>
      <w:r>
        <w:rPr>
          <w:rFonts w:ascii="宋体" w:hAnsi="宋体"/>
          <w:color w:val="auto"/>
          <w:highlight w:val="none"/>
        </w:rPr>
        <w:t>温度测量范围：</w:t>
      </w:r>
      <w:r>
        <w:rPr>
          <w:rFonts w:hint="default" w:ascii="宋体" w:hAnsi="宋体" w:eastAsia="宋体" w:cs="黑体"/>
          <w:color w:val="auto"/>
          <w:sz w:val="24"/>
          <w:szCs w:val="24"/>
          <w:highlight w:val="none"/>
          <w:lang w:val="en-US" w:eastAsia="zh-CN"/>
        </w:rPr>
        <w:t>4</w:t>
      </w:r>
      <w:r>
        <w:rPr>
          <w:rFonts w:hint="default" w:ascii="宋体" w:hAnsi="宋体" w:eastAsia="宋体" w:cs="黑体"/>
          <w:color w:val="auto"/>
          <w:sz w:val="24"/>
          <w:szCs w:val="24"/>
          <w:highlight w:val="none"/>
        </w:rPr>
        <w:t xml:space="preserve"> ～ </w:t>
      </w:r>
      <w:r>
        <w:rPr>
          <w:rFonts w:hint="default" w:ascii="宋体" w:hAnsi="宋体" w:eastAsia="宋体" w:cs="黑体"/>
          <w:color w:val="auto"/>
          <w:sz w:val="24"/>
          <w:szCs w:val="24"/>
          <w:highlight w:val="none"/>
          <w:lang w:val="en-US" w:eastAsia="zh-CN"/>
        </w:rPr>
        <w:t>95</w:t>
      </w:r>
      <w:r>
        <w:rPr>
          <w:rFonts w:hint="default" w:ascii="宋体" w:hAnsi="宋体" w:eastAsia="宋体" w:cs="黑体"/>
          <w:color w:val="auto"/>
          <w:sz w:val="24"/>
          <w:szCs w:val="24"/>
          <w:highlight w:val="none"/>
        </w:rPr>
        <w:t>℃</w:t>
      </w:r>
      <w:r>
        <w:rPr>
          <w:rFonts w:hint="eastAsia" w:ascii="宋体" w:hAnsi="宋体"/>
          <w:color w:val="auto"/>
          <w:highlight w:val="none"/>
        </w:rPr>
        <w:t>；</w:t>
      </w:r>
      <w:r>
        <w:rPr>
          <w:rFonts w:ascii="宋体" w:hAnsi="宋体"/>
          <w:color w:val="auto"/>
          <w:highlight w:val="none"/>
        </w:rPr>
        <w:t>温差测量范围：</w:t>
      </w:r>
      <w:r>
        <w:rPr>
          <w:rFonts w:hint="eastAsia" w:ascii="宋体" w:hAnsi="宋体"/>
          <w:color w:val="auto"/>
          <w:highlight w:val="none"/>
          <w:lang w:val="en-US" w:eastAsia="zh-CN"/>
        </w:rPr>
        <w:t>3</w:t>
      </w:r>
      <w:r>
        <w:rPr>
          <w:rFonts w:ascii="宋体" w:hAnsi="宋体"/>
          <w:color w:val="auto"/>
          <w:highlight w:val="none"/>
        </w:rPr>
        <w:t xml:space="preserve"> ～ </w:t>
      </w:r>
      <w:r>
        <w:rPr>
          <w:rFonts w:hint="eastAsia" w:ascii="宋体" w:hAnsi="宋体"/>
          <w:color w:val="auto"/>
          <w:highlight w:val="none"/>
          <w:lang w:val="en-US" w:eastAsia="zh-CN"/>
        </w:rPr>
        <w:t>75</w:t>
      </w:r>
      <w:r>
        <w:rPr>
          <w:rFonts w:ascii="宋体" w:hAnsi="宋体"/>
          <w:color w:val="auto"/>
          <w:highlight w:val="none"/>
        </w:rPr>
        <w:t>℃</w:t>
      </w:r>
    </w:p>
    <w:p>
      <w:pPr>
        <w:spacing w:line="400" w:lineRule="exact"/>
        <w:ind w:firstLine="480" w:firstLineChars="200"/>
        <w:rPr>
          <w:rFonts w:hint="eastAsia" w:ascii="宋体" w:hAnsi="宋体"/>
          <w:color w:val="auto"/>
          <w:highlight w:val="none"/>
        </w:rPr>
      </w:pPr>
      <w:r>
        <w:rPr>
          <w:rFonts w:hint="eastAsia" w:ascii="宋体" w:hAnsi="宋体"/>
          <w:color w:val="auto"/>
          <w:highlight w:val="none"/>
        </w:rPr>
        <w:t xml:space="preserve">   3）</w:t>
      </w:r>
      <w:r>
        <w:rPr>
          <w:rFonts w:ascii="宋体" w:hAnsi="宋体"/>
          <w:color w:val="auto"/>
          <w:highlight w:val="none"/>
        </w:rPr>
        <w:t>热量单位：kJ、MJ、GJ、kwh、Mwh</w:t>
      </w:r>
      <w:r>
        <w:rPr>
          <w:rFonts w:hint="eastAsia" w:ascii="宋体" w:hAnsi="宋体"/>
          <w:color w:val="auto"/>
          <w:highlight w:val="none"/>
        </w:rPr>
        <w:t>不同单位之间可切换显示</w:t>
      </w:r>
    </w:p>
    <w:p>
      <w:pPr>
        <w:spacing w:line="400" w:lineRule="exact"/>
        <w:ind w:firstLine="480" w:firstLineChars="200"/>
        <w:rPr>
          <w:rFonts w:hint="eastAsia" w:ascii="宋体" w:hAnsi="宋体"/>
          <w:color w:val="auto"/>
          <w:highlight w:val="none"/>
          <w:lang w:val="en-US" w:eastAsia="zh-CN"/>
        </w:rPr>
      </w:pPr>
      <w:r>
        <w:rPr>
          <w:rFonts w:hint="eastAsia" w:ascii="宋体" w:hAnsi="宋体"/>
          <w:color w:val="auto"/>
          <w:highlight w:val="none"/>
          <w:lang w:val="en-US" w:eastAsia="zh-CN"/>
        </w:rPr>
        <w:t xml:space="preserve">   4）压力损失：＜18Kpa/qp</w:t>
      </w:r>
    </w:p>
    <w:p>
      <w:pPr>
        <w:spacing w:line="400" w:lineRule="exact"/>
        <w:ind w:firstLine="480" w:firstLineChars="200"/>
        <w:rPr>
          <w:rFonts w:hint="eastAsia" w:ascii="宋体" w:hAnsi="宋体"/>
          <w:color w:val="auto"/>
          <w:highlight w:val="none"/>
          <w:lang w:val="en-US" w:eastAsia="zh-CN"/>
        </w:rPr>
      </w:pPr>
      <w:r>
        <w:rPr>
          <w:rFonts w:hint="eastAsia" w:ascii="宋体" w:hAnsi="宋体"/>
          <w:color w:val="auto"/>
          <w:highlight w:val="none"/>
          <w:lang w:val="en-US" w:eastAsia="zh-CN"/>
        </w:rPr>
        <w:t xml:space="preserve">   5) 热（冷）耗计算从0.25K开始</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6</w:t>
      </w:r>
      <w:r>
        <w:rPr>
          <w:rFonts w:hint="eastAsia" w:ascii="宋体" w:hAnsi="宋体"/>
          <w:color w:val="auto"/>
          <w:highlight w:val="none"/>
        </w:rPr>
        <w:t>）</w:t>
      </w:r>
      <w:r>
        <w:rPr>
          <w:rFonts w:ascii="宋体" w:hAnsi="宋体"/>
          <w:color w:val="auto"/>
          <w:highlight w:val="none"/>
        </w:rPr>
        <w:t>结构形式：分体型</w:t>
      </w:r>
    </w:p>
    <w:p>
      <w:pPr>
        <w:spacing w:line="400" w:lineRule="exact"/>
        <w:ind w:firstLine="48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 xml:space="preserve">   7）环境温度：A类（5</w:t>
      </w:r>
      <w:r>
        <w:rPr>
          <w:rFonts w:ascii="宋体" w:hAnsi="宋体"/>
          <w:color w:val="auto"/>
          <w:highlight w:val="none"/>
        </w:rPr>
        <w:t>～</w:t>
      </w:r>
      <w:r>
        <w:rPr>
          <w:rFonts w:hint="eastAsia" w:ascii="宋体" w:hAnsi="宋体"/>
          <w:color w:val="auto"/>
          <w:highlight w:val="none"/>
          <w:lang w:val="en-US" w:eastAsia="zh-CN"/>
        </w:rPr>
        <w:t>55）℃</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8</w:t>
      </w:r>
      <w:r>
        <w:rPr>
          <w:rFonts w:hint="eastAsia" w:ascii="宋体" w:hAnsi="宋体"/>
          <w:color w:val="auto"/>
          <w:highlight w:val="none"/>
        </w:rPr>
        <w:t>）</w:t>
      </w:r>
      <w:r>
        <w:rPr>
          <w:rFonts w:ascii="宋体" w:hAnsi="宋体"/>
          <w:color w:val="auto"/>
          <w:highlight w:val="none"/>
        </w:rPr>
        <w:t>介质温度：</w:t>
      </w:r>
      <w:r>
        <w:rPr>
          <w:rFonts w:hint="eastAsia" w:ascii="宋体" w:hAnsi="宋体"/>
          <w:color w:val="auto"/>
          <w:highlight w:val="none"/>
          <w:lang w:val="en-US" w:eastAsia="zh-CN"/>
        </w:rPr>
        <w:t>4</w:t>
      </w:r>
      <w:r>
        <w:rPr>
          <w:rFonts w:ascii="宋体" w:hAnsi="宋体"/>
          <w:color w:val="auto"/>
          <w:highlight w:val="none"/>
        </w:rPr>
        <w:t xml:space="preserve">℃ </w:t>
      </w:r>
      <w:bookmarkStart w:id="99" w:name="OLE_LINK7"/>
      <w:r>
        <w:rPr>
          <w:rFonts w:ascii="宋体" w:hAnsi="宋体"/>
          <w:color w:val="auto"/>
          <w:highlight w:val="none"/>
        </w:rPr>
        <w:t>～</w:t>
      </w:r>
      <w:bookmarkEnd w:id="99"/>
      <w:r>
        <w:rPr>
          <w:rFonts w:ascii="宋体" w:hAnsi="宋体"/>
          <w:color w:val="auto"/>
          <w:highlight w:val="none"/>
        </w:rPr>
        <w:t xml:space="preserve"> </w:t>
      </w:r>
      <w:r>
        <w:rPr>
          <w:rFonts w:hint="eastAsia" w:ascii="宋体" w:hAnsi="宋体"/>
          <w:color w:val="auto"/>
          <w:highlight w:val="none"/>
          <w:lang w:val="en-US" w:eastAsia="zh-CN"/>
        </w:rPr>
        <w:t>95</w:t>
      </w:r>
      <w:r>
        <w:rPr>
          <w:rFonts w:ascii="宋体" w:hAnsi="宋体"/>
          <w:color w:val="auto"/>
          <w:highlight w:val="none"/>
        </w:rPr>
        <w:t>℃</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9</w:t>
      </w:r>
      <w:r>
        <w:rPr>
          <w:rFonts w:hint="eastAsia" w:ascii="宋体" w:hAnsi="宋体"/>
          <w:color w:val="auto"/>
          <w:highlight w:val="none"/>
        </w:rPr>
        <w:t>）</w:t>
      </w:r>
      <w:r>
        <w:rPr>
          <w:rFonts w:ascii="宋体" w:hAnsi="宋体"/>
          <w:color w:val="auto"/>
          <w:highlight w:val="none"/>
        </w:rPr>
        <w:t>连接方式：法兰</w:t>
      </w:r>
      <w:r>
        <w:rPr>
          <w:rFonts w:hint="eastAsia" w:ascii="宋体" w:hAnsi="宋体"/>
          <w:color w:val="auto"/>
          <w:highlight w:val="none"/>
          <w:lang w:eastAsia="zh-CN"/>
        </w:rPr>
        <w:t>连接</w:t>
      </w:r>
    </w:p>
    <w:p>
      <w:pPr>
        <w:spacing w:line="400" w:lineRule="exact"/>
        <w:ind w:firstLine="48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 xml:space="preserve">  10）供电电源：锂电池或220V</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11</w:t>
      </w:r>
      <w:r>
        <w:rPr>
          <w:rFonts w:hint="eastAsia" w:ascii="宋体" w:hAnsi="宋体"/>
          <w:color w:val="auto"/>
          <w:highlight w:val="none"/>
        </w:rPr>
        <w:t>）温度传感器</w:t>
      </w:r>
      <w:r>
        <w:rPr>
          <w:rFonts w:hint="eastAsia" w:ascii="宋体" w:hAnsi="宋体"/>
          <w:color w:val="auto"/>
          <w:highlight w:val="none"/>
          <w:lang w:eastAsia="zh-CN"/>
        </w:rPr>
        <w:t>类型</w:t>
      </w:r>
      <w:r>
        <w:rPr>
          <w:rFonts w:hint="eastAsia" w:ascii="宋体" w:hAnsi="宋体"/>
          <w:color w:val="auto"/>
          <w:highlight w:val="none"/>
        </w:rPr>
        <w:t>：</w:t>
      </w:r>
      <w:r>
        <w:rPr>
          <w:rFonts w:ascii="宋体" w:hAnsi="宋体"/>
          <w:color w:val="auto"/>
          <w:highlight w:val="none"/>
        </w:rPr>
        <w:t>PT100</w:t>
      </w:r>
      <w:r>
        <w:rPr>
          <w:rFonts w:hint="eastAsia" w:ascii="宋体" w:hAnsi="宋体"/>
          <w:color w:val="auto"/>
          <w:highlight w:val="none"/>
          <w:lang w:val="en-US" w:eastAsia="zh-CN"/>
        </w:rPr>
        <w:t>0铂电阻</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12</w:t>
      </w:r>
      <w:r>
        <w:rPr>
          <w:rFonts w:hint="eastAsia" w:ascii="宋体" w:hAnsi="宋体"/>
          <w:color w:val="auto"/>
          <w:highlight w:val="none"/>
        </w:rPr>
        <w:t>）</w:t>
      </w:r>
      <w:r>
        <w:rPr>
          <w:rFonts w:ascii="宋体" w:hAnsi="宋体"/>
          <w:color w:val="auto"/>
          <w:highlight w:val="none"/>
        </w:rPr>
        <w:t>温度</w:t>
      </w:r>
      <w:r>
        <w:rPr>
          <w:rFonts w:hint="eastAsia" w:ascii="宋体" w:hAnsi="宋体"/>
          <w:color w:val="auto"/>
          <w:highlight w:val="none"/>
          <w:lang w:eastAsia="zh-CN"/>
        </w:rPr>
        <w:t>温度传感器</w:t>
      </w:r>
      <w:r>
        <w:rPr>
          <w:rFonts w:ascii="宋体" w:hAnsi="宋体"/>
          <w:color w:val="auto"/>
          <w:highlight w:val="none"/>
        </w:rPr>
        <w:t>测量范围：</w:t>
      </w:r>
      <w:r>
        <w:rPr>
          <w:rFonts w:hint="eastAsia" w:ascii="宋体" w:hAnsi="宋体"/>
          <w:color w:val="auto"/>
          <w:highlight w:val="none"/>
          <w:lang w:val="en-US" w:eastAsia="zh-CN"/>
        </w:rPr>
        <w:t>4</w:t>
      </w:r>
      <w:r>
        <w:rPr>
          <w:rFonts w:ascii="宋体" w:hAnsi="宋体"/>
          <w:color w:val="auto"/>
          <w:highlight w:val="none"/>
        </w:rPr>
        <w:t xml:space="preserve"> ～ </w:t>
      </w:r>
      <w:r>
        <w:rPr>
          <w:rFonts w:hint="eastAsia" w:ascii="宋体" w:hAnsi="宋体"/>
          <w:color w:val="auto"/>
          <w:highlight w:val="none"/>
          <w:lang w:val="en-US" w:eastAsia="zh-CN"/>
        </w:rPr>
        <w:t>95</w:t>
      </w:r>
      <w:r>
        <w:rPr>
          <w:rFonts w:ascii="宋体" w:hAnsi="宋体"/>
          <w:color w:val="auto"/>
          <w:highlight w:val="none"/>
        </w:rPr>
        <w:t>℃</w:t>
      </w:r>
    </w:p>
    <w:p>
      <w:pPr>
        <w:spacing w:line="400" w:lineRule="exact"/>
        <w:rPr>
          <w:rFonts w:hint="eastAsia" w:ascii="宋体" w:hAnsi="宋体"/>
          <w:color w:val="auto"/>
          <w:highlight w:val="none"/>
          <w:lang w:val="en-US" w:eastAsia="zh-CN"/>
        </w:rPr>
      </w:pPr>
      <w:r>
        <w:rPr>
          <w:rFonts w:hint="eastAsia" w:ascii="宋体" w:hAnsi="宋体"/>
          <w:color w:val="auto"/>
          <w:highlight w:val="none"/>
        </w:rPr>
        <w:t xml:space="preserve">  </w:t>
      </w:r>
      <w:r>
        <w:rPr>
          <w:rFonts w:hint="eastAsia" w:ascii="宋体" w:hAnsi="宋体"/>
          <w:color w:val="auto"/>
          <w:highlight w:val="none"/>
          <w:lang w:val="en-US" w:eastAsia="zh-CN"/>
        </w:rPr>
        <w:t xml:space="preserve">    13</w:t>
      </w:r>
      <w:r>
        <w:rPr>
          <w:rFonts w:hint="eastAsia" w:ascii="宋体" w:hAnsi="宋体"/>
          <w:color w:val="auto"/>
          <w:highlight w:val="none"/>
        </w:rPr>
        <w:t>）</w:t>
      </w:r>
      <w:r>
        <w:rPr>
          <w:rFonts w:hint="eastAsia" w:ascii="宋体" w:hAnsi="宋体"/>
          <w:color w:val="auto"/>
          <w:highlight w:val="none"/>
          <w:lang w:eastAsia="zh-CN"/>
        </w:rPr>
        <w:t>存储近</w:t>
      </w:r>
      <w:r>
        <w:rPr>
          <w:rFonts w:hint="eastAsia" w:ascii="宋体" w:hAnsi="宋体"/>
          <w:color w:val="auto"/>
          <w:highlight w:val="none"/>
          <w:lang w:val="en-US" w:eastAsia="zh-CN"/>
        </w:rPr>
        <w:t>18个月的数据，并能查询，数据掉电不丢失</w:t>
      </w:r>
    </w:p>
    <w:p>
      <w:pPr>
        <w:spacing w:line="400" w:lineRule="exact"/>
        <w:rPr>
          <w:rFonts w:hint="eastAsia" w:ascii="宋体" w:hAnsi="宋体"/>
          <w:color w:val="auto"/>
          <w:highlight w:val="none"/>
          <w:lang w:val="en-US" w:eastAsia="zh-CN"/>
        </w:rPr>
      </w:pPr>
      <w:r>
        <w:rPr>
          <w:rFonts w:hint="eastAsia" w:ascii="宋体" w:hAnsi="宋体"/>
          <w:color w:val="auto"/>
          <w:highlight w:val="none"/>
          <w:lang w:val="en-US" w:eastAsia="zh-CN"/>
        </w:rPr>
        <w:t xml:space="preserve">      14）提供光电、RS485/M-bus等多种通讯方式，可实现数据远传和集中控制</w:t>
      </w:r>
    </w:p>
    <w:p>
      <w:pPr>
        <w:spacing w:line="400" w:lineRule="exact"/>
        <w:rPr>
          <w:rFonts w:hint="eastAsia" w:ascii="宋体" w:hAnsi="宋体"/>
          <w:color w:val="auto"/>
          <w:highlight w:val="none"/>
          <w:lang w:val="en-US" w:eastAsia="zh-CN"/>
        </w:rPr>
      </w:pPr>
      <w:r>
        <w:rPr>
          <w:rFonts w:hint="eastAsia" w:ascii="宋体" w:hAnsi="宋体"/>
          <w:color w:val="auto"/>
          <w:highlight w:val="none"/>
          <w:lang w:val="en-US" w:eastAsia="zh-CN"/>
        </w:rPr>
        <w:t xml:space="preserve">      15）具有热量、冷量双计量功能</w:t>
      </w:r>
    </w:p>
    <w:p>
      <w:pPr>
        <w:spacing w:line="400" w:lineRule="exact"/>
        <w:rPr>
          <w:rFonts w:hint="eastAsia" w:ascii="宋体" w:hAnsi="宋体"/>
          <w:color w:val="auto"/>
          <w:highlight w:val="none"/>
          <w:lang w:val="en-US" w:eastAsia="zh-CN"/>
        </w:rPr>
      </w:pPr>
      <w:r>
        <w:rPr>
          <w:rFonts w:hint="eastAsia" w:ascii="宋体" w:hAnsi="宋体"/>
          <w:color w:val="auto"/>
          <w:highlight w:val="none"/>
          <w:lang w:val="en-US" w:eastAsia="zh-CN"/>
        </w:rPr>
        <w:t xml:space="preserve">      16）采用微处理技术和微功耗技术，冷热量消耗全部智能计算</w:t>
      </w:r>
    </w:p>
    <w:p>
      <w:pPr>
        <w:pStyle w:val="68"/>
        <w:spacing w:line="360" w:lineRule="exact"/>
        <w:ind w:firstLine="442"/>
        <w:rPr>
          <w:rFonts w:hint="eastAsia" w:ascii="宋体" w:hAnsi="宋体"/>
          <w:color w:val="auto"/>
          <w:highlight w:val="none"/>
          <w:lang w:val="en-US" w:eastAsia="zh-CN"/>
        </w:rPr>
      </w:pPr>
      <w:r>
        <w:rPr>
          <w:rFonts w:hint="eastAsia" w:ascii="宋体" w:hAnsi="宋体"/>
          <w:color w:val="auto"/>
          <w:highlight w:val="none"/>
          <w:lang w:val="en-US" w:eastAsia="zh-CN"/>
        </w:rPr>
        <w:t xml:space="preserve">   </w:t>
      </w:r>
      <w:r>
        <w:rPr>
          <w:rFonts w:hint="eastAsia" w:ascii="宋体" w:hAnsi="宋体" w:eastAsia="宋体" w:cs="黑体"/>
          <w:color w:val="auto"/>
          <w:kern w:val="2"/>
          <w:sz w:val="24"/>
          <w:szCs w:val="24"/>
          <w:highlight w:val="none"/>
          <w:lang w:val="en-US" w:eastAsia="zh-CN" w:bidi="ar-SA"/>
        </w:rPr>
        <w:t>17）各投标人要按招标人推荐的主要设备材料品牌推荐表中的品牌或相当于（不低于）以下的同等档次品牌进行报价。推荐品牌：</w:t>
      </w:r>
      <w:r>
        <w:rPr>
          <w:rFonts w:hint="eastAsia" w:ascii="宋体" w:hAnsi="宋体" w:cs="黑体"/>
          <w:color w:val="auto"/>
          <w:kern w:val="2"/>
          <w:sz w:val="24"/>
          <w:szCs w:val="24"/>
          <w:highlight w:val="none"/>
          <w:lang w:val="en-US" w:eastAsia="zh-CN" w:bidi="ar-SA"/>
        </w:rPr>
        <w:t>腾越</w:t>
      </w:r>
      <w:r>
        <w:rPr>
          <w:rFonts w:hint="eastAsia" w:ascii="宋体" w:hAnsi="宋体" w:eastAsia="宋体" w:cs="黑体"/>
          <w:color w:val="auto"/>
          <w:kern w:val="2"/>
          <w:sz w:val="24"/>
          <w:szCs w:val="24"/>
          <w:highlight w:val="none"/>
          <w:lang w:val="en-US" w:eastAsia="zh-CN" w:bidi="ar-SA"/>
        </w:rPr>
        <w:t>、赛雅、</w:t>
      </w:r>
      <w:r>
        <w:rPr>
          <w:rFonts w:hint="eastAsia" w:ascii="宋体" w:hAnsi="宋体" w:cs="黑体"/>
          <w:color w:val="auto"/>
          <w:kern w:val="2"/>
          <w:sz w:val="24"/>
          <w:szCs w:val="24"/>
          <w:highlight w:val="none"/>
          <w:lang w:val="en-US" w:eastAsia="zh-CN" w:bidi="ar-SA"/>
        </w:rPr>
        <w:t>海林</w:t>
      </w:r>
    </w:p>
    <w:p>
      <w:pPr>
        <w:spacing w:line="400" w:lineRule="exact"/>
        <w:ind w:firstLine="440" w:firstLineChars="200"/>
        <w:rPr>
          <w:rFonts w:hint="eastAsia" w:ascii="宋体" w:hAnsi="宋体"/>
          <w:color w:val="auto"/>
          <w:sz w:val="24"/>
          <w:szCs w:val="24"/>
          <w:highlight w:val="none"/>
        </w:rPr>
      </w:pPr>
      <w:bookmarkStart w:id="100" w:name="OLE_LINK8"/>
      <w:r>
        <w:rPr>
          <w:rFonts w:hint="eastAsia" w:ascii="宋体" w:hAnsi="宋体"/>
          <w:color w:val="auto"/>
          <w:sz w:val="24"/>
          <w:szCs w:val="24"/>
          <w:highlight w:val="none"/>
        </w:rPr>
        <w:t>★</w:t>
      </w:r>
      <w:bookmarkEnd w:id="100"/>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根据机场原有</w:t>
      </w:r>
      <w:r>
        <w:rPr>
          <w:rFonts w:hint="eastAsia" w:ascii="宋体" w:hAnsi="宋体"/>
          <w:color w:val="auto"/>
          <w:sz w:val="24"/>
          <w:szCs w:val="24"/>
          <w:highlight w:val="none"/>
          <w:lang w:eastAsia="zh-CN"/>
        </w:rPr>
        <w:t>管道的</w:t>
      </w:r>
      <w:r>
        <w:rPr>
          <w:rFonts w:hint="eastAsia" w:ascii="宋体" w:hAnsi="宋体"/>
          <w:color w:val="auto"/>
          <w:sz w:val="24"/>
          <w:szCs w:val="24"/>
          <w:highlight w:val="none"/>
        </w:rPr>
        <w:t>安装位置</w:t>
      </w:r>
      <w:r>
        <w:rPr>
          <w:rFonts w:hint="eastAsia" w:ascii="宋体" w:hAnsi="宋体"/>
          <w:color w:val="auto"/>
          <w:sz w:val="24"/>
          <w:szCs w:val="24"/>
          <w:highlight w:val="none"/>
          <w:lang w:eastAsia="zh-CN"/>
        </w:rPr>
        <w:t>进行</w:t>
      </w:r>
      <w:r>
        <w:rPr>
          <w:rFonts w:hint="eastAsia" w:ascii="宋体" w:hAnsi="宋体"/>
          <w:color w:val="auto"/>
          <w:sz w:val="24"/>
          <w:szCs w:val="24"/>
          <w:highlight w:val="none"/>
        </w:rPr>
        <w:t>前后割管，装上新的</w:t>
      </w:r>
      <w:r>
        <w:rPr>
          <w:rFonts w:hint="eastAsia" w:ascii="宋体" w:hAnsi="宋体"/>
          <w:color w:val="auto"/>
          <w:sz w:val="24"/>
          <w:szCs w:val="24"/>
          <w:highlight w:val="none"/>
          <w:lang w:eastAsia="zh-CN"/>
        </w:rPr>
        <w:t>能量</w:t>
      </w:r>
      <w:r>
        <w:rPr>
          <w:rFonts w:hint="eastAsia" w:ascii="宋体" w:hAnsi="宋体"/>
          <w:color w:val="auto"/>
          <w:sz w:val="24"/>
          <w:szCs w:val="24"/>
          <w:highlight w:val="none"/>
        </w:rPr>
        <w:t>表，</w:t>
      </w:r>
      <w:r>
        <w:rPr>
          <w:rFonts w:hint="eastAsia" w:ascii="宋体" w:hAnsi="宋体"/>
          <w:color w:val="auto"/>
          <w:sz w:val="24"/>
          <w:szCs w:val="24"/>
          <w:highlight w:val="none"/>
          <w:lang w:eastAsia="zh-CN"/>
        </w:rPr>
        <w:t>进行相应的保温措施，</w:t>
      </w:r>
      <w:r>
        <w:rPr>
          <w:rFonts w:hint="eastAsia" w:ascii="宋体" w:hAnsi="宋体"/>
          <w:color w:val="auto"/>
          <w:sz w:val="24"/>
          <w:szCs w:val="24"/>
          <w:highlight w:val="none"/>
        </w:rPr>
        <w:t>同时进行</w:t>
      </w:r>
      <w:r>
        <w:rPr>
          <w:rFonts w:hint="eastAsia" w:ascii="宋体" w:hAnsi="宋体"/>
          <w:color w:val="auto"/>
          <w:sz w:val="24"/>
          <w:szCs w:val="24"/>
          <w:highlight w:val="none"/>
          <w:lang w:eastAsia="zh-CN"/>
        </w:rPr>
        <w:t>能量</w:t>
      </w:r>
      <w:r>
        <w:rPr>
          <w:rFonts w:hint="eastAsia" w:ascii="宋体" w:hAnsi="宋体"/>
          <w:color w:val="auto"/>
          <w:sz w:val="24"/>
          <w:szCs w:val="24"/>
          <w:highlight w:val="none"/>
        </w:rPr>
        <w:t>表采集线的布线工作，</w:t>
      </w:r>
      <w:r>
        <w:rPr>
          <w:rFonts w:hint="eastAsia" w:ascii="宋体" w:hAnsi="宋体"/>
          <w:color w:val="auto"/>
          <w:sz w:val="24"/>
          <w:szCs w:val="24"/>
          <w:highlight w:val="none"/>
          <w:lang w:eastAsia="zh-CN"/>
        </w:rPr>
        <w:t>建设能耗监测平台，安装数据集抄设备，保证所装的能量表能通过能耗监测系统进行实时读取、远程监控、数据存储、能效比分析等功能</w:t>
      </w:r>
      <w:r>
        <w:rPr>
          <w:rFonts w:hint="eastAsia" w:ascii="宋体" w:hAnsi="宋体"/>
          <w:color w:val="auto"/>
          <w:sz w:val="24"/>
          <w:szCs w:val="24"/>
          <w:highlight w:val="none"/>
        </w:rPr>
        <w:t>。</w:t>
      </w:r>
    </w:p>
    <w:p>
      <w:pPr>
        <w:spacing w:line="400" w:lineRule="exact"/>
        <w:ind w:firstLine="480" w:firstLineChars="200"/>
        <w:rPr>
          <w:rFonts w:ascii="宋体" w:hAnsi="宋体"/>
          <w:color w:val="auto"/>
          <w:highlight w:val="none"/>
        </w:rPr>
      </w:pPr>
      <w:r>
        <w:rPr>
          <w:rFonts w:hint="eastAsia" w:ascii="宋体" w:hAnsi="宋体"/>
          <w:color w:val="auto"/>
          <w:highlight w:val="none"/>
        </w:rPr>
        <w:t>3、施工期间不得影响甲方的正常营运及车辆通行，施工时间根据现场情况，经甲方确认方可实施。</w:t>
      </w:r>
    </w:p>
    <w:p>
      <w:pPr>
        <w:spacing w:line="400" w:lineRule="exact"/>
        <w:ind w:firstLine="480" w:firstLineChars="200"/>
        <w:rPr>
          <w:rFonts w:ascii="宋体" w:hAnsi="宋体"/>
          <w:color w:val="auto"/>
          <w:highlight w:val="none"/>
        </w:rPr>
      </w:pPr>
      <w:r>
        <w:rPr>
          <w:rFonts w:hint="eastAsia" w:ascii="宋体" w:hAnsi="宋体"/>
          <w:color w:val="auto"/>
          <w:highlight w:val="none"/>
        </w:rPr>
        <w:t>4、承包方在施工前需有详尽的施工方案及安全措施。</w:t>
      </w:r>
    </w:p>
    <w:p>
      <w:pPr>
        <w:spacing w:line="400" w:lineRule="exact"/>
        <w:ind w:firstLine="480" w:firstLineChars="200"/>
        <w:rPr>
          <w:rFonts w:ascii="宋体" w:hAnsi="宋体"/>
          <w:color w:val="auto"/>
          <w:highlight w:val="none"/>
        </w:rPr>
      </w:pPr>
      <w:r>
        <w:rPr>
          <w:rFonts w:hint="eastAsia" w:ascii="宋体" w:hAnsi="宋体"/>
          <w:color w:val="auto"/>
          <w:sz w:val="24"/>
          <w:szCs w:val="24"/>
          <w:highlight w:val="none"/>
        </w:rPr>
        <w:t>★</w:t>
      </w:r>
      <w:r>
        <w:rPr>
          <w:rFonts w:hint="eastAsia" w:ascii="宋体" w:hAnsi="宋体"/>
          <w:color w:val="auto"/>
          <w:highlight w:val="none"/>
        </w:rPr>
        <w:t>5、投标人需实地踏勘，将所有费用考虑在报价内（包括材料、拆除、安装、搬运、软硬件联调等）</w:t>
      </w:r>
      <w:r>
        <w:rPr>
          <w:rFonts w:hint="eastAsia" w:ascii="宋体" w:hAnsi="宋体"/>
          <w:color w:val="auto"/>
          <w:highlight w:val="none"/>
          <w:lang w:eastAsia="zh-CN"/>
        </w:rPr>
        <w:t>，请投标人充分考虑，一旦中标价格不予调整</w:t>
      </w:r>
      <w:r>
        <w:rPr>
          <w:rFonts w:hint="eastAsia" w:ascii="宋体" w:hAnsi="宋体"/>
          <w:color w:val="auto"/>
          <w:highlight w:val="none"/>
        </w:rPr>
        <w:t>。</w:t>
      </w:r>
    </w:p>
    <w:p>
      <w:pPr>
        <w:spacing w:line="400" w:lineRule="exact"/>
        <w:ind w:firstLine="480" w:firstLineChars="200"/>
        <w:rPr>
          <w:rFonts w:ascii="宋体" w:hAnsi="宋体"/>
          <w:color w:val="auto"/>
          <w:highlight w:val="none"/>
        </w:rPr>
      </w:pPr>
      <w:r>
        <w:rPr>
          <w:rFonts w:hint="eastAsia" w:ascii="宋体" w:hAnsi="宋体"/>
          <w:color w:val="auto"/>
          <w:highlight w:val="none"/>
        </w:rPr>
        <w:t>6、所安装需符合现场实际情况及安装规范。</w:t>
      </w:r>
    </w:p>
    <w:p>
      <w:pPr>
        <w:spacing w:line="400" w:lineRule="exact"/>
        <w:ind w:firstLine="480" w:firstLineChars="200"/>
        <w:rPr>
          <w:rFonts w:ascii="宋体" w:hAnsi="宋体"/>
          <w:color w:val="auto"/>
          <w:highlight w:val="none"/>
        </w:rPr>
      </w:pPr>
      <w:r>
        <w:rPr>
          <w:rFonts w:hint="eastAsia" w:ascii="宋体" w:hAnsi="宋体"/>
          <w:color w:val="auto"/>
          <w:highlight w:val="none"/>
        </w:rPr>
        <w:t>7、本次招标施工承包范围中，承包方所购材料必须是正规厂家生产的一级品及以上等级。必须有产品合格证和质量保证书，符合国家规定的技术标准，并且需经建设单位认可后才能使用。各投标单位在报价时应充分考虑施工期间的市场价格因素变化，制定应取费额，列入报价中，投标结束后，无论何种原因均不作调整。本工程施工单位必须按照国家相关规范精心组织、精心施工。本工程之工程质量按照杭州萧山机场工程的总体要求，均须达到合格等级，并在施工组织设计之工程施工质量保证措施及质量检测方法中详述。本工程改造后发包人将组织验收，发包方将选取改造后部分区域进行测试，承包方在开工前应做好改造前原始数据采集，并取得发包方的认可，才能进行改造。如本工程经有关职能部门验收未能达到合格工程，建设单位将按中标合同价5%对中标单位处以罚款，罚款将在最后工程结算款中扣除。同时由施工单位负责整改，直到验收合格为止，工期以最终验收合格之日为准。由此造成的工期延误，每逾期一天建设方将对承包方处以中标价格千分之二的罚款。</w:t>
      </w:r>
    </w:p>
    <w:p>
      <w:pPr>
        <w:spacing w:line="400" w:lineRule="exact"/>
        <w:ind w:firstLine="480" w:firstLineChars="200"/>
        <w:rPr>
          <w:rFonts w:ascii="宋体" w:hAnsi="宋体"/>
          <w:color w:val="auto"/>
          <w:highlight w:val="none"/>
        </w:rPr>
      </w:pPr>
      <w:r>
        <w:rPr>
          <w:rFonts w:hint="eastAsia" w:ascii="宋体" w:hAnsi="宋体"/>
          <w:color w:val="auto"/>
          <w:highlight w:val="none"/>
        </w:rPr>
        <w:t>8、本工程位于机场内，中标单位必须做好相应的安全措施，如在施工期间发生影响安全及正常办公的事件，所造成的一切后果由施工方承担。中标施工单位的施工</w:t>
      </w:r>
      <w:r>
        <w:rPr>
          <w:rFonts w:hint="eastAsia" w:ascii="宋体" w:hAnsi="宋体"/>
          <w:color w:val="auto"/>
          <w:highlight w:val="none"/>
          <w:lang w:eastAsia="zh-CN"/>
        </w:rPr>
        <w:t>区域</w:t>
      </w:r>
      <w:r>
        <w:rPr>
          <w:rFonts w:hint="eastAsia" w:ascii="宋体" w:hAnsi="宋体"/>
          <w:color w:val="auto"/>
          <w:highlight w:val="none"/>
        </w:rPr>
        <w:t>，应按建设单位划定的范围设置临时可靠的围界。</w:t>
      </w:r>
      <w:r>
        <w:rPr>
          <w:rFonts w:hint="eastAsia" w:ascii="宋体" w:hAnsi="宋体"/>
          <w:color w:val="auto"/>
          <w:highlight w:val="none"/>
          <w:lang w:eastAsia="zh-CN"/>
        </w:rPr>
        <w:t>施工现场</w:t>
      </w:r>
      <w:r>
        <w:rPr>
          <w:rFonts w:hint="eastAsia" w:ascii="宋体" w:hAnsi="宋体"/>
          <w:color w:val="auto"/>
          <w:highlight w:val="none"/>
        </w:rPr>
        <w:t>整齐、有序，工程标牌和施工现场管理规定标牌醒目清晰，</w:t>
      </w:r>
      <w:r>
        <w:rPr>
          <w:rFonts w:hint="eastAsia" w:ascii="宋体" w:hAnsi="宋体"/>
          <w:color w:val="auto"/>
          <w:highlight w:val="none"/>
          <w:lang w:eastAsia="zh-CN"/>
        </w:rPr>
        <w:t>施工垃圾和生活</w:t>
      </w:r>
      <w:r>
        <w:rPr>
          <w:rFonts w:hint="eastAsia" w:ascii="宋体" w:hAnsi="宋体"/>
          <w:color w:val="auto"/>
          <w:highlight w:val="none"/>
        </w:rPr>
        <w:t>垃圾袋装外运，有足量消防设备。本工程施工单位应将这一因素考虑到本次报价中，创造一个环境整洁、管理有序的施工现场。</w:t>
      </w:r>
    </w:p>
    <w:p>
      <w:pPr>
        <w:spacing w:line="400" w:lineRule="exact"/>
        <w:ind w:firstLine="480" w:firstLineChars="200"/>
        <w:rPr>
          <w:rFonts w:ascii="宋体" w:hAnsi="宋体"/>
          <w:color w:val="auto"/>
          <w:highlight w:val="none"/>
        </w:rPr>
      </w:pPr>
      <w:r>
        <w:rPr>
          <w:rFonts w:hint="eastAsia" w:ascii="宋体" w:hAnsi="宋体"/>
          <w:color w:val="auto"/>
          <w:highlight w:val="none"/>
        </w:rPr>
        <w:t>9、安装</w:t>
      </w:r>
    </w:p>
    <w:p>
      <w:pPr>
        <w:spacing w:line="400" w:lineRule="exact"/>
        <w:ind w:firstLine="480" w:firstLineChars="200"/>
        <w:rPr>
          <w:rFonts w:ascii="宋体" w:hAnsi="宋体"/>
          <w:color w:val="auto"/>
          <w:highlight w:val="none"/>
        </w:rPr>
      </w:pPr>
      <w:r>
        <w:rPr>
          <w:rFonts w:hint="eastAsia" w:ascii="宋体" w:hAnsi="宋体"/>
          <w:color w:val="auto"/>
          <w:highlight w:val="none"/>
        </w:rPr>
        <w:t>(1)投标人需按招标人的要求和认可派出具有相当安装经验及协调能力的现场工程师负责安装和调试及试运行。</w:t>
      </w:r>
    </w:p>
    <w:p>
      <w:pPr>
        <w:spacing w:line="400" w:lineRule="exact"/>
        <w:ind w:firstLine="480" w:firstLineChars="200"/>
        <w:rPr>
          <w:rFonts w:ascii="宋体" w:hAnsi="宋体"/>
          <w:color w:val="auto"/>
          <w:highlight w:val="none"/>
        </w:rPr>
      </w:pPr>
      <w:r>
        <w:rPr>
          <w:rFonts w:hint="eastAsia" w:ascii="宋体" w:hAnsi="宋体"/>
          <w:color w:val="auto"/>
          <w:highlight w:val="none"/>
        </w:rPr>
        <w:t>(2)投标人对安装、调试、试运行等全过程负责，直至通过有关部门及招标人的验收。工程施工不得对现场建筑安全及其他设备造成损害，否则后果由投标人承担。</w:t>
      </w:r>
    </w:p>
    <w:p>
      <w:pPr>
        <w:spacing w:line="400" w:lineRule="exact"/>
        <w:ind w:firstLine="360" w:firstLineChars="150"/>
        <w:rPr>
          <w:rFonts w:ascii="宋体" w:hAnsi="宋体"/>
          <w:color w:val="auto"/>
          <w:highlight w:val="none"/>
        </w:rPr>
      </w:pPr>
      <w:r>
        <w:rPr>
          <w:rFonts w:hint="eastAsia" w:ascii="宋体" w:hAnsi="宋体"/>
          <w:color w:val="auto"/>
          <w:highlight w:val="none"/>
        </w:rPr>
        <w:t xml:space="preserve"> (3)投标人须提供与工程建设总进度相适应的安装计划，并须由招标人认可。</w:t>
      </w:r>
    </w:p>
    <w:p>
      <w:pPr>
        <w:spacing w:line="400" w:lineRule="exact"/>
        <w:ind w:firstLine="480" w:firstLineChars="200"/>
        <w:rPr>
          <w:rFonts w:ascii="宋体" w:hAnsi="宋体"/>
          <w:color w:val="auto"/>
          <w:highlight w:val="none"/>
        </w:rPr>
      </w:pPr>
      <w:r>
        <w:rPr>
          <w:rFonts w:hint="eastAsia" w:ascii="宋体" w:hAnsi="宋体"/>
          <w:color w:val="auto"/>
          <w:highlight w:val="none"/>
        </w:rPr>
        <w:t>10、测试</w:t>
      </w:r>
    </w:p>
    <w:p>
      <w:pPr>
        <w:spacing w:line="400" w:lineRule="exact"/>
        <w:ind w:firstLine="480" w:firstLineChars="200"/>
        <w:rPr>
          <w:rFonts w:ascii="宋体" w:hAnsi="宋体"/>
          <w:color w:val="auto"/>
          <w:highlight w:val="none"/>
        </w:rPr>
      </w:pPr>
      <w:r>
        <w:rPr>
          <w:rFonts w:hint="eastAsia" w:ascii="宋体" w:hAnsi="宋体"/>
          <w:color w:val="auto"/>
          <w:highlight w:val="none"/>
        </w:rPr>
        <w:t>(1)工具、材料、仪器设备和劳务人员：投标人应派有丰富工作经验的工程师在现场负责测试，以检测其设计、制造、运行效果等。并提供所有测试和调试所需的工具、材料、仪器和劳务人员。</w:t>
      </w:r>
    </w:p>
    <w:p>
      <w:pPr>
        <w:spacing w:line="400" w:lineRule="exact"/>
        <w:ind w:firstLine="480" w:firstLineChars="200"/>
        <w:rPr>
          <w:rFonts w:ascii="宋体" w:hAnsi="宋体"/>
          <w:color w:val="auto"/>
          <w:highlight w:val="none"/>
        </w:rPr>
      </w:pPr>
      <w:r>
        <w:rPr>
          <w:rFonts w:hint="eastAsia" w:ascii="宋体" w:hAnsi="宋体"/>
          <w:color w:val="auto"/>
          <w:highlight w:val="none"/>
        </w:rPr>
        <w:t>(2)投标人须在安装结束前1个星期，提交测试和调试方法及记录表格给招标人。</w:t>
      </w:r>
    </w:p>
    <w:p>
      <w:pPr>
        <w:spacing w:line="400" w:lineRule="exact"/>
        <w:ind w:firstLine="480" w:firstLineChars="200"/>
        <w:rPr>
          <w:rFonts w:ascii="宋体" w:hAnsi="宋体"/>
          <w:color w:val="auto"/>
          <w:highlight w:val="none"/>
        </w:rPr>
      </w:pPr>
      <w:r>
        <w:rPr>
          <w:rFonts w:hint="eastAsia" w:ascii="宋体" w:hAnsi="宋体"/>
          <w:color w:val="auto"/>
          <w:highlight w:val="none"/>
        </w:rPr>
        <w:t>(3)部分或全部测试需根据实际情况在安装期内或后进行。</w:t>
      </w:r>
    </w:p>
    <w:p>
      <w:pPr>
        <w:spacing w:line="400" w:lineRule="exact"/>
        <w:ind w:firstLine="480" w:firstLineChars="200"/>
        <w:rPr>
          <w:rFonts w:ascii="宋体" w:hAnsi="宋体"/>
          <w:color w:val="auto"/>
          <w:highlight w:val="none"/>
        </w:rPr>
      </w:pPr>
      <w:r>
        <w:rPr>
          <w:rFonts w:hint="eastAsia" w:ascii="宋体" w:hAnsi="宋体"/>
          <w:color w:val="auto"/>
          <w:highlight w:val="none"/>
        </w:rPr>
        <w:t>11、验收</w:t>
      </w:r>
    </w:p>
    <w:p>
      <w:pPr>
        <w:adjustRightInd w:val="0"/>
        <w:snapToGrid w:val="0"/>
        <w:spacing w:line="360" w:lineRule="exact"/>
        <w:ind w:firstLine="590" w:firstLineChars="245"/>
        <w:rPr>
          <w:b/>
          <w:bCs/>
          <w:color w:val="auto"/>
          <w:highlight w:val="none"/>
        </w:rPr>
      </w:pPr>
      <w:r>
        <w:rPr>
          <w:rFonts w:hint="eastAsia" w:ascii="Arial" w:hAnsi="Arial"/>
          <w:b/>
          <w:bCs/>
          <w:color w:val="auto"/>
          <w:highlight w:val="none"/>
        </w:rPr>
        <w:t>验收合格条件：</w:t>
      </w:r>
    </w:p>
    <w:p>
      <w:pPr>
        <w:numPr>
          <w:ilvl w:val="0"/>
          <w:numId w:val="7"/>
        </w:numPr>
        <w:snapToGrid w:val="0"/>
        <w:spacing w:line="360" w:lineRule="exact"/>
        <w:ind w:left="900" w:hanging="340"/>
        <w:rPr>
          <w:rFonts w:ascii="宋体" w:hAnsi="宋体"/>
          <w:color w:val="auto"/>
          <w:highlight w:val="none"/>
        </w:rPr>
      </w:pPr>
      <w:r>
        <w:rPr>
          <w:rFonts w:hint="eastAsia" w:ascii="宋体" w:hAnsi="宋体"/>
          <w:color w:val="auto"/>
          <w:highlight w:val="none"/>
        </w:rPr>
        <w:t>运行结果符合产品标准和技术规格书及合同要求。</w:t>
      </w:r>
    </w:p>
    <w:p>
      <w:pPr>
        <w:numPr>
          <w:ilvl w:val="0"/>
          <w:numId w:val="7"/>
        </w:numPr>
        <w:snapToGrid w:val="0"/>
        <w:spacing w:line="360" w:lineRule="exact"/>
        <w:ind w:left="900" w:hanging="340"/>
        <w:rPr>
          <w:rFonts w:ascii="宋体" w:hAnsi="宋体"/>
          <w:color w:val="auto"/>
          <w:highlight w:val="none"/>
        </w:rPr>
      </w:pPr>
      <w:r>
        <w:rPr>
          <w:rFonts w:hint="eastAsia" w:ascii="宋体" w:hAnsi="宋体"/>
          <w:color w:val="auto"/>
          <w:highlight w:val="none"/>
        </w:rPr>
        <w:t>在进行测试和验收运行过程中发生的故障已被消除并得到招标人的认可。</w:t>
      </w:r>
    </w:p>
    <w:p>
      <w:pPr>
        <w:numPr>
          <w:ilvl w:val="0"/>
          <w:numId w:val="7"/>
        </w:numPr>
        <w:snapToGrid w:val="0"/>
        <w:spacing w:line="360" w:lineRule="exact"/>
        <w:ind w:left="900" w:hanging="340"/>
        <w:rPr>
          <w:rFonts w:ascii="Arial" w:cs="Arial"/>
          <w:color w:val="auto"/>
          <w:highlight w:val="none"/>
        </w:rPr>
      </w:pPr>
      <w:r>
        <w:rPr>
          <w:rFonts w:hint="eastAsia" w:ascii="宋体" w:hAnsi="宋体"/>
          <w:color w:val="auto"/>
          <w:highlight w:val="none"/>
        </w:rPr>
        <w:t>所有合同中规定的产品、材料和技术文件都已提交。</w:t>
      </w:r>
    </w:p>
    <w:p>
      <w:pPr>
        <w:spacing w:line="400" w:lineRule="exact"/>
        <w:ind w:firstLine="480" w:firstLineChars="200"/>
        <w:rPr>
          <w:rFonts w:ascii="宋体" w:hAnsi="宋体"/>
          <w:color w:val="auto"/>
          <w:highlight w:val="none"/>
        </w:rPr>
      </w:pPr>
      <w:r>
        <w:rPr>
          <w:rFonts w:hint="eastAsia" w:ascii="宋体" w:hAnsi="宋体"/>
          <w:color w:val="auto"/>
          <w:highlight w:val="none"/>
        </w:rPr>
        <w:t>12、质保期及售后技术服务要求：</w:t>
      </w:r>
    </w:p>
    <w:p>
      <w:pPr>
        <w:spacing w:line="400" w:lineRule="exact"/>
        <w:ind w:firstLine="480" w:firstLineChars="200"/>
        <w:rPr>
          <w:rFonts w:ascii="宋体" w:hAnsi="宋体"/>
          <w:b/>
          <w:bCs/>
          <w:color w:val="auto"/>
          <w:highlight w:val="none"/>
        </w:rPr>
      </w:pPr>
      <w:r>
        <w:rPr>
          <w:rFonts w:hint="eastAsia" w:ascii="宋体" w:hAnsi="宋体"/>
          <w:color w:val="auto"/>
          <w:highlight w:val="none"/>
        </w:rPr>
        <w:t>(1)</w:t>
      </w:r>
      <w:r>
        <w:rPr>
          <w:rFonts w:hint="eastAsia" w:ascii="宋体" w:hAnsi="宋体"/>
          <w:b/>
          <w:bCs/>
          <w:color w:val="auto"/>
          <w:highlight w:val="none"/>
        </w:rPr>
        <w:t>质保期：2年。（自竣工验收合格之日起计）</w:t>
      </w:r>
    </w:p>
    <w:p>
      <w:pPr>
        <w:spacing w:line="400" w:lineRule="exact"/>
        <w:ind w:firstLine="480" w:firstLineChars="200"/>
        <w:rPr>
          <w:rFonts w:ascii="宋体" w:hAnsi="宋体"/>
          <w:color w:val="auto"/>
          <w:highlight w:val="none"/>
        </w:rPr>
      </w:pPr>
      <w:r>
        <w:rPr>
          <w:rFonts w:hint="eastAsia" w:ascii="宋体" w:hAnsi="宋体"/>
          <w:color w:val="auto"/>
          <w:highlight w:val="none"/>
        </w:rPr>
        <w:t>(2)质量保证期内提供免费上门维护、升级服务，如货物出现故障，供货单位在接到电话后，</w:t>
      </w:r>
      <w:r>
        <w:rPr>
          <w:rFonts w:hint="eastAsia" w:ascii="宋体" w:hAnsi="宋体"/>
          <w:color w:val="auto"/>
          <w:highlight w:val="none"/>
          <w:u w:val="single"/>
        </w:rPr>
        <w:t>2小时内响应，4小时以内到现场处理，12小时内修复</w:t>
      </w:r>
      <w:r>
        <w:rPr>
          <w:rFonts w:hint="eastAsia" w:ascii="宋体" w:hAnsi="宋体"/>
          <w:color w:val="auto"/>
          <w:highlight w:val="none"/>
        </w:rPr>
        <w:t>现场不能修复的，必须采取无偿提供采购物品的备用件或整机等措施，以保证用户单位的正常使用。</w:t>
      </w:r>
    </w:p>
    <w:p>
      <w:pPr>
        <w:spacing w:line="400" w:lineRule="exact"/>
        <w:ind w:firstLine="480" w:firstLineChars="200"/>
        <w:rPr>
          <w:rFonts w:ascii="宋体" w:hAnsi="宋体"/>
          <w:color w:val="auto"/>
          <w:highlight w:val="none"/>
        </w:rPr>
      </w:pPr>
      <w:r>
        <w:rPr>
          <w:rFonts w:hint="eastAsia" w:ascii="宋体" w:hAnsi="宋体"/>
          <w:color w:val="auto"/>
          <w:highlight w:val="none"/>
        </w:rPr>
        <w:t>(3)投标人应提供技术支持方案，内容由投标人根据实际选择以下要点：服务机构（维保点）的地址、人员状况、维修能力、联系方式、营业执照、公司资质材料、相关案例等。</w:t>
      </w:r>
    </w:p>
    <w:p>
      <w:pPr>
        <w:spacing w:line="400" w:lineRule="exact"/>
        <w:ind w:firstLine="480" w:firstLineChars="200"/>
        <w:rPr>
          <w:rFonts w:ascii="宋体" w:hAnsi="宋体"/>
          <w:color w:val="auto"/>
          <w:highlight w:val="none"/>
        </w:rPr>
      </w:pPr>
      <w:r>
        <w:rPr>
          <w:rFonts w:hint="eastAsia" w:ascii="宋体" w:hAnsi="宋体"/>
          <w:color w:val="auto"/>
          <w:highlight w:val="none"/>
        </w:rPr>
        <w:t xml:space="preserve">(4)完整准确地表述原厂家的标准售后服务承诺（范围、标准及期限等）、投标人可能增加的服务承诺等。  </w:t>
      </w:r>
    </w:p>
    <w:p>
      <w:pPr>
        <w:spacing w:line="400" w:lineRule="exact"/>
        <w:ind w:firstLine="480" w:firstLineChars="200"/>
        <w:rPr>
          <w:rFonts w:ascii="宋体" w:hAnsi="宋体"/>
          <w:color w:val="auto"/>
          <w:highlight w:val="none"/>
        </w:rPr>
      </w:pPr>
      <w:r>
        <w:rPr>
          <w:rFonts w:hint="eastAsia" w:ascii="宋体" w:hAnsi="宋体"/>
          <w:color w:val="auto"/>
          <w:highlight w:val="none"/>
        </w:rPr>
        <w:t>(5)明示服务承诺可能涉及的前提设定和费用，否则将被认为是无条件和免费的。</w:t>
      </w:r>
    </w:p>
    <w:p>
      <w:pPr>
        <w:spacing w:line="400" w:lineRule="exact"/>
        <w:rPr>
          <w:rFonts w:ascii="宋体" w:hAnsi="宋体"/>
          <w:color w:val="auto"/>
          <w:highlight w:val="none"/>
        </w:rPr>
      </w:pPr>
      <w:r>
        <w:rPr>
          <w:rFonts w:hint="eastAsia" w:ascii="宋体" w:hAnsi="宋体"/>
          <w:b/>
          <w:color w:val="auto"/>
          <w:sz w:val="28"/>
          <w:szCs w:val="28"/>
          <w:highlight w:val="none"/>
        </w:rPr>
        <w:t>三、设备与材料</w:t>
      </w:r>
    </w:p>
    <w:p>
      <w:pPr>
        <w:spacing w:line="400" w:lineRule="exact"/>
        <w:ind w:firstLine="240" w:firstLineChars="100"/>
        <w:rPr>
          <w:rFonts w:ascii="宋体" w:hAnsi="宋体"/>
          <w:color w:val="auto"/>
          <w:highlight w:val="none"/>
        </w:rPr>
      </w:pPr>
      <w:r>
        <w:rPr>
          <w:rFonts w:hint="eastAsia" w:ascii="宋体" w:hAnsi="宋体"/>
          <w:color w:val="auto"/>
          <w:highlight w:val="none"/>
        </w:rPr>
        <w:t>（1）各投标单位要按招标人推荐的主要设备材料品牌推荐表中的品牌或相当于（不低于）表中的同等档次以上品牌进行报价。</w:t>
      </w:r>
    </w:p>
    <w:p>
      <w:pPr>
        <w:spacing w:line="400" w:lineRule="exact"/>
        <w:ind w:firstLine="240" w:firstLineChars="100"/>
        <w:rPr>
          <w:rFonts w:ascii="宋体" w:hAnsi="宋体"/>
          <w:color w:val="auto"/>
          <w:highlight w:val="none"/>
        </w:rPr>
      </w:pPr>
      <w:r>
        <w:rPr>
          <w:rFonts w:hint="eastAsia" w:ascii="宋体" w:hAnsi="宋体"/>
          <w:color w:val="auto"/>
          <w:highlight w:val="none"/>
        </w:rPr>
        <w:t>（2）所用各类设备材料须经发包人认可后方可使用。投标单位主要设备材料品牌漏填或少填的，中标后由发包人在推荐品牌中选定，且报价不作调整。</w:t>
      </w:r>
    </w:p>
    <w:p>
      <w:pPr>
        <w:spacing w:line="400" w:lineRule="exact"/>
        <w:ind w:firstLine="240" w:firstLineChars="100"/>
        <w:rPr>
          <w:rFonts w:ascii="宋体" w:hAnsi="宋体"/>
          <w:color w:val="auto"/>
          <w:highlight w:val="none"/>
        </w:rPr>
      </w:pPr>
      <w:r>
        <w:rPr>
          <w:rFonts w:hint="eastAsia" w:ascii="宋体" w:hAnsi="宋体"/>
          <w:color w:val="auto"/>
          <w:highlight w:val="none"/>
        </w:rPr>
        <w:t xml:space="preserve">（3）所用各类设备材料都应符合设计和国家规定的相关技术规范标准要求。 </w:t>
      </w:r>
    </w:p>
    <w:p>
      <w:pPr>
        <w:spacing w:line="400" w:lineRule="exact"/>
        <w:ind w:firstLine="240" w:firstLineChars="100"/>
        <w:rPr>
          <w:rFonts w:ascii="宋体" w:hAnsi="宋体"/>
          <w:color w:val="auto"/>
          <w:highlight w:val="none"/>
        </w:rPr>
      </w:pPr>
      <w:r>
        <w:rPr>
          <w:rFonts w:hint="eastAsia" w:ascii="宋体" w:hAnsi="宋体"/>
          <w:color w:val="auto"/>
          <w:highlight w:val="none"/>
        </w:rPr>
        <w:t xml:space="preserve">（4）所用各类设备材料均有质量合格证书。 </w:t>
      </w:r>
    </w:p>
    <w:p>
      <w:pPr>
        <w:spacing w:line="400" w:lineRule="exact"/>
        <w:ind w:firstLine="240" w:firstLineChars="100"/>
        <w:rPr>
          <w:rFonts w:ascii="宋体" w:hAnsi="宋体"/>
          <w:color w:val="auto"/>
          <w:highlight w:val="none"/>
        </w:rPr>
      </w:pPr>
      <w:r>
        <w:rPr>
          <w:rFonts w:hint="eastAsia" w:ascii="宋体" w:hAnsi="宋体"/>
          <w:color w:val="auto"/>
          <w:highlight w:val="none"/>
        </w:rPr>
        <w:t xml:space="preserve">（5）设备材料的质量保证 </w:t>
      </w:r>
    </w:p>
    <w:p>
      <w:pPr>
        <w:spacing w:line="400" w:lineRule="exact"/>
        <w:ind w:firstLine="360" w:firstLineChars="150"/>
        <w:rPr>
          <w:rFonts w:ascii="宋体" w:hAnsi="宋体"/>
          <w:color w:val="auto"/>
          <w:highlight w:val="none"/>
        </w:rPr>
      </w:pPr>
      <w:r>
        <w:rPr>
          <w:rFonts w:hint="eastAsia" w:ascii="宋体" w:hAnsi="宋体"/>
          <w:color w:val="auto"/>
          <w:highlight w:val="none"/>
        </w:rPr>
        <w:t xml:space="preserve">1）在施工期间内，承包人对有缺陷的部位必须无偿地给予修正，并承担一切由此引起的对发包人或第三者的直接损失，除非该缺陷是由于人为破坏或合同规定的不可抗因素造成的损坏。 </w:t>
      </w:r>
    </w:p>
    <w:p>
      <w:pPr>
        <w:spacing w:line="400" w:lineRule="exact"/>
        <w:ind w:firstLine="360" w:firstLineChars="150"/>
        <w:rPr>
          <w:rFonts w:ascii="宋体" w:hAnsi="宋体"/>
          <w:color w:val="auto"/>
          <w:highlight w:val="none"/>
        </w:rPr>
      </w:pPr>
      <w:r>
        <w:rPr>
          <w:rFonts w:hint="eastAsia" w:ascii="宋体" w:hAnsi="宋体"/>
          <w:color w:val="auto"/>
          <w:highlight w:val="none"/>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spacing w:line="400" w:lineRule="exact"/>
        <w:ind w:firstLine="240" w:firstLineChars="100"/>
        <w:rPr>
          <w:rFonts w:ascii="宋体" w:hAnsi="宋体"/>
          <w:color w:val="auto"/>
          <w:highlight w:val="none"/>
        </w:rPr>
      </w:pPr>
      <w:r>
        <w:rPr>
          <w:rFonts w:hint="eastAsia" w:ascii="宋体" w:hAnsi="宋体"/>
          <w:color w:val="auto"/>
          <w:highlight w:val="none"/>
        </w:rPr>
        <w:t xml:space="preserve"> 3）未列入以上品牌推荐表的其它材料和设备，投标人需得到发包人的认可方可使用，如承包人选定的产品不能满足以上要求，发包人保留更换的权利，且中标价不予调整。</w:t>
      </w:r>
    </w:p>
    <w:p>
      <w:pPr>
        <w:spacing w:line="400" w:lineRule="exact"/>
        <w:ind w:firstLine="360" w:firstLineChars="150"/>
        <w:rPr>
          <w:rFonts w:ascii="宋体" w:hAnsi="宋体"/>
          <w:color w:val="auto"/>
          <w:highlight w:val="none"/>
        </w:rPr>
      </w:pPr>
      <w:r>
        <w:rPr>
          <w:rFonts w:hint="eastAsia" w:ascii="宋体" w:hAnsi="宋体"/>
          <w:color w:val="auto"/>
          <w:highlight w:val="none"/>
        </w:rPr>
        <w:t xml:space="preserve">4）各投标单位所选用的设备材料需要满足或招标文件的相关技术规格要求，当承包人选定的材料设备达不到设计要求和招标文件要求的技术规格指标时，发包人保留更换的权利，且中标价不予调整。 </w:t>
      </w:r>
    </w:p>
    <w:p>
      <w:pPr>
        <w:spacing w:line="400" w:lineRule="exact"/>
        <w:rPr>
          <w:rFonts w:ascii="宋体" w:hAnsi="宋体"/>
          <w:b/>
          <w:color w:val="auto"/>
          <w:sz w:val="28"/>
          <w:szCs w:val="28"/>
          <w:highlight w:val="none"/>
        </w:rPr>
      </w:pPr>
      <w:r>
        <w:rPr>
          <w:rFonts w:hint="eastAsia" w:ascii="宋体" w:hAnsi="宋体"/>
          <w:b/>
          <w:color w:val="auto"/>
          <w:sz w:val="28"/>
          <w:szCs w:val="28"/>
          <w:highlight w:val="none"/>
        </w:rPr>
        <w:t>四、其他</w:t>
      </w:r>
    </w:p>
    <w:p>
      <w:pPr>
        <w:pStyle w:val="18"/>
        <w:spacing w:line="400" w:lineRule="exact"/>
        <w:ind w:left="2" w:leftChars="1" w:firstLineChars="200"/>
        <w:rPr>
          <w:rFonts w:ascii="宋体" w:hAnsi="宋体"/>
          <w:color w:val="auto"/>
          <w:kern w:val="0"/>
          <w:highlight w:val="none"/>
        </w:rPr>
      </w:pPr>
      <w:r>
        <w:rPr>
          <w:rFonts w:hint="eastAsia" w:ascii="宋体" w:hAnsi="宋体"/>
          <w:color w:val="auto"/>
          <w:highlight w:val="none"/>
        </w:rPr>
        <w:t>1）</w:t>
      </w:r>
      <w:r>
        <w:rPr>
          <w:rFonts w:hint="eastAsia" w:ascii="宋体" w:hAnsi="宋体"/>
          <w:color w:val="auto"/>
          <w:kern w:val="0"/>
          <w:highlight w:val="none"/>
        </w:rPr>
        <w:t>在工地的建设活动中，中标人有责任与其它供应商保持联系和合作，接受招标人的监督。此责任应包括所有为了开展工作切实有效，所需的交换和提供数据、标准和资料等工作。</w:t>
      </w:r>
    </w:p>
    <w:p>
      <w:pPr>
        <w:pStyle w:val="18"/>
        <w:spacing w:line="400" w:lineRule="exact"/>
        <w:ind w:left="2" w:leftChars="1" w:firstLineChars="200"/>
        <w:rPr>
          <w:rFonts w:ascii="宋体" w:hAnsi="宋体"/>
          <w:color w:val="auto"/>
          <w:kern w:val="0"/>
          <w:highlight w:val="none"/>
        </w:rPr>
      </w:pPr>
      <w:r>
        <w:rPr>
          <w:rFonts w:hint="eastAsia" w:ascii="宋体" w:hAnsi="宋体"/>
          <w:color w:val="auto"/>
          <w:highlight w:val="none"/>
        </w:rPr>
        <w:t>2）</w:t>
      </w:r>
      <w:r>
        <w:rPr>
          <w:rFonts w:hint="eastAsia" w:ascii="宋体" w:hAnsi="宋体"/>
          <w:color w:val="auto"/>
          <w:kern w:val="0"/>
          <w:highlight w:val="none"/>
        </w:rPr>
        <w:t>中标人须参加招标人要求其参加的所有现场联络会，并接受统一管理，遵守</w:t>
      </w:r>
      <w:r>
        <w:rPr>
          <w:rFonts w:hint="eastAsia" w:ascii="宋体" w:hAnsi="宋体"/>
          <w:color w:val="auto"/>
          <w:kern w:val="0"/>
          <w:highlight w:val="none"/>
          <w:lang w:eastAsia="zh-CN"/>
        </w:rPr>
        <w:t>施工现场</w:t>
      </w:r>
      <w:r>
        <w:rPr>
          <w:rFonts w:hint="eastAsia" w:ascii="宋体" w:hAnsi="宋体"/>
          <w:color w:val="auto"/>
          <w:kern w:val="0"/>
          <w:highlight w:val="none"/>
        </w:rPr>
        <w:t>的安全和建筑规定。</w:t>
      </w:r>
    </w:p>
    <w:p>
      <w:pPr>
        <w:pStyle w:val="18"/>
        <w:spacing w:line="400" w:lineRule="exact"/>
        <w:ind w:left="2" w:leftChars="1" w:firstLineChars="200"/>
        <w:rPr>
          <w:rFonts w:ascii="宋体" w:hAnsi="宋体"/>
          <w:color w:val="auto"/>
          <w:kern w:val="0"/>
          <w:highlight w:val="none"/>
        </w:rPr>
      </w:pPr>
      <w:r>
        <w:rPr>
          <w:rFonts w:hint="eastAsia" w:ascii="宋体" w:hAnsi="宋体"/>
          <w:color w:val="auto"/>
          <w:highlight w:val="none"/>
        </w:rPr>
        <w:t>3）</w:t>
      </w:r>
      <w:r>
        <w:rPr>
          <w:rFonts w:hint="eastAsia" w:ascii="宋体" w:hAnsi="宋体"/>
          <w:color w:val="auto"/>
          <w:kern w:val="0"/>
          <w:highlight w:val="none"/>
        </w:rPr>
        <w:t>中标人应与所有相关的部门相联系，获得相关认可，以便货物能及时投入服务。</w:t>
      </w:r>
    </w:p>
    <w:p>
      <w:pPr>
        <w:pStyle w:val="18"/>
        <w:spacing w:line="400" w:lineRule="exact"/>
        <w:ind w:left="2" w:leftChars="1" w:firstLineChars="200"/>
        <w:rPr>
          <w:rFonts w:ascii="宋体" w:hAnsi="宋体"/>
          <w:color w:val="auto"/>
          <w:kern w:val="0"/>
          <w:highlight w:val="none"/>
        </w:rPr>
      </w:pPr>
      <w:r>
        <w:rPr>
          <w:rFonts w:hint="eastAsia" w:ascii="宋体" w:hAnsi="宋体"/>
          <w:color w:val="auto"/>
          <w:highlight w:val="none"/>
        </w:rPr>
        <w:t>4）</w:t>
      </w:r>
      <w:r>
        <w:rPr>
          <w:rFonts w:hint="eastAsia" w:ascii="宋体" w:hAnsi="宋体"/>
          <w:color w:val="auto"/>
          <w:kern w:val="0"/>
          <w:highlight w:val="none"/>
        </w:rPr>
        <w:t>在安装调试期间，中标人应遵守有关部门的管理，并遵守相关的规定。</w:t>
      </w:r>
    </w:p>
    <w:p>
      <w:pPr>
        <w:pStyle w:val="18"/>
        <w:spacing w:line="400" w:lineRule="exact"/>
        <w:ind w:left="2" w:leftChars="1" w:firstLineChars="200"/>
        <w:rPr>
          <w:rFonts w:ascii="宋体" w:hAnsi="宋体"/>
          <w:color w:val="auto"/>
          <w:kern w:val="0"/>
          <w:highlight w:val="none"/>
        </w:rPr>
      </w:pPr>
      <w:r>
        <w:rPr>
          <w:rFonts w:hint="eastAsia" w:ascii="宋体" w:hAnsi="宋体"/>
          <w:color w:val="auto"/>
          <w:highlight w:val="none"/>
        </w:rPr>
        <w:t>5）</w:t>
      </w:r>
      <w:r>
        <w:rPr>
          <w:rFonts w:hint="eastAsia" w:ascii="宋体" w:hAnsi="宋体"/>
          <w:color w:val="auto"/>
          <w:kern w:val="0"/>
          <w:highlight w:val="none"/>
        </w:rPr>
        <w:t>中标人应准备相关文件，包括上面提及部门认可所需的图纸，及要求的有关竣工资料。</w:t>
      </w:r>
    </w:p>
    <w:p>
      <w:pPr>
        <w:pStyle w:val="18"/>
        <w:spacing w:line="400" w:lineRule="exact"/>
        <w:ind w:left="2" w:leftChars="1" w:firstLineChars="200"/>
        <w:rPr>
          <w:rFonts w:ascii="宋体" w:hAnsi="宋体"/>
          <w:color w:val="auto"/>
          <w:kern w:val="0"/>
          <w:highlight w:val="none"/>
        </w:rPr>
      </w:pPr>
      <w:r>
        <w:rPr>
          <w:rFonts w:hint="eastAsia" w:ascii="宋体" w:hAnsi="宋体"/>
          <w:color w:val="auto"/>
          <w:highlight w:val="none"/>
        </w:rPr>
        <w:t>6）</w:t>
      </w:r>
      <w:r>
        <w:rPr>
          <w:rFonts w:hint="eastAsia" w:ascii="宋体" w:hAnsi="宋体"/>
          <w:color w:val="auto"/>
          <w:kern w:val="0"/>
          <w:highlight w:val="none"/>
        </w:rPr>
        <w:t>由于工程进度和正式使用的不同需求，中标人有责任防止所有货物在未经正式认可便使用，而应根据招标人需要，得到认可再投入运行。</w:t>
      </w:r>
    </w:p>
    <w:p>
      <w:pPr>
        <w:spacing w:line="360" w:lineRule="auto"/>
        <w:rPr>
          <w:rFonts w:ascii="宋体" w:hAnsi="宋体"/>
          <w:color w:val="auto"/>
          <w:kern w:val="0"/>
          <w:highlight w:val="none"/>
        </w:rPr>
      </w:pPr>
      <w:r>
        <w:rPr>
          <w:rFonts w:hint="eastAsia" w:ascii="宋体" w:hAnsi="宋体"/>
          <w:color w:val="auto"/>
          <w:highlight w:val="none"/>
        </w:rPr>
        <w:t xml:space="preserve">    7）</w:t>
      </w:r>
      <w:r>
        <w:rPr>
          <w:rFonts w:hint="eastAsia" w:ascii="宋体" w:hAnsi="宋体"/>
          <w:color w:val="auto"/>
          <w:kern w:val="0"/>
          <w:highlight w:val="none"/>
        </w:rPr>
        <w:t>工程未交付发包人之前中标人有责任对自己所有的安装工程做好成品保护，确保货物的完整性。</w:t>
      </w:r>
    </w:p>
    <w:p>
      <w:pPr>
        <w:spacing w:line="360" w:lineRule="auto"/>
        <w:ind w:firstLine="480"/>
        <w:rPr>
          <w:rFonts w:ascii="宋体" w:hAnsi="宋体"/>
          <w:b/>
          <w:bCs/>
          <w:color w:val="auto"/>
          <w:kern w:val="0"/>
          <w:highlight w:val="none"/>
        </w:rPr>
      </w:pPr>
      <w:r>
        <w:rPr>
          <w:rFonts w:hint="eastAsia" w:ascii="宋体" w:hAnsi="宋体"/>
          <w:color w:val="auto"/>
          <w:sz w:val="22"/>
          <w:szCs w:val="22"/>
          <w:highlight w:val="none"/>
        </w:rPr>
        <w:t>★</w:t>
      </w:r>
      <w:r>
        <w:rPr>
          <w:rFonts w:hint="eastAsia" w:ascii="宋体" w:hAnsi="宋体"/>
          <w:b/>
          <w:bCs/>
          <w:color w:val="auto"/>
          <w:kern w:val="0"/>
          <w:highlight w:val="none"/>
        </w:rPr>
        <w:t>8）所有</w:t>
      </w:r>
      <w:r>
        <w:rPr>
          <w:rFonts w:hint="eastAsia" w:ascii="宋体" w:hAnsi="宋体"/>
          <w:b/>
          <w:bCs/>
          <w:color w:val="auto"/>
          <w:kern w:val="0"/>
          <w:highlight w:val="none"/>
          <w:lang w:eastAsia="zh-CN"/>
        </w:rPr>
        <w:t>能量</w:t>
      </w:r>
      <w:r>
        <w:rPr>
          <w:rFonts w:hint="eastAsia" w:ascii="宋体" w:hAnsi="宋体"/>
          <w:b/>
          <w:bCs/>
          <w:color w:val="auto"/>
          <w:kern w:val="0"/>
          <w:highlight w:val="none"/>
        </w:rPr>
        <w:t>量表</w:t>
      </w:r>
      <w:r>
        <w:rPr>
          <w:rFonts w:hint="eastAsia" w:ascii="宋体" w:hAnsi="宋体" w:cs="宋体"/>
          <w:b/>
          <w:bCs/>
          <w:color w:val="auto"/>
          <w:highlight w:val="none"/>
        </w:rPr>
        <w:t>安装前需将原有管路里的水放空，</w:t>
      </w:r>
      <w:r>
        <w:rPr>
          <w:rFonts w:hint="eastAsia" w:ascii="宋体" w:hAnsi="宋体" w:cs="宋体"/>
          <w:b/>
          <w:bCs/>
          <w:color w:val="auto"/>
          <w:highlight w:val="none"/>
          <w:lang w:eastAsia="zh-CN"/>
        </w:rPr>
        <w:t>为</w:t>
      </w:r>
      <w:r>
        <w:rPr>
          <w:rFonts w:hint="eastAsia" w:ascii="宋体" w:hAnsi="宋体" w:cs="宋体"/>
          <w:b/>
          <w:bCs/>
          <w:color w:val="auto"/>
          <w:highlight w:val="none"/>
        </w:rPr>
        <w:t>保证招标人中央空调正常运行，需在中央空调不运行期间进行此项施工，中标人需提供给招标人具体施工方案，具体施工时间听从招标人统一安排，以上情况请投标人充分考虑，</w:t>
      </w:r>
      <w:r>
        <w:rPr>
          <w:rFonts w:hint="eastAsia" w:ascii="宋体" w:hAnsi="宋体"/>
          <w:b/>
          <w:bCs/>
          <w:color w:val="auto"/>
          <w:kern w:val="0"/>
          <w:highlight w:val="none"/>
        </w:rPr>
        <w:t>所需费用包含在投标总价内，一旦中标不予调整。</w:t>
      </w:r>
    </w:p>
    <w:p>
      <w:pPr>
        <w:spacing w:line="400" w:lineRule="exact"/>
        <w:ind w:firstLine="440" w:firstLineChars="200"/>
        <w:rPr>
          <w:rFonts w:hint="eastAsia" w:ascii="宋体" w:hAnsi="宋体"/>
          <w:color w:val="auto"/>
          <w:sz w:val="22"/>
          <w:szCs w:val="22"/>
          <w:highlight w:val="none"/>
        </w:rPr>
      </w:pPr>
    </w:p>
    <w:p>
      <w:pPr>
        <w:spacing w:line="400" w:lineRule="exact"/>
        <w:ind w:firstLine="440" w:firstLineChars="200"/>
        <w:rPr>
          <w:rFonts w:hint="eastAsia" w:ascii="宋体" w:hAnsi="宋体"/>
          <w:color w:val="auto"/>
          <w:highlight w:val="none"/>
          <w:lang w:val="en-US" w:eastAsia="zh-CN"/>
        </w:rPr>
      </w:pPr>
    </w:p>
    <w:p>
      <w:pPr>
        <w:widowControl/>
        <w:jc w:val="left"/>
        <w:rPr>
          <w:rFonts w:ascii="Cambria" w:hAnsi="Cambria" w:eastAsia="黑体" w:cs="Times New Roman"/>
          <w:b/>
          <w:bCs/>
          <w:color w:val="auto"/>
          <w:kern w:val="0"/>
          <w:sz w:val="32"/>
          <w:szCs w:val="32"/>
          <w:highlight w:val="none"/>
        </w:rPr>
      </w:pPr>
      <w:r>
        <w:rPr>
          <w:color w:val="auto"/>
          <w:highlight w:val="none"/>
        </w:rPr>
        <w:br w:type="page"/>
      </w:r>
    </w:p>
    <w:p>
      <w:pPr>
        <w:pStyle w:val="51"/>
        <w:rPr>
          <w:color w:val="auto"/>
          <w:highlight w:val="none"/>
        </w:rPr>
      </w:pPr>
      <w:bookmarkStart w:id="101" w:name="_Toc450630563"/>
      <w:r>
        <w:rPr>
          <w:rFonts w:hint="eastAsia"/>
          <w:color w:val="auto"/>
          <w:highlight w:val="none"/>
        </w:rPr>
        <w:t>第五章  图纸（另册）</w:t>
      </w:r>
      <w:bookmarkEnd w:id="101"/>
    </w:p>
    <w:p>
      <w:pPr>
        <w:pStyle w:val="51"/>
        <w:rPr>
          <w:color w:val="auto"/>
          <w:highlight w:val="none"/>
        </w:rPr>
      </w:pPr>
    </w:p>
    <w:p>
      <w:pPr>
        <w:adjustRightInd w:val="0"/>
        <w:snapToGrid w:val="0"/>
        <w:spacing w:line="360" w:lineRule="exact"/>
        <w:ind w:firstLine="452"/>
        <w:jc w:val="left"/>
        <w:rPr>
          <w:rFonts w:ascii="宋体" w:hAnsi="宋体"/>
          <w:b/>
          <w:color w:val="auto"/>
          <w:sz w:val="22"/>
          <w:highlight w:val="none"/>
        </w:rPr>
      </w:pPr>
    </w:p>
    <w:p>
      <w:pPr>
        <w:snapToGrid w:val="0"/>
        <w:spacing w:line="360" w:lineRule="exact"/>
        <w:ind w:firstLine="440" w:firstLineChars="200"/>
        <w:jc w:val="left"/>
        <w:rPr>
          <w:rFonts w:ascii="宋体" w:hAnsi="宋体"/>
          <w:color w:val="auto"/>
          <w:sz w:val="22"/>
          <w:highlight w:val="none"/>
        </w:rPr>
      </w:pPr>
    </w:p>
    <w:p>
      <w:pPr>
        <w:snapToGrid w:val="0"/>
        <w:spacing w:line="360" w:lineRule="exact"/>
        <w:jc w:val="left"/>
        <w:rPr>
          <w:rFonts w:ascii="宋体" w:hAnsi="宋体"/>
          <w:color w:val="auto"/>
          <w:sz w:val="22"/>
          <w:highlight w:val="none"/>
        </w:rPr>
      </w:pPr>
    </w:p>
    <w:p>
      <w:pPr>
        <w:pStyle w:val="51"/>
        <w:rPr>
          <w:color w:val="auto"/>
          <w:highlight w:val="none"/>
        </w:rPr>
      </w:pPr>
      <w:r>
        <w:rPr>
          <w:rFonts w:ascii="宋体" w:hAnsi="宋体"/>
          <w:color w:val="auto"/>
          <w:sz w:val="22"/>
          <w:szCs w:val="22"/>
          <w:highlight w:val="none"/>
        </w:rPr>
        <w:br w:type="page"/>
      </w:r>
      <w:bookmarkStart w:id="102" w:name="_Toc450630564"/>
      <w:bookmarkStart w:id="103" w:name="_Toc275274581"/>
      <w:r>
        <w:rPr>
          <w:color w:val="auto"/>
          <w:highlight w:val="none"/>
        </w:rPr>
        <w:t>第</w:t>
      </w:r>
      <w:r>
        <w:rPr>
          <w:rFonts w:hint="eastAsia"/>
          <w:color w:val="auto"/>
          <w:highlight w:val="none"/>
        </w:rPr>
        <w:t>六</w:t>
      </w:r>
      <w:r>
        <w:rPr>
          <w:color w:val="auto"/>
          <w:highlight w:val="none"/>
        </w:rPr>
        <w:t xml:space="preserve">章  </w:t>
      </w:r>
      <w:r>
        <w:rPr>
          <w:rFonts w:hint="eastAsia"/>
          <w:color w:val="auto"/>
          <w:highlight w:val="none"/>
        </w:rPr>
        <w:t>评标办法及标准</w:t>
      </w:r>
      <w:bookmarkEnd w:id="102"/>
    </w:p>
    <w:p>
      <w:pPr>
        <w:pStyle w:val="31"/>
        <w:spacing w:line="360" w:lineRule="exact"/>
        <w:ind w:firstLine="420"/>
        <w:rPr>
          <w:rFonts w:hAnsi="宋体" w:cs="Calibri"/>
          <w:bCs/>
          <w:color w:val="auto"/>
          <w:sz w:val="22"/>
          <w:szCs w:val="22"/>
          <w:highlight w:val="none"/>
        </w:rPr>
      </w:pPr>
      <w:r>
        <w:rPr>
          <w:rFonts w:hAnsi="宋体" w:cs="Calibri"/>
          <w:bCs/>
          <w:color w:val="auto"/>
          <w:sz w:val="22"/>
          <w:szCs w:val="22"/>
          <w:highlight w:val="none"/>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color w:val="auto"/>
          <w:sz w:val="22"/>
          <w:szCs w:val="22"/>
          <w:highlight w:val="none"/>
        </w:rPr>
      </w:pPr>
      <w:r>
        <w:rPr>
          <w:rFonts w:hAnsi="宋体" w:cs="Calibri"/>
          <w:b/>
          <w:bCs/>
          <w:color w:val="auto"/>
          <w:sz w:val="22"/>
          <w:szCs w:val="22"/>
          <w:highlight w:val="none"/>
        </w:rPr>
        <w:t>一、评标原则</w:t>
      </w:r>
    </w:p>
    <w:p>
      <w:pPr>
        <w:pStyle w:val="31"/>
        <w:spacing w:line="360" w:lineRule="exact"/>
        <w:ind w:firstLine="420"/>
        <w:rPr>
          <w:rFonts w:hAnsi="宋体" w:cs="Calibri"/>
          <w:color w:val="auto"/>
          <w:sz w:val="22"/>
          <w:szCs w:val="22"/>
          <w:highlight w:val="none"/>
        </w:rPr>
      </w:pPr>
      <w:r>
        <w:rPr>
          <w:rFonts w:hint="eastAsia" w:hAnsi="宋体" w:cs="Calibri"/>
          <w:bCs/>
          <w:color w:val="auto"/>
          <w:sz w:val="22"/>
          <w:szCs w:val="22"/>
          <w:highlight w:val="none"/>
        </w:rPr>
        <w:t>本次评标采用</w:t>
      </w:r>
      <w:r>
        <w:rPr>
          <w:rFonts w:hint="eastAsia" w:hAnsi="宋体" w:cs="Calibri"/>
          <w:b/>
          <w:bCs/>
          <w:color w:val="auto"/>
          <w:sz w:val="22"/>
          <w:szCs w:val="22"/>
          <w:highlight w:val="none"/>
        </w:rPr>
        <w:t>综合评估法</w:t>
      </w:r>
      <w:r>
        <w:rPr>
          <w:rFonts w:hint="eastAsia" w:hAnsi="宋体" w:cs="Calibri"/>
          <w:bCs/>
          <w:color w:val="auto"/>
          <w:sz w:val="22"/>
          <w:szCs w:val="22"/>
          <w:highlight w:val="none"/>
        </w:rPr>
        <w:t>，</w:t>
      </w:r>
      <w:r>
        <w:rPr>
          <w:rFonts w:hAnsi="宋体" w:cs="Calibri"/>
          <w:bCs/>
          <w:color w:val="auto"/>
          <w:sz w:val="22"/>
          <w:szCs w:val="22"/>
          <w:highlight w:val="none"/>
        </w:rPr>
        <w:t>评标应遵循公平、公正、科学、择优的原则。</w:t>
      </w:r>
    </w:p>
    <w:p>
      <w:pPr>
        <w:pStyle w:val="31"/>
        <w:spacing w:line="360" w:lineRule="exact"/>
        <w:rPr>
          <w:rFonts w:hAnsi="宋体" w:cs="Calibri"/>
          <w:b/>
          <w:bCs/>
          <w:color w:val="auto"/>
          <w:sz w:val="22"/>
          <w:szCs w:val="22"/>
          <w:highlight w:val="none"/>
        </w:rPr>
      </w:pPr>
      <w:r>
        <w:rPr>
          <w:rFonts w:hAnsi="宋体" w:cs="Calibri"/>
          <w:b/>
          <w:bCs/>
          <w:color w:val="auto"/>
          <w:sz w:val="22"/>
          <w:szCs w:val="22"/>
          <w:highlight w:val="none"/>
        </w:rPr>
        <w:t>二、评标组织</w:t>
      </w:r>
    </w:p>
    <w:p>
      <w:pPr>
        <w:pStyle w:val="31"/>
        <w:spacing w:line="360" w:lineRule="exact"/>
        <w:ind w:firstLine="420"/>
        <w:rPr>
          <w:rFonts w:hAnsi="宋体" w:cs="Calibri"/>
          <w:color w:val="auto"/>
          <w:sz w:val="22"/>
          <w:szCs w:val="22"/>
          <w:highlight w:val="none"/>
        </w:rPr>
      </w:pPr>
      <w:r>
        <w:rPr>
          <w:rFonts w:hAnsi="宋体" w:cs="Calibri"/>
          <w:color w:val="auto"/>
          <w:sz w:val="22"/>
          <w:szCs w:val="22"/>
          <w:highlight w:val="none"/>
        </w:rPr>
        <w:t>评标工作由招标人依法组建的评标委员会（小组）负责。评标委员会成员为</w:t>
      </w:r>
      <w:r>
        <w:rPr>
          <w:rFonts w:hint="eastAsia" w:hAnsi="宋体" w:cs="Calibri"/>
          <w:color w:val="auto"/>
          <w:sz w:val="22"/>
          <w:szCs w:val="22"/>
          <w:highlight w:val="none"/>
        </w:rPr>
        <w:t>3</w:t>
      </w:r>
      <w:r>
        <w:rPr>
          <w:rFonts w:hAnsi="宋体" w:cs="Calibri"/>
          <w:color w:val="auto"/>
          <w:sz w:val="22"/>
          <w:szCs w:val="22"/>
          <w:highlight w:val="none"/>
        </w:rPr>
        <w:t>人及以上单数，</w:t>
      </w:r>
      <w:r>
        <w:rPr>
          <w:rFonts w:hint="eastAsia" w:hAnsi="宋体"/>
          <w:color w:val="auto"/>
          <w:sz w:val="22"/>
          <w:szCs w:val="22"/>
          <w:highlight w:val="none"/>
        </w:rPr>
        <w:t>评标委员会成员由招标人自行组建。</w:t>
      </w:r>
    </w:p>
    <w:p>
      <w:pPr>
        <w:pStyle w:val="31"/>
        <w:spacing w:line="360" w:lineRule="exact"/>
        <w:rPr>
          <w:rFonts w:hAnsi="宋体" w:cs="Calibri"/>
          <w:b/>
          <w:bCs/>
          <w:color w:val="auto"/>
          <w:sz w:val="22"/>
          <w:szCs w:val="22"/>
          <w:highlight w:val="none"/>
        </w:rPr>
      </w:pPr>
      <w:r>
        <w:rPr>
          <w:rFonts w:hAnsi="宋体" w:cs="Calibri"/>
          <w:b/>
          <w:bCs/>
          <w:color w:val="auto"/>
          <w:sz w:val="22"/>
          <w:szCs w:val="22"/>
          <w:highlight w:val="none"/>
        </w:rPr>
        <w:t>三、投标文件的评审</w:t>
      </w:r>
    </w:p>
    <w:p>
      <w:pPr>
        <w:pStyle w:val="31"/>
        <w:spacing w:line="360" w:lineRule="exact"/>
        <w:ind w:firstLine="442" w:firstLineChars="200"/>
        <w:rPr>
          <w:rFonts w:hAnsi="宋体" w:cs="Calibri"/>
          <w:b/>
          <w:color w:val="auto"/>
          <w:sz w:val="22"/>
          <w:szCs w:val="22"/>
          <w:highlight w:val="none"/>
        </w:rPr>
      </w:pPr>
      <w:r>
        <w:rPr>
          <w:rFonts w:hAnsi="宋体" w:cs="Calibri"/>
          <w:b/>
          <w:color w:val="auto"/>
          <w:sz w:val="22"/>
          <w:szCs w:val="22"/>
          <w:highlight w:val="none"/>
        </w:rPr>
        <w:t>3.1 符合性评审</w:t>
      </w:r>
    </w:p>
    <w:p>
      <w:pPr>
        <w:widowControl/>
        <w:tabs>
          <w:tab w:val="left" w:pos="709"/>
        </w:tabs>
        <w:snapToGrid w:val="0"/>
        <w:spacing w:line="360" w:lineRule="exact"/>
        <w:ind w:firstLine="444" w:firstLineChars="202"/>
        <w:rPr>
          <w:rFonts w:ascii="宋体" w:hAnsi="宋体" w:cs="Calibri"/>
          <w:bCs/>
          <w:color w:val="auto"/>
          <w:kern w:val="0"/>
          <w:sz w:val="22"/>
          <w:szCs w:val="22"/>
          <w:highlight w:val="none"/>
        </w:rPr>
      </w:pPr>
      <w:r>
        <w:rPr>
          <w:rFonts w:ascii="宋体" w:hAnsi="宋体" w:cs="Calibri"/>
          <w:bCs/>
          <w:color w:val="auto"/>
          <w:kern w:val="0"/>
          <w:sz w:val="22"/>
          <w:szCs w:val="22"/>
          <w:highlight w:val="none"/>
        </w:rPr>
        <w:t>3.1.1评标委员会应依照招标文件的要求和规定首先对投标人的投标资格和投标文件进行符合性审查，</w:t>
      </w:r>
      <w:r>
        <w:rPr>
          <w:rFonts w:ascii="宋体" w:hAnsi="宋体" w:cs="Calibri"/>
          <w:b/>
          <w:color w:val="auto"/>
          <w:kern w:val="0"/>
          <w:sz w:val="22"/>
          <w:szCs w:val="22"/>
          <w:highlight w:val="none"/>
        </w:rPr>
        <w:t>审查过程中评标委员会可以要求投标人提交下列审查项所需的有关证明和证件的原件，以便核验。</w:t>
      </w:r>
      <w:r>
        <w:rPr>
          <w:rFonts w:ascii="宋体" w:hAnsi="宋体" w:cs="Calibri"/>
          <w:bCs/>
          <w:color w:val="auto"/>
          <w:kern w:val="0"/>
          <w:sz w:val="22"/>
          <w:szCs w:val="22"/>
          <w:highlight w:val="none"/>
        </w:rPr>
        <w:t>投标文件如存在以下情况之一的，经评标委员会三分之二以上的成员认定，符合性审查不予通过，</w:t>
      </w:r>
      <w:r>
        <w:rPr>
          <w:rFonts w:ascii="宋体" w:hAnsi="宋体" w:cs="Calibri"/>
          <w:b/>
          <w:bCs/>
          <w:color w:val="auto"/>
          <w:kern w:val="0"/>
          <w:sz w:val="22"/>
          <w:szCs w:val="22"/>
          <w:highlight w:val="none"/>
        </w:rPr>
        <w:t>作废标处理，</w:t>
      </w:r>
      <w:r>
        <w:rPr>
          <w:rFonts w:ascii="宋体" w:hAnsi="宋体" w:cs="Calibri"/>
          <w:bCs/>
          <w:color w:val="auto"/>
          <w:kern w:val="0"/>
          <w:sz w:val="22"/>
          <w:szCs w:val="22"/>
          <w:highlight w:val="none"/>
        </w:rPr>
        <w:t>不再进行详细评审：</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1、</w:t>
      </w:r>
      <w:r>
        <w:rPr>
          <w:rFonts w:ascii="宋体" w:hAnsi="宋体" w:cs="Calibri"/>
          <w:bCs/>
          <w:color w:val="auto"/>
          <w:kern w:val="0"/>
          <w:sz w:val="22"/>
          <w:szCs w:val="22"/>
          <w:highlight w:val="none"/>
        </w:rPr>
        <w:t>投标人的投标资格不满足国家有关规定或招标文件载明的投标资格条件的；</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3、投标文件未按规定的格式填写，内容不全或关键字迹模糊、无法辨认的；</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5、</w:t>
      </w:r>
      <w:r>
        <w:rPr>
          <w:rFonts w:hint="eastAsia" w:ascii="宋体" w:hAnsi="宋体" w:cs="Calibri"/>
          <w:color w:val="auto"/>
          <w:sz w:val="22"/>
          <w:szCs w:val="22"/>
          <w:highlight w:val="none"/>
        </w:rPr>
        <w:t>供货</w:t>
      </w:r>
      <w:r>
        <w:rPr>
          <w:rFonts w:ascii="宋体" w:hAnsi="宋体" w:cs="Calibri"/>
          <w:color w:val="auto"/>
          <w:sz w:val="22"/>
          <w:szCs w:val="22"/>
          <w:highlight w:val="none"/>
        </w:rPr>
        <w:t>期不满足招标文件要求的；</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6、不</w:t>
      </w:r>
      <w:r>
        <w:rPr>
          <w:rFonts w:ascii="宋体" w:hAnsi="宋体" w:cs="Calibri"/>
          <w:color w:val="auto"/>
          <w:kern w:val="0"/>
          <w:sz w:val="22"/>
          <w:szCs w:val="22"/>
          <w:highlight w:val="none"/>
        </w:rPr>
        <w:t>响应招标文件规定的实质性要求（包括具体条文前用“★”标示的）</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7、投标人不以自己的名义或未按招标文件的要求提供投标保证金或提供的保证金有缺陷而不能接受的；</w:t>
      </w:r>
    </w:p>
    <w:p>
      <w:pPr>
        <w:spacing w:line="360" w:lineRule="exact"/>
        <w:ind w:firstLine="470" w:firstLineChars="214"/>
        <w:rPr>
          <w:rFonts w:ascii="宋体" w:hAnsi="宋体" w:cs="Calibri"/>
          <w:color w:val="auto"/>
          <w:sz w:val="22"/>
          <w:szCs w:val="22"/>
          <w:highlight w:val="none"/>
        </w:rPr>
      </w:pPr>
      <w:r>
        <w:rPr>
          <w:rFonts w:ascii="宋体" w:hAnsi="宋体" w:cs="Calibri"/>
          <w:color w:val="auto"/>
          <w:sz w:val="22"/>
          <w:szCs w:val="22"/>
          <w:highlight w:val="none"/>
        </w:rPr>
        <w:t>8、投标人以他人名义投标、或与他人串通投标、或以行贿手段谋取中标，或弄虚作假的；</w:t>
      </w:r>
    </w:p>
    <w:p>
      <w:pPr>
        <w:spacing w:line="360" w:lineRule="exact"/>
        <w:ind w:firstLine="470" w:firstLineChars="214"/>
        <w:rPr>
          <w:rFonts w:ascii="宋体" w:hAnsi="宋体" w:cs="Calibri"/>
          <w:color w:val="auto"/>
          <w:sz w:val="22"/>
          <w:szCs w:val="22"/>
          <w:highlight w:val="none"/>
        </w:rPr>
      </w:pPr>
      <w:r>
        <w:rPr>
          <w:rFonts w:hint="eastAsia" w:ascii="宋体" w:hAnsi="宋体" w:cs="Calibri"/>
          <w:color w:val="auto"/>
          <w:sz w:val="22"/>
          <w:szCs w:val="22"/>
          <w:highlight w:val="none"/>
        </w:rPr>
        <w:t>9</w:t>
      </w:r>
      <w:r>
        <w:rPr>
          <w:rFonts w:ascii="宋体" w:hAnsi="宋体" w:cs="Calibri"/>
          <w:color w:val="auto"/>
          <w:sz w:val="22"/>
          <w:szCs w:val="22"/>
          <w:highlight w:val="none"/>
        </w:rPr>
        <w:t>、存在法律、法规、规章规定的其它无效投标情况的</w:t>
      </w:r>
      <w:r>
        <w:rPr>
          <w:rFonts w:hint="eastAsia" w:ascii="宋体" w:hAnsi="宋体" w:cs="Calibri"/>
          <w:color w:val="auto"/>
          <w:sz w:val="22"/>
          <w:szCs w:val="22"/>
          <w:highlight w:val="none"/>
        </w:rPr>
        <w:t>。</w:t>
      </w:r>
    </w:p>
    <w:p>
      <w:pPr>
        <w:widowControl/>
        <w:tabs>
          <w:tab w:val="left" w:pos="709"/>
        </w:tabs>
        <w:snapToGrid w:val="0"/>
        <w:spacing w:line="360" w:lineRule="exact"/>
        <w:ind w:firstLine="446" w:firstLineChars="202"/>
        <w:rPr>
          <w:rFonts w:ascii="宋体" w:hAnsi="宋体" w:cs="Calibri"/>
          <w:b/>
          <w:color w:val="auto"/>
          <w:sz w:val="22"/>
          <w:szCs w:val="22"/>
          <w:highlight w:val="none"/>
        </w:rPr>
      </w:pPr>
      <w:r>
        <w:rPr>
          <w:rFonts w:ascii="宋体" w:hAnsi="宋体" w:cs="Calibri"/>
          <w:b/>
          <w:color w:val="auto"/>
          <w:sz w:val="22"/>
          <w:szCs w:val="22"/>
          <w:highlight w:val="none"/>
        </w:rPr>
        <w:t>3.1.2 报价算术性修正</w:t>
      </w:r>
    </w:p>
    <w:p>
      <w:pPr>
        <w:pStyle w:val="31"/>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评标委员会按以下原则对通过符合性审查的投标文件报价进行算术性修正：</w:t>
      </w:r>
    </w:p>
    <w:p>
      <w:pPr>
        <w:pStyle w:val="31"/>
        <w:numPr>
          <w:ilvl w:val="0"/>
          <w:numId w:val="8"/>
        </w:numPr>
        <w:adjustRightInd w:val="0"/>
        <w:spacing w:line="360" w:lineRule="exact"/>
        <w:ind w:left="0" w:firstLine="440" w:firstLineChars="200"/>
        <w:rPr>
          <w:rFonts w:hAnsi="宋体" w:cs="Calibri"/>
          <w:color w:val="auto"/>
          <w:sz w:val="22"/>
          <w:szCs w:val="22"/>
          <w:highlight w:val="none"/>
        </w:rPr>
      </w:pPr>
      <w:r>
        <w:rPr>
          <w:rFonts w:hAnsi="宋体" w:cs="Calibri"/>
          <w:color w:val="auto"/>
          <w:sz w:val="22"/>
          <w:szCs w:val="22"/>
          <w:highlight w:val="none"/>
        </w:rPr>
        <w:t>投标文件中的大写金额与小写金额不一致的，以大写金额为准；</w:t>
      </w:r>
    </w:p>
    <w:p>
      <w:pPr>
        <w:pStyle w:val="31"/>
        <w:numPr>
          <w:ilvl w:val="0"/>
          <w:numId w:val="8"/>
        </w:numPr>
        <w:adjustRightInd w:val="0"/>
        <w:spacing w:line="360" w:lineRule="exact"/>
        <w:ind w:left="0" w:firstLine="440" w:firstLineChars="200"/>
        <w:rPr>
          <w:rFonts w:hAnsi="宋体" w:cs="Calibri"/>
          <w:color w:val="auto"/>
          <w:sz w:val="22"/>
          <w:szCs w:val="22"/>
          <w:highlight w:val="none"/>
        </w:rPr>
      </w:pPr>
      <w:r>
        <w:rPr>
          <w:rFonts w:hAnsi="宋体" w:cs="Calibri"/>
          <w:color w:val="auto"/>
          <w:sz w:val="22"/>
          <w:szCs w:val="22"/>
          <w:highlight w:val="none"/>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color w:val="auto"/>
          <w:sz w:val="22"/>
          <w:szCs w:val="22"/>
          <w:highlight w:val="none"/>
        </w:rPr>
      </w:pPr>
      <w:r>
        <w:rPr>
          <w:rFonts w:hAnsi="宋体" w:cs="Calibri"/>
          <w:color w:val="auto"/>
          <w:sz w:val="22"/>
          <w:szCs w:val="22"/>
          <w:highlight w:val="none"/>
        </w:rPr>
        <w:t>★修正的价格经投标人书面确认后具有约束力。投标人不接受修正价格的，或修正后的最终投标价与原报价相比偏差在0.5%（不含）以上的，其投标作</w:t>
      </w:r>
      <w:r>
        <w:rPr>
          <w:rFonts w:hAnsi="宋体" w:cs="Calibri"/>
          <w:b/>
          <w:color w:val="auto"/>
          <w:sz w:val="22"/>
          <w:szCs w:val="22"/>
          <w:highlight w:val="none"/>
        </w:rPr>
        <w:t>废标处理</w:t>
      </w:r>
      <w:r>
        <w:rPr>
          <w:rFonts w:hAnsi="宋体" w:cs="Calibri"/>
          <w:color w:val="auto"/>
          <w:sz w:val="22"/>
          <w:szCs w:val="22"/>
          <w:highlight w:val="none"/>
        </w:rPr>
        <w:t>；修正偏差在0.5%（含）以内的，投标人应在投标总报价不变和单价平衡的前提下修正相关项目单价和（或）合价。</w:t>
      </w:r>
    </w:p>
    <w:p>
      <w:pPr>
        <w:pStyle w:val="31"/>
        <w:spacing w:line="360" w:lineRule="exact"/>
        <w:ind w:firstLine="440" w:firstLineChars="200"/>
        <w:rPr>
          <w:rFonts w:hAnsi="宋体" w:cs="Calibri"/>
          <w:b/>
          <w:color w:val="auto"/>
          <w:sz w:val="22"/>
          <w:szCs w:val="22"/>
          <w:highlight w:val="none"/>
        </w:rPr>
      </w:pPr>
      <w:r>
        <w:rPr>
          <w:rFonts w:hAnsi="宋体" w:cs="Calibri"/>
          <w:color w:val="auto"/>
          <w:sz w:val="22"/>
          <w:szCs w:val="22"/>
          <w:highlight w:val="none"/>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color w:val="auto"/>
          <w:sz w:val="22"/>
          <w:szCs w:val="22"/>
          <w:highlight w:val="none"/>
        </w:rPr>
      </w:pPr>
      <w:r>
        <w:rPr>
          <w:rFonts w:hAnsi="宋体" w:cs="Calibri"/>
          <w:b/>
          <w:color w:val="auto"/>
          <w:sz w:val="22"/>
          <w:szCs w:val="22"/>
          <w:highlight w:val="none"/>
        </w:rPr>
        <w:t>3.2 投标文件的澄清和补正</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auto"/>
          <w:sz w:val="22"/>
          <w:szCs w:val="22"/>
          <w:highlight w:val="none"/>
        </w:rPr>
      </w:pPr>
      <w:r>
        <w:rPr>
          <w:rFonts w:ascii="宋体" w:hAnsi="宋体" w:cs="Calibri"/>
          <w:b/>
          <w:color w:val="auto"/>
          <w:sz w:val="22"/>
          <w:szCs w:val="22"/>
          <w:highlight w:val="none"/>
        </w:rPr>
        <w:t>3.3</w:t>
      </w:r>
      <w:r>
        <w:rPr>
          <w:rFonts w:hint="eastAsia" w:ascii="宋体" w:hAnsi="宋体"/>
          <w:b/>
          <w:color w:val="auto"/>
          <w:sz w:val="22"/>
          <w:szCs w:val="22"/>
          <w:highlight w:val="none"/>
        </w:rPr>
        <w:t>评标细则</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color w:val="auto"/>
          <w:sz w:val="22"/>
          <w:szCs w:val="22"/>
          <w:highlight w:val="none"/>
        </w:rPr>
      </w:pPr>
      <w:r>
        <w:rPr>
          <w:rFonts w:hint="eastAsia" w:hAnsi="宋体"/>
          <w:b/>
          <w:color w:val="auto"/>
          <w:sz w:val="22"/>
          <w:szCs w:val="22"/>
          <w:highlight w:val="none"/>
        </w:rPr>
        <w:t>每个投标人最终得分=商务报价分+技术分</w:t>
      </w:r>
    </w:p>
    <w:p>
      <w:pPr>
        <w:pStyle w:val="31"/>
        <w:adjustRightInd w:val="0"/>
        <w:snapToGrid w:val="0"/>
        <w:spacing w:line="360" w:lineRule="exact"/>
        <w:ind w:firstLine="440" w:firstLineChars="200"/>
        <w:rPr>
          <w:rFonts w:hAnsi="宋体" w:cs="Arial"/>
          <w:b/>
          <w:color w:val="auto"/>
          <w:sz w:val="22"/>
          <w:szCs w:val="22"/>
          <w:highlight w:val="none"/>
        </w:rPr>
      </w:pPr>
      <w:r>
        <w:rPr>
          <w:rFonts w:hint="eastAsia" w:hAnsi="宋体" w:cs="Calibri"/>
          <w:color w:val="auto"/>
          <w:sz w:val="22"/>
          <w:szCs w:val="22"/>
          <w:highlight w:val="none"/>
        </w:rPr>
        <w:t>3.3.1商务报价分70分</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olor w:val="auto"/>
          <w:sz w:val="22"/>
          <w:szCs w:val="22"/>
          <w:highlight w:val="none"/>
        </w:rPr>
        <w:t>报价评分应在投标报价响应招标文件要求的基础上，取所有有效投标报价的算数平均值与次低价的算数平均值作为评标基准价，如有效投标报价的数量小于4个，则评标基准价为所有有效投标报价的算数平均值与最低价的算数平均值。</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投标人的投标价等于评标基准价的得7</w:t>
      </w:r>
      <w:r>
        <w:rPr>
          <w:rFonts w:hAnsi="宋体" w:cs="Calibri"/>
          <w:color w:val="auto"/>
          <w:sz w:val="22"/>
          <w:szCs w:val="22"/>
          <w:highlight w:val="none"/>
        </w:rPr>
        <w:t>0</w:t>
      </w:r>
      <w:r>
        <w:rPr>
          <w:rFonts w:hint="eastAsia" w:hAnsi="宋体" w:cs="Calibri"/>
          <w:color w:val="auto"/>
          <w:sz w:val="22"/>
          <w:szCs w:val="22"/>
          <w:highlight w:val="none"/>
        </w:rPr>
        <w:t>分，每高于评标基准价</w:t>
      </w:r>
      <w:r>
        <w:rPr>
          <w:rFonts w:hAnsi="宋体" w:cs="Calibri"/>
          <w:color w:val="auto"/>
          <w:sz w:val="22"/>
          <w:szCs w:val="22"/>
          <w:highlight w:val="none"/>
        </w:rPr>
        <w:t>1%</w:t>
      </w:r>
      <w:r>
        <w:rPr>
          <w:rFonts w:hint="eastAsia" w:hAnsi="宋体" w:cs="Calibri"/>
          <w:color w:val="auto"/>
          <w:sz w:val="22"/>
          <w:szCs w:val="22"/>
          <w:highlight w:val="none"/>
        </w:rPr>
        <w:t>的扣</w:t>
      </w:r>
      <w:r>
        <w:rPr>
          <w:rFonts w:hAnsi="宋体" w:cs="Calibri"/>
          <w:color w:val="auto"/>
          <w:sz w:val="22"/>
          <w:szCs w:val="22"/>
          <w:highlight w:val="none"/>
        </w:rPr>
        <w:t>1</w:t>
      </w:r>
      <w:r>
        <w:rPr>
          <w:rFonts w:hint="eastAsia" w:hAnsi="宋体" w:cs="Calibri"/>
          <w:color w:val="auto"/>
          <w:sz w:val="22"/>
          <w:szCs w:val="22"/>
          <w:highlight w:val="none"/>
        </w:rPr>
        <w:t>分，每低于评标基准价</w:t>
      </w:r>
      <w:r>
        <w:rPr>
          <w:rFonts w:hAnsi="宋体" w:cs="Calibri"/>
          <w:color w:val="auto"/>
          <w:sz w:val="22"/>
          <w:szCs w:val="22"/>
          <w:highlight w:val="none"/>
        </w:rPr>
        <w:t>1%</w:t>
      </w:r>
      <w:r>
        <w:rPr>
          <w:rFonts w:hint="eastAsia" w:hAnsi="宋体" w:cs="Calibri"/>
          <w:color w:val="auto"/>
          <w:sz w:val="22"/>
          <w:szCs w:val="22"/>
          <w:highlight w:val="none"/>
        </w:rPr>
        <w:t>的扣</w:t>
      </w:r>
      <w:r>
        <w:rPr>
          <w:rFonts w:hAnsi="宋体" w:cs="Calibri"/>
          <w:color w:val="auto"/>
          <w:sz w:val="22"/>
          <w:szCs w:val="22"/>
          <w:highlight w:val="none"/>
        </w:rPr>
        <w:t>0.5</w:t>
      </w:r>
      <w:r>
        <w:rPr>
          <w:rFonts w:hint="eastAsia" w:hAnsi="宋体" w:cs="Calibri"/>
          <w:color w:val="auto"/>
          <w:sz w:val="22"/>
          <w:szCs w:val="22"/>
          <w:highlight w:val="none"/>
        </w:rPr>
        <w:t>分（不足</w:t>
      </w:r>
      <w:r>
        <w:rPr>
          <w:rFonts w:hAnsi="宋体" w:cs="Calibri"/>
          <w:color w:val="auto"/>
          <w:sz w:val="22"/>
          <w:szCs w:val="22"/>
          <w:highlight w:val="none"/>
        </w:rPr>
        <w:t>1</w:t>
      </w:r>
      <w:r>
        <w:rPr>
          <w:rFonts w:hint="eastAsia" w:hAnsi="宋体" w:cs="Calibri"/>
          <w:color w:val="auto"/>
          <w:sz w:val="22"/>
          <w:szCs w:val="22"/>
          <w:highlight w:val="none"/>
        </w:rPr>
        <w:t>个百分点按插值法计算，小数点后保留二位，四舍五入，商务分最低得分为</w:t>
      </w:r>
      <w:r>
        <w:rPr>
          <w:rFonts w:hAnsi="宋体" w:cs="Calibri"/>
          <w:color w:val="auto"/>
          <w:sz w:val="22"/>
          <w:szCs w:val="22"/>
          <w:highlight w:val="none"/>
        </w:rPr>
        <w:t>30</w:t>
      </w:r>
      <w:r>
        <w:rPr>
          <w:rFonts w:hint="eastAsia" w:hAnsi="宋体" w:cs="Calibri"/>
          <w:color w:val="auto"/>
          <w:sz w:val="22"/>
          <w:szCs w:val="22"/>
          <w:highlight w:val="none"/>
        </w:rPr>
        <w:t>分）</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此项由评标委员会集体核实后统一打分。</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2、技术评分   1</w:t>
      </w:r>
      <w:r>
        <w:rPr>
          <w:rFonts w:hint="eastAsia" w:hAnsi="宋体" w:cs="Calibri"/>
          <w:color w:val="auto"/>
          <w:sz w:val="22"/>
          <w:szCs w:val="22"/>
          <w:highlight w:val="none"/>
          <w:lang w:val="en-US" w:eastAsia="zh-CN"/>
        </w:rPr>
        <w:t>0</w:t>
      </w:r>
      <w:r>
        <w:rPr>
          <w:rFonts w:hint="eastAsia" w:hAnsi="宋体" w:cs="Calibri"/>
          <w:color w:val="auto"/>
          <w:sz w:val="22"/>
          <w:szCs w:val="22"/>
          <w:highlight w:val="none"/>
        </w:rPr>
        <w:t>-30分</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该评分分值由评标委员会成员独立打分（具体分值设定详见下表），小数点后保留</w:t>
      </w:r>
      <w:r>
        <w:rPr>
          <w:rFonts w:hAnsi="宋体" w:cs="Calibri"/>
          <w:color w:val="auto"/>
          <w:sz w:val="22"/>
          <w:szCs w:val="22"/>
          <w:highlight w:val="none"/>
        </w:rPr>
        <w:t>1</w:t>
      </w:r>
      <w:r>
        <w:rPr>
          <w:rFonts w:hint="eastAsia" w:hAnsi="宋体" w:cs="Calibri"/>
          <w:color w:val="auto"/>
          <w:sz w:val="22"/>
          <w:szCs w:val="22"/>
          <w:highlight w:val="none"/>
        </w:rPr>
        <w:t>位小数。每个投标人的最终技术得分为评标委员会打分去掉一个最高分去掉一个最低分后的算术平均值（小数点后保留</w:t>
      </w:r>
      <w:r>
        <w:rPr>
          <w:rFonts w:hAnsi="宋体" w:cs="Calibri"/>
          <w:color w:val="auto"/>
          <w:sz w:val="22"/>
          <w:szCs w:val="22"/>
          <w:highlight w:val="none"/>
        </w:rPr>
        <w:t>2</w:t>
      </w:r>
      <w:r>
        <w:rPr>
          <w:rFonts w:hint="eastAsia" w:hAnsi="宋体" w:cs="Calibri"/>
          <w:color w:val="auto"/>
          <w:sz w:val="22"/>
          <w:szCs w:val="22"/>
          <w:highlight w:val="none"/>
        </w:rPr>
        <w:t>位，第三位四舍五入）。</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技术评分分值设定标准</w:t>
      </w:r>
    </w:p>
    <w:tbl>
      <w:tblPr>
        <w:tblStyle w:val="58"/>
        <w:tblW w:w="9726" w:type="dxa"/>
        <w:jc w:val="center"/>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color w:val="auto"/>
                <w:sz w:val="22"/>
                <w:szCs w:val="22"/>
                <w:highlight w:val="none"/>
              </w:rPr>
            </w:pPr>
            <w:r>
              <w:rPr>
                <w:rFonts w:ascii="宋体" w:hAnsi="宋体"/>
                <w:b/>
                <w:color w:val="auto"/>
                <w:sz w:val="22"/>
                <w:szCs w:val="22"/>
                <w:highlight w:val="none"/>
              </w:rPr>
              <w:t>评</w:t>
            </w:r>
            <w:r>
              <w:rPr>
                <w:rFonts w:hint="eastAsia" w:ascii="宋体" w:hAnsi="宋体"/>
                <w:b/>
                <w:color w:val="auto"/>
                <w:sz w:val="22"/>
                <w:szCs w:val="22"/>
                <w:highlight w:val="none"/>
              </w:rPr>
              <w:t>定项目</w:t>
            </w:r>
          </w:p>
        </w:tc>
        <w:tc>
          <w:tcPr>
            <w:tcW w:w="1701" w:type="dxa"/>
            <w:vAlign w:val="center"/>
          </w:tcPr>
          <w:p>
            <w:pPr>
              <w:snapToGrid w:val="0"/>
              <w:jc w:val="center"/>
              <w:rPr>
                <w:rFonts w:ascii="宋体" w:hAnsi="宋体"/>
                <w:b/>
                <w:color w:val="auto"/>
                <w:sz w:val="22"/>
                <w:szCs w:val="22"/>
                <w:highlight w:val="none"/>
              </w:rPr>
            </w:pPr>
            <w:r>
              <w:rPr>
                <w:rFonts w:hint="eastAsia" w:ascii="宋体" w:hAnsi="宋体"/>
                <w:b/>
                <w:color w:val="auto"/>
                <w:sz w:val="22"/>
                <w:szCs w:val="22"/>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根据招标文件的要求，投标单位的货物是否在其商务、技术、规格要求上有偏离，评价偏离的合理性并打分。</w:t>
            </w:r>
          </w:p>
        </w:tc>
        <w:tc>
          <w:tcPr>
            <w:tcW w:w="1701" w:type="dxa"/>
            <w:vAlign w:val="center"/>
          </w:tcPr>
          <w:p>
            <w:pPr>
              <w:snapToGrid w:val="0"/>
              <w:jc w:val="center"/>
              <w:rPr>
                <w:rFonts w:ascii="宋体" w:hAnsi="宋体"/>
                <w:color w:val="auto"/>
                <w:sz w:val="22"/>
                <w:szCs w:val="22"/>
                <w:highlight w:val="none"/>
              </w:rPr>
            </w:pP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施工质量的</w:t>
            </w:r>
            <w:r>
              <w:rPr>
                <w:rFonts w:hint="eastAsia" w:ascii="宋体" w:hAnsi="宋体"/>
                <w:color w:val="auto"/>
                <w:sz w:val="22"/>
                <w:szCs w:val="22"/>
                <w:highlight w:val="none"/>
                <w:lang w:eastAsia="zh-CN"/>
              </w:rPr>
              <w:t>保证措施</w:t>
            </w:r>
            <w:r>
              <w:rPr>
                <w:rFonts w:hint="eastAsia" w:ascii="宋体" w:hAnsi="宋体"/>
                <w:color w:val="auto"/>
                <w:sz w:val="22"/>
                <w:szCs w:val="22"/>
                <w:highlight w:val="none"/>
              </w:rPr>
              <w:t>和检验手段是否科学、可靠</w:t>
            </w:r>
          </w:p>
        </w:tc>
        <w:tc>
          <w:tcPr>
            <w:tcW w:w="1701" w:type="dxa"/>
            <w:vAlign w:val="top"/>
          </w:tcPr>
          <w:p>
            <w:pPr>
              <w:snapToGrid w:val="0"/>
              <w:jc w:val="center"/>
              <w:rPr>
                <w:rFonts w:ascii="宋体" w:hAnsi="宋体"/>
                <w:color w:val="auto"/>
                <w:sz w:val="22"/>
                <w:szCs w:val="22"/>
                <w:highlight w:val="none"/>
              </w:rPr>
            </w:pP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施工组织方案（</w:t>
            </w:r>
            <w:r>
              <w:rPr>
                <w:rFonts w:hint="eastAsia" w:ascii="宋体" w:hAnsi="宋体"/>
                <w:color w:val="auto"/>
                <w:sz w:val="22"/>
                <w:szCs w:val="22"/>
                <w:highlight w:val="none"/>
                <w:lang w:eastAsia="zh-CN"/>
              </w:rPr>
              <w:t>表计安装</w:t>
            </w:r>
            <w:r>
              <w:rPr>
                <w:rFonts w:hint="eastAsia" w:ascii="宋体" w:hAnsi="宋体"/>
                <w:color w:val="auto"/>
                <w:sz w:val="22"/>
                <w:szCs w:val="22"/>
                <w:highlight w:val="none"/>
              </w:rPr>
              <w:t>方案）合理性、质量、安全保证措施、供货进度保障措施、安装进度保障措施、投入本项目技术力量和人力资源安排。</w:t>
            </w:r>
          </w:p>
        </w:tc>
        <w:tc>
          <w:tcPr>
            <w:tcW w:w="1701" w:type="dxa"/>
            <w:vAlign w:val="top"/>
          </w:tcPr>
          <w:p>
            <w:pPr>
              <w:pStyle w:val="23"/>
              <w:snapToGrid w:val="0"/>
              <w:spacing w:after="0"/>
              <w:jc w:val="center"/>
              <w:rPr>
                <w:rFonts w:ascii="宋体" w:hAnsi="宋体"/>
                <w:color w:val="auto"/>
                <w:sz w:val="22"/>
                <w:szCs w:val="22"/>
                <w:highlight w:val="none"/>
              </w:rPr>
            </w:pP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投标人对供货时间、工程进度的控制、对进度影响因素考虑周全程度和响应程度等的措施</w:t>
            </w:r>
          </w:p>
        </w:tc>
        <w:tc>
          <w:tcPr>
            <w:tcW w:w="1701" w:type="dxa"/>
            <w:vAlign w:val="top"/>
          </w:tcPr>
          <w:p>
            <w:pPr>
              <w:pStyle w:val="23"/>
              <w:snapToGrid w:val="0"/>
              <w:spacing w:after="0"/>
              <w:jc w:val="center"/>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lang w:eastAsia="zh-CN"/>
              </w:rPr>
              <w:t>主要材料的性能指标、设备品牌、技术参数进行横向比较</w:t>
            </w:r>
          </w:p>
        </w:tc>
        <w:tc>
          <w:tcPr>
            <w:tcW w:w="1701" w:type="dxa"/>
            <w:vAlign w:val="top"/>
          </w:tcPr>
          <w:p>
            <w:pPr>
              <w:snapToGrid w:val="0"/>
              <w:jc w:val="center"/>
              <w:rPr>
                <w:rFonts w:ascii="宋体" w:hAnsi="宋体"/>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 xml:space="preserve">承诺的质保期超过招标文件要求的，根据各投标人承诺的质保期横向比较打分。 </w:t>
            </w:r>
          </w:p>
        </w:tc>
        <w:tc>
          <w:tcPr>
            <w:tcW w:w="1701" w:type="dxa"/>
            <w:vAlign w:val="center"/>
          </w:tcPr>
          <w:p>
            <w:pPr>
              <w:snapToGrid w:val="0"/>
              <w:jc w:val="center"/>
              <w:rPr>
                <w:rFonts w:ascii="宋体" w:hAnsi="宋体"/>
                <w:b/>
                <w:color w:val="auto"/>
                <w:sz w:val="22"/>
                <w:szCs w:val="22"/>
                <w:highlight w:val="none"/>
              </w:rPr>
            </w:pPr>
            <w:r>
              <w:rPr>
                <w:rFonts w:ascii="宋体" w:hAnsi="宋体"/>
                <w:color w:val="auto"/>
                <w:sz w:val="22"/>
                <w:szCs w:val="22"/>
                <w:highlight w:val="none"/>
              </w:rPr>
              <w:t>1</w:t>
            </w:r>
            <w:r>
              <w:rPr>
                <w:rFonts w:hint="eastAsia" w:ascii="宋体" w:hAnsi="宋体"/>
                <w:color w:val="auto"/>
                <w:sz w:val="22"/>
                <w:szCs w:val="22"/>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投标单位提供的质保期内外售后服务方案、响应时间，维护人员和本地化服务能力，以及提供免费维护所采取的措施等。</w:t>
            </w:r>
          </w:p>
        </w:tc>
        <w:tc>
          <w:tcPr>
            <w:tcW w:w="1701" w:type="dxa"/>
            <w:vAlign w:val="center"/>
          </w:tcPr>
          <w:p>
            <w:pPr>
              <w:snapToGrid w:val="0"/>
              <w:jc w:val="center"/>
              <w:rPr>
                <w:rFonts w:ascii="宋体" w:hAnsi="宋体"/>
                <w:color w:val="auto"/>
                <w:sz w:val="22"/>
                <w:szCs w:val="22"/>
                <w:highlight w:val="none"/>
              </w:rPr>
            </w:pPr>
            <w:r>
              <w:rPr>
                <w:rFonts w:hint="eastAsia" w:ascii="宋体" w:hAnsi="宋体"/>
                <w:color w:val="auto"/>
                <w:sz w:val="22"/>
                <w:szCs w:val="22"/>
                <w:highlight w:val="none"/>
                <w:lang w:val="en-US" w:eastAsia="zh-CN"/>
              </w:rPr>
              <w:t>0</w:t>
            </w:r>
            <w:r>
              <w:rPr>
                <w:rFonts w:hint="eastAsia" w:ascii="宋体" w:hAnsi="宋体"/>
                <w:color w:val="auto"/>
                <w:sz w:val="22"/>
                <w:szCs w:val="22"/>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工程关键部位的施工方案及保证措施是否具有针对性、科学合理</w:t>
            </w:r>
          </w:p>
        </w:tc>
        <w:tc>
          <w:tcPr>
            <w:tcW w:w="1701" w:type="dxa"/>
            <w:vAlign w:val="center"/>
          </w:tcPr>
          <w:p>
            <w:pPr>
              <w:snapToGrid w:val="0"/>
              <w:jc w:val="center"/>
              <w:rPr>
                <w:rFonts w:ascii="宋体" w:hAnsi="宋体"/>
                <w:color w:val="auto"/>
                <w:sz w:val="22"/>
                <w:szCs w:val="22"/>
                <w:highlight w:val="none"/>
              </w:rPr>
            </w:pPr>
            <w:r>
              <w:rPr>
                <w:rFonts w:ascii="宋体" w:hAnsi="宋体"/>
                <w:color w:val="auto"/>
                <w:sz w:val="22"/>
                <w:szCs w:val="22"/>
                <w:highlight w:val="none"/>
              </w:rPr>
              <w:t>2</w:t>
            </w:r>
            <w:r>
              <w:rPr>
                <w:rFonts w:hint="eastAsia" w:ascii="宋体" w:hAnsi="宋体"/>
                <w:color w:val="auto"/>
                <w:sz w:val="22"/>
                <w:szCs w:val="22"/>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top"/>
          </w:tcPr>
          <w:p>
            <w:pPr>
              <w:pStyle w:val="23"/>
              <w:snapToGrid w:val="0"/>
              <w:spacing w:after="0"/>
              <w:jc w:val="left"/>
              <w:rPr>
                <w:rFonts w:hint="eastAsia" w:ascii="宋体" w:hAnsi="宋体"/>
                <w:color w:val="auto"/>
                <w:sz w:val="22"/>
                <w:szCs w:val="22"/>
                <w:highlight w:val="none"/>
              </w:rPr>
            </w:pPr>
            <w:r>
              <w:rPr>
                <w:rFonts w:hint="eastAsia" w:ascii="宋体" w:hAnsi="宋体"/>
                <w:color w:val="auto"/>
                <w:sz w:val="22"/>
                <w:szCs w:val="22"/>
                <w:highlight w:val="none"/>
              </w:rPr>
              <w:t>结合机场特点，对于本项目的合理性、优化建议。</w:t>
            </w:r>
          </w:p>
        </w:tc>
        <w:tc>
          <w:tcPr>
            <w:tcW w:w="1701" w:type="dxa"/>
            <w:vAlign w:val="center"/>
          </w:tcPr>
          <w:p>
            <w:pPr>
              <w:snapToGrid w:val="0"/>
              <w:jc w:val="center"/>
              <w:rPr>
                <w:rFonts w:ascii="宋体" w:hAnsi="宋体"/>
                <w:color w:val="auto"/>
                <w:sz w:val="22"/>
                <w:szCs w:val="22"/>
                <w:highlight w:val="none"/>
              </w:rPr>
            </w:pP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分</w:t>
            </w:r>
          </w:p>
        </w:tc>
      </w:tr>
    </w:tbl>
    <w:p>
      <w:pPr>
        <w:pStyle w:val="31"/>
        <w:spacing w:line="360" w:lineRule="exact"/>
        <w:rPr>
          <w:rFonts w:hAnsi="宋体" w:cs="Calibri"/>
          <w:b/>
          <w:color w:val="auto"/>
          <w:sz w:val="22"/>
          <w:szCs w:val="22"/>
          <w:highlight w:val="none"/>
        </w:rPr>
      </w:pPr>
      <w:r>
        <w:rPr>
          <w:rFonts w:hAnsi="宋体" w:cs="Calibri"/>
          <w:b/>
          <w:color w:val="auto"/>
          <w:sz w:val="22"/>
          <w:szCs w:val="22"/>
          <w:highlight w:val="none"/>
        </w:rPr>
        <w:t>3.4推荐中标候选人</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3.3.1当有效投标文件大于等于二名时，评标委员会</w:t>
      </w:r>
      <w:r>
        <w:rPr>
          <w:rFonts w:hint="eastAsia" w:hAnsi="宋体" w:cs="Calibri"/>
          <w:color w:val="auto"/>
          <w:sz w:val="22"/>
          <w:szCs w:val="22"/>
          <w:highlight w:val="none"/>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3.3.</w:t>
      </w:r>
      <w:r>
        <w:rPr>
          <w:rFonts w:hint="eastAsia" w:hAnsi="宋体" w:cs="Calibri"/>
          <w:color w:val="auto"/>
          <w:sz w:val="22"/>
          <w:szCs w:val="22"/>
          <w:highlight w:val="none"/>
        </w:rPr>
        <w:t>2</w:t>
      </w:r>
      <w:r>
        <w:rPr>
          <w:rFonts w:hAnsi="宋体" w:cs="Calibri"/>
          <w:color w:val="auto"/>
          <w:sz w:val="22"/>
          <w:szCs w:val="22"/>
          <w:highlight w:val="none"/>
        </w:rPr>
        <w:t>当有效投标文件只有一名时，则由评标委员会确定是否推荐为中标候选人。</w:t>
      </w:r>
    </w:p>
    <w:p>
      <w:pPr>
        <w:pStyle w:val="31"/>
        <w:spacing w:line="360" w:lineRule="exact"/>
        <w:rPr>
          <w:rFonts w:hAnsi="宋体" w:cs="Calibri"/>
          <w:b/>
          <w:color w:val="auto"/>
          <w:sz w:val="22"/>
          <w:szCs w:val="22"/>
          <w:highlight w:val="none"/>
        </w:rPr>
      </w:pPr>
      <w:r>
        <w:rPr>
          <w:rFonts w:hAnsi="宋体" w:cs="Calibri"/>
          <w:b/>
          <w:color w:val="auto"/>
          <w:sz w:val="22"/>
          <w:szCs w:val="22"/>
          <w:highlight w:val="none"/>
        </w:rPr>
        <w:t>3.</w:t>
      </w:r>
      <w:r>
        <w:rPr>
          <w:rFonts w:hint="eastAsia" w:hAnsi="宋体" w:cs="Calibri"/>
          <w:b/>
          <w:color w:val="auto"/>
          <w:sz w:val="22"/>
          <w:szCs w:val="22"/>
          <w:highlight w:val="none"/>
        </w:rPr>
        <w:t>5</w:t>
      </w:r>
      <w:r>
        <w:rPr>
          <w:rFonts w:hAnsi="宋体" w:cs="Calibri"/>
          <w:b/>
          <w:color w:val="auto"/>
          <w:sz w:val="22"/>
          <w:szCs w:val="22"/>
          <w:highlight w:val="none"/>
        </w:rPr>
        <w:t>评标报告</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color w:val="auto"/>
          <w:sz w:val="22"/>
          <w:szCs w:val="22"/>
          <w:highlight w:val="none"/>
        </w:rPr>
      </w:pPr>
      <w:r>
        <w:rPr>
          <w:rFonts w:hAnsi="宋体" w:cs="Calibri"/>
          <w:b/>
          <w:color w:val="auto"/>
          <w:sz w:val="22"/>
          <w:szCs w:val="22"/>
          <w:highlight w:val="none"/>
        </w:rPr>
        <w:t>四、</w:t>
      </w:r>
      <w:r>
        <w:rPr>
          <w:rFonts w:hint="eastAsia" w:hAnsi="宋体" w:cs="Calibri"/>
          <w:b/>
          <w:color w:val="auto"/>
          <w:sz w:val="22"/>
          <w:szCs w:val="22"/>
          <w:highlight w:val="none"/>
        </w:rPr>
        <w:t>定</w:t>
      </w:r>
      <w:r>
        <w:rPr>
          <w:rFonts w:hAnsi="宋体" w:cs="Calibri"/>
          <w:b/>
          <w:color w:val="auto"/>
          <w:sz w:val="22"/>
          <w:szCs w:val="22"/>
          <w:highlight w:val="none"/>
        </w:rPr>
        <w:t>标</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4.</w:t>
      </w:r>
      <w:r>
        <w:rPr>
          <w:rFonts w:hint="eastAsia" w:hAnsi="宋体" w:cs="Calibri"/>
          <w:color w:val="auto"/>
          <w:sz w:val="22"/>
          <w:szCs w:val="22"/>
          <w:highlight w:val="none"/>
        </w:rPr>
        <w:t>1</w:t>
      </w:r>
      <w:r>
        <w:rPr>
          <w:rFonts w:hAnsi="宋体" w:cs="Calibri"/>
          <w:color w:val="auto"/>
          <w:sz w:val="22"/>
          <w:szCs w:val="22"/>
          <w:highlight w:val="none"/>
        </w:rPr>
        <w:t>招标人将确定评标委员会推荐的</w:t>
      </w:r>
      <w:r>
        <w:rPr>
          <w:rFonts w:hint="eastAsia" w:hAnsi="宋体" w:cs="Calibri"/>
          <w:color w:val="auto"/>
          <w:sz w:val="22"/>
          <w:szCs w:val="22"/>
          <w:highlight w:val="none"/>
        </w:rPr>
        <w:t>第一</w:t>
      </w:r>
      <w:r>
        <w:rPr>
          <w:rFonts w:hAnsi="宋体" w:cs="Calibri"/>
          <w:color w:val="auto"/>
          <w:sz w:val="22"/>
          <w:szCs w:val="22"/>
          <w:highlight w:val="none"/>
        </w:rPr>
        <w:t>中标候选人为中标人。</w:t>
      </w:r>
      <w:r>
        <w:rPr>
          <w:rFonts w:hint="eastAsia" w:hAnsi="宋体" w:cs="Calibri"/>
          <w:color w:val="auto"/>
          <w:sz w:val="22"/>
          <w:szCs w:val="22"/>
          <w:highlight w:val="none"/>
        </w:rPr>
        <w:t>第一</w:t>
      </w:r>
      <w:r>
        <w:rPr>
          <w:rFonts w:hAnsi="宋体" w:cs="Calibri"/>
          <w:color w:val="auto"/>
          <w:sz w:val="22"/>
          <w:szCs w:val="22"/>
          <w:highlight w:val="none"/>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color w:val="auto"/>
          <w:sz w:val="22"/>
          <w:szCs w:val="22"/>
          <w:highlight w:val="none"/>
        </w:rPr>
        <w:t>或</w:t>
      </w:r>
      <w:r>
        <w:rPr>
          <w:rFonts w:hAnsi="宋体" w:cs="Calibri"/>
          <w:color w:val="auto"/>
          <w:sz w:val="22"/>
          <w:szCs w:val="22"/>
          <w:highlight w:val="none"/>
        </w:rPr>
        <w:t>重新招标。</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4.2</w:t>
      </w:r>
      <w:r>
        <w:rPr>
          <w:rFonts w:hAnsi="宋体" w:cs="Calibri"/>
          <w:color w:val="auto"/>
          <w:sz w:val="22"/>
          <w:szCs w:val="22"/>
          <w:highlight w:val="none"/>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color w:val="auto"/>
          <w:sz w:val="22"/>
          <w:szCs w:val="22"/>
          <w:highlight w:val="none"/>
        </w:rPr>
      </w:pPr>
      <w:r>
        <w:rPr>
          <w:rFonts w:hAnsi="宋体" w:cs="Calibri"/>
          <w:color w:val="auto"/>
          <w:sz w:val="22"/>
          <w:szCs w:val="22"/>
          <w:highlight w:val="none"/>
        </w:rPr>
        <w:t>4.</w:t>
      </w:r>
      <w:r>
        <w:rPr>
          <w:rFonts w:hint="eastAsia" w:hAnsi="宋体" w:cs="Calibri"/>
          <w:color w:val="auto"/>
          <w:sz w:val="22"/>
          <w:szCs w:val="22"/>
          <w:highlight w:val="none"/>
        </w:rPr>
        <w:t>3</w:t>
      </w:r>
      <w:r>
        <w:rPr>
          <w:rFonts w:hAnsi="宋体" w:cs="Calibri"/>
          <w:color w:val="auto"/>
          <w:sz w:val="22"/>
          <w:szCs w:val="22"/>
          <w:highlight w:val="none"/>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color w:val="auto"/>
          <w:sz w:val="22"/>
          <w:szCs w:val="22"/>
          <w:highlight w:val="none"/>
        </w:rPr>
        <w:t>或</w:t>
      </w:r>
      <w:r>
        <w:rPr>
          <w:rFonts w:hAnsi="宋体" w:cs="Calibri"/>
          <w:color w:val="auto"/>
          <w:sz w:val="22"/>
          <w:szCs w:val="22"/>
          <w:highlight w:val="none"/>
        </w:rPr>
        <w:t>重新招标。</w:t>
      </w:r>
    </w:p>
    <w:p>
      <w:pPr>
        <w:pStyle w:val="31"/>
        <w:adjustRightInd w:val="0"/>
        <w:snapToGrid w:val="0"/>
        <w:spacing w:line="360" w:lineRule="exact"/>
        <w:ind w:firstLine="440" w:firstLineChars="200"/>
        <w:rPr>
          <w:rFonts w:hAnsi="宋体" w:cs="Calibri"/>
          <w:color w:val="auto"/>
          <w:sz w:val="22"/>
          <w:szCs w:val="22"/>
          <w:highlight w:val="none"/>
        </w:rPr>
      </w:pPr>
      <w:r>
        <w:rPr>
          <w:rFonts w:hint="eastAsia" w:hAnsi="宋体" w:cs="Calibri"/>
          <w:color w:val="auto"/>
          <w:sz w:val="22"/>
          <w:szCs w:val="22"/>
          <w:highlight w:val="none"/>
        </w:rPr>
        <w:t>4.4 招标人对评标、定标结果不负责解释。</w:t>
      </w:r>
    </w:p>
    <w:p>
      <w:pPr>
        <w:widowControl/>
        <w:jc w:val="left"/>
        <w:rPr>
          <w:rFonts w:ascii="Cambria" w:hAnsi="Cambria" w:eastAsia="黑体" w:cs="Times New Roman"/>
          <w:b/>
          <w:bCs/>
          <w:color w:val="auto"/>
          <w:kern w:val="0"/>
          <w:sz w:val="32"/>
          <w:szCs w:val="32"/>
          <w:highlight w:val="none"/>
        </w:rPr>
      </w:pPr>
      <w:r>
        <w:rPr>
          <w:color w:val="auto"/>
          <w:highlight w:val="none"/>
        </w:rPr>
        <w:br w:type="page"/>
      </w:r>
    </w:p>
    <w:p>
      <w:pPr>
        <w:pStyle w:val="51"/>
        <w:rPr>
          <w:color w:val="auto"/>
          <w:highlight w:val="none"/>
        </w:rPr>
      </w:pPr>
      <w:bookmarkStart w:id="104" w:name="_Toc450630565"/>
      <w:r>
        <w:rPr>
          <w:color w:val="auto"/>
          <w:highlight w:val="none"/>
        </w:rPr>
        <w:t>第</w:t>
      </w:r>
      <w:r>
        <w:rPr>
          <w:rFonts w:hint="eastAsia"/>
          <w:color w:val="auto"/>
          <w:highlight w:val="none"/>
        </w:rPr>
        <w:t>七</w:t>
      </w:r>
      <w:r>
        <w:rPr>
          <w:color w:val="auto"/>
          <w:highlight w:val="none"/>
        </w:rPr>
        <w:t>章  投标文件格式</w:t>
      </w:r>
      <w:bookmarkEnd w:id="103"/>
      <w:bookmarkEnd w:id="104"/>
    </w:p>
    <w:p>
      <w:pPr>
        <w:spacing w:line="440" w:lineRule="exact"/>
        <w:jc w:val="center"/>
        <w:rPr>
          <w:rFonts w:cs="Calibri"/>
          <w:b/>
          <w:color w:val="auto"/>
          <w:sz w:val="28"/>
          <w:szCs w:val="28"/>
          <w:highlight w:val="none"/>
        </w:rPr>
      </w:pPr>
      <w:r>
        <w:rPr>
          <w:rFonts w:cs="Calibri"/>
          <w:b/>
          <w:color w:val="auto"/>
          <w:sz w:val="28"/>
          <w:szCs w:val="28"/>
          <w:highlight w:val="none"/>
        </w:rPr>
        <w:t>目   录</w:t>
      </w:r>
    </w:p>
    <w:p>
      <w:pPr>
        <w:spacing w:line="440" w:lineRule="exact"/>
        <w:ind w:firstLine="440" w:firstLineChars="200"/>
        <w:rPr>
          <w:rFonts w:ascii="宋体" w:hAnsi="宋体" w:cs="Calibri"/>
          <w:color w:val="auto"/>
          <w:sz w:val="22"/>
          <w:szCs w:val="22"/>
          <w:highlight w:val="none"/>
        </w:rPr>
      </w:pPr>
      <w:r>
        <w:rPr>
          <w:rFonts w:ascii="宋体" w:hAnsi="宋体" w:cs="Calibri"/>
          <w:color w:val="auto"/>
          <w:sz w:val="22"/>
          <w:szCs w:val="22"/>
          <w:highlight w:val="none"/>
        </w:rPr>
        <w:t>封面</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一、</w:t>
      </w:r>
      <w:r>
        <w:rPr>
          <w:rFonts w:ascii="宋体" w:hAnsi="宋体" w:cs="Calibri"/>
          <w:color w:val="auto"/>
          <w:sz w:val="22"/>
          <w:szCs w:val="22"/>
          <w:highlight w:val="none"/>
        </w:rPr>
        <w:t>投标函</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二、</w:t>
      </w:r>
      <w:r>
        <w:rPr>
          <w:rFonts w:ascii="宋体" w:hAnsi="宋体" w:cs="Calibri"/>
          <w:color w:val="auto"/>
          <w:sz w:val="22"/>
          <w:szCs w:val="22"/>
          <w:highlight w:val="none"/>
        </w:rPr>
        <w:t>法定代表人资格证明书</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三、</w:t>
      </w:r>
      <w:r>
        <w:rPr>
          <w:rFonts w:ascii="宋体" w:hAnsi="宋体" w:cs="Calibri"/>
          <w:color w:val="auto"/>
          <w:sz w:val="22"/>
          <w:szCs w:val="22"/>
          <w:highlight w:val="none"/>
        </w:rPr>
        <w:t>授权委托书</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四、已标价工程量清单</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五、施工组织设计</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六、项目管理机构</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七、资格审查资料</w:t>
      </w:r>
    </w:p>
    <w:p>
      <w:pPr>
        <w:adjustRightInd w:val="0"/>
        <w:snapToGrid w:val="0"/>
        <w:spacing w:line="400" w:lineRule="exact"/>
        <w:ind w:firstLine="440" w:firstLineChars="200"/>
        <w:rPr>
          <w:rFonts w:ascii="宋体" w:hAnsi="宋体" w:cs="Calibri"/>
          <w:color w:val="auto"/>
          <w:sz w:val="22"/>
          <w:szCs w:val="22"/>
          <w:highlight w:val="none"/>
        </w:rPr>
      </w:pPr>
      <w:r>
        <w:rPr>
          <w:rFonts w:hint="eastAsia" w:ascii="宋体" w:hAnsi="宋体" w:cs="Calibri"/>
          <w:color w:val="auto"/>
          <w:sz w:val="22"/>
          <w:szCs w:val="22"/>
          <w:highlight w:val="none"/>
        </w:rPr>
        <w:t>八、投标人认为</w:t>
      </w:r>
      <w:r>
        <w:rPr>
          <w:rFonts w:ascii="宋体" w:hAnsi="宋体" w:cs="Calibri"/>
          <w:color w:val="auto"/>
          <w:sz w:val="22"/>
          <w:szCs w:val="22"/>
          <w:highlight w:val="none"/>
        </w:rPr>
        <w:t>应该提供的其他材料</w:t>
      </w:r>
    </w:p>
    <w:p>
      <w:pPr>
        <w:adjustRightInd w:val="0"/>
        <w:snapToGrid w:val="0"/>
        <w:spacing w:line="400" w:lineRule="exact"/>
        <w:ind w:firstLine="440" w:firstLineChars="200"/>
        <w:rPr>
          <w:rFonts w:ascii="宋体" w:hAnsi="宋体" w:cs="Calibri"/>
          <w:color w:val="auto"/>
          <w:sz w:val="22"/>
          <w:szCs w:val="22"/>
          <w:highlight w:val="none"/>
        </w:rPr>
      </w:pPr>
    </w:p>
    <w:p>
      <w:pPr>
        <w:rPr>
          <w:rFonts w:ascii="宋体" w:hAnsi="宋体" w:cs="Calibri"/>
          <w:color w:val="auto"/>
          <w:sz w:val="22"/>
          <w:szCs w:val="22"/>
          <w:highlight w:val="none"/>
        </w:rPr>
      </w:pPr>
    </w:p>
    <w:p>
      <w:pPr>
        <w:spacing w:line="440" w:lineRule="exact"/>
        <w:rPr>
          <w:rFonts w:ascii="宋体" w:hAnsi="宋体" w:cs="Calibri"/>
          <w:color w:val="auto"/>
          <w:sz w:val="22"/>
          <w:szCs w:val="22"/>
          <w:highlight w:val="none"/>
        </w:rPr>
      </w:pPr>
    </w:p>
    <w:p>
      <w:pPr>
        <w:widowControl/>
        <w:jc w:val="left"/>
        <w:rPr>
          <w:rFonts w:ascii="宋体" w:hAnsi="宋体" w:cs="Calibri"/>
          <w:color w:val="auto"/>
          <w:sz w:val="22"/>
          <w:szCs w:val="22"/>
          <w:highlight w:val="none"/>
        </w:rPr>
      </w:pPr>
      <w:r>
        <w:rPr>
          <w:rFonts w:hint="eastAsia" w:ascii="宋体" w:hAnsi="宋体" w:cs="Calibri"/>
          <w:color w:val="auto"/>
          <w:sz w:val="22"/>
          <w:szCs w:val="22"/>
          <w:highlight w:val="none"/>
        </w:rPr>
        <w:t>注：未提供格式的由投标人自行拟定格式。</w:t>
      </w:r>
    </w:p>
    <w:p>
      <w:pPr>
        <w:widowControl/>
        <w:jc w:val="left"/>
        <w:rPr>
          <w:rFonts w:ascii="宋体" w:hAnsi="宋体" w:cs="Calibri"/>
          <w:color w:val="auto"/>
          <w:highlight w:val="none"/>
        </w:rPr>
      </w:pPr>
      <w:r>
        <w:rPr>
          <w:rFonts w:ascii="宋体" w:hAnsi="宋体" w:cs="Calibri"/>
          <w:color w:val="auto"/>
          <w:highlight w:val="none"/>
        </w:rPr>
        <w:br w:type="page"/>
      </w:r>
    </w:p>
    <w:p>
      <w:pPr>
        <w:spacing w:line="440" w:lineRule="exact"/>
        <w:ind w:right="420"/>
        <w:jc w:val="right"/>
        <w:rPr>
          <w:rFonts w:cs="Calibri"/>
          <w:color w:val="auto"/>
          <w:highlight w:val="none"/>
        </w:rPr>
      </w:pPr>
      <w:r>
        <w:rPr>
          <w:rFonts w:cs="Calibri"/>
          <w:color w:val="auto"/>
          <w:highlight w:val="none"/>
        </w:rPr>
        <w:t>正本（或副本）</w:t>
      </w:r>
    </w:p>
    <w:p>
      <w:pPr>
        <w:spacing w:line="440" w:lineRule="exact"/>
        <w:rPr>
          <w:rFonts w:cs="Calibri"/>
          <w:color w:val="auto"/>
          <w:highlight w:val="none"/>
          <w:u w:val="single"/>
        </w:rPr>
      </w:pPr>
      <w:bookmarkStart w:id="105" w:name="_Toc171421958"/>
      <w:r>
        <w:rPr>
          <w:rFonts w:cs="Calibri"/>
          <w:color w:val="auto"/>
          <w:highlight w:val="none"/>
        </w:rPr>
        <w:t>封面</w:t>
      </w:r>
      <w:bookmarkEnd w:id="105"/>
    </w:p>
    <w:p>
      <w:pPr>
        <w:autoSpaceDE w:val="0"/>
        <w:autoSpaceDN w:val="0"/>
        <w:adjustRightInd w:val="0"/>
        <w:jc w:val="center"/>
        <w:rPr>
          <w:rFonts w:cs="Calibri"/>
          <w:b/>
          <w:color w:val="auto"/>
          <w:spacing w:val="20"/>
          <w:kern w:val="0"/>
          <w:sz w:val="48"/>
          <w:szCs w:val="48"/>
          <w:highlight w:val="none"/>
        </w:rPr>
      </w:pPr>
    </w:p>
    <w:p>
      <w:pPr>
        <w:autoSpaceDE w:val="0"/>
        <w:autoSpaceDN w:val="0"/>
        <w:adjustRightInd w:val="0"/>
        <w:jc w:val="center"/>
        <w:rPr>
          <w:rFonts w:eastAsia="黑体" w:cs="Calibri"/>
          <w:b/>
          <w:color w:val="auto"/>
          <w:sz w:val="44"/>
          <w:szCs w:val="44"/>
          <w:highlight w:val="none"/>
        </w:rPr>
      </w:pPr>
      <w:r>
        <w:rPr>
          <w:rFonts w:hint="eastAsia" w:eastAsia="黑体" w:cs="Calibri"/>
          <w:b/>
          <w:color w:val="auto"/>
          <w:sz w:val="44"/>
          <w:szCs w:val="44"/>
          <w:highlight w:val="none"/>
        </w:rPr>
        <w:t>杭州萧山国际机场</w:t>
      </w:r>
      <w:r>
        <w:rPr>
          <w:rFonts w:hint="eastAsia" w:eastAsia="黑体" w:cs="Calibri"/>
          <w:b/>
          <w:color w:val="auto"/>
          <w:sz w:val="44"/>
          <w:szCs w:val="44"/>
          <w:highlight w:val="none"/>
          <w:u w:val="single"/>
        </w:rPr>
        <w:t xml:space="preserve">         </w:t>
      </w:r>
      <w:r>
        <w:rPr>
          <w:rFonts w:hint="eastAsia" w:eastAsia="黑体" w:cs="Calibri"/>
          <w:b/>
          <w:color w:val="auto"/>
          <w:sz w:val="44"/>
          <w:szCs w:val="44"/>
          <w:highlight w:val="none"/>
        </w:rPr>
        <w:t>工程</w:t>
      </w:r>
    </w:p>
    <w:p>
      <w:pPr>
        <w:spacing w:line="440" w:lineRule="exact"/>
        <w:rPr>
          <w:rFonts w:cs="Calibri"/>
          <w:color w:val="auto"/>
          <w:sz w:val="36"/>
          <w:szCs w:val="36"/>
          <w:highlight w:val="none"/>
        </w:rPr>
      </w:pPr>
    </w:p>
    <w:p>
      <w:pPr>
        <w:spacing w:line="440" w:lineRule="exact"/>
        <w:ind w:firstLine="480" w:firstLineChars="200"/>
        <w:jc w:val="center"/>
        <w:rPr>
          <w:rFonts w:cs="Calibri"/>
          <w:color w:val="auto"/>
          <w:highlight w:val="none"/>
        </w:rPr>
      </w:pPr>
    </w:p>
    <w:p>
      <w:pPr>
        <w:spacing w:line="440" w:lineRule="exact"/>
        <w:rPr>
          <w:rFonts w:cs="Calibri"/>
          <w:color w:val="auto"/>
          <w:sz w:val="44"/>
          <w:szCs w:val="44"/>
          <w:highlight w:val="none"/>
        </w:rPr>
      </w:pPr>
    </w:p>
    <w:p>
      <w:pPr>
        <w:spacing w:before="480" w:beforeLines="200" w:after="480" w:afterLines="200" w:line="440" w:lineRule="exact"/>
        <w:jc w:val="center"/>
        <w:rPr>
          <w:rFonts w:cs="Calibri"/>
          <w:b/>
          <w:bCs/>
          <w:color w:val="auto"/>
          <w:sz w:val="84"/>
          <w:szCs w:val="84"/>
          <w:highlight w:val="none"/>
        </w:rPr>
      </w:pPr>
      <w:r>
        <w:rPr>
          <w:rFonts w:cs="Calibri"/>
          <w:b/>
          <w:bCs/>
          <w:color w:val="auto"/>
          <w:sz w:val="84"/>
          <w:szCs w:val="84"/>
          <w:highlight w:val="none"/>
        </w:rPr>
        <w:t>投标文件</w:t>
      </w:r>
    </w:p>
    <w:p>
      <w:pPr>
        <w:spacing w:line="440" w:lineRule="exact"/>
        <w:ind w:firstLine="480" w:firstLineChars="200"/>
        <w:jc w:val="center"/>
        <w:rPr>
          <w:rFonts w:cs="Calibri"/>
          <w:color w:val="auto"/>
          <w:highlight w:val="none"/>
        </w:rPr>
      </w:pPr>
    </w:p>
    <w:p>
      <w:pPr>
        <w:spacing w:line="440" w:lineRule="exact"/>
        <w:ind w:firstLine="480" w:firstLineChars="200"/>
        <w:rPr>
          <w:rFonts w:cs="Calibri"/>
          <w:color w:val="auto"/>
          <w:highlight w:val="none"/>
        </w:rPr>
      </w:pPr>
      <w:r>
        <w:rPr>
          <w:rFonts w:cs="Calibri"/>
          <w:color w:val="auto"/>
          <w:highlight w:val="none"/>
        </w:rPr>
        <w:t xml:space="preserve">                  </w:t>
      </w: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440" w:lineRule="exact"/>
        <w:ind w:firstLine="480" w:firstLineChars="200"/>
        <w:jc w:val="center"/>
        <w:rPr>
          <w:rFonts w:cs="Calibri"/>
          <w:color w:val="auto"/>
          <w:highlight w:val="none"/>
        </w:rPr>
      </w:pPr>
    </w:p>
    <w:p>
      <w:pPr>
        <w:spacing w:line="360" w:lineRule="auto"/>
        <w:ind w:firstLine="1400" w:firstLineChars="500"/>
        <w:rPr>
          <w:rFonts w:cs="Calibri"/>
          <w:color w:val="auto"/>
          <w:sz w:val="28"/>
          <w:szCs w:val="28"/>
          <w:highlight w:val="none"/>
          <w:u w:val="single"/>
        </w:rPr>
      </w:pPr>
      <w:r>
        <w:rPr>
          <w:rFonts w:cs="Calibri"/>
          <w:color w:val="auto"/>
          <w:sz w:val="28"/>
          <w:szCs w:val="28"/>
          <w:highlight w:val="none"/>
        </w:rPr>
        <w:t>投标人：</w:t>
      </w:r>
      <w:r>
        <w:rPr>
          <w:rFonts w:cs="Calibri"/>
          <w:color w:val="auto"/>
          <w:sz w:val="28"/>
          <w:szCs w:val="28"/>
          <w:highlight w:val="none"/>
          <w:u w:val="single"/>
        </w:rPr>
        <w:t xml:space="preserve">                （盖单位章）           </w:t>
      </w:r>
    </w:p>
    <w:p>
      <w:pPr>
        <w:spacing w:line="360" w:lineRule="auto"/>
        <w:ind w:firstLine="1400" w:firstLineChars="500"/>
        <w:rPr>
          <w:rFonts w:cs="Calibri"/>
          <w:color w:val="auto"/>
          <w:sz w:val="28"/>
          <w:szCs w:val="28"/>
          <w:highlight w:val="none"/>
        </w:rPr>
      </w:pPr>
      <w:r>
        <w:rPr>
          <w:rFonts w:cs="Calibri"/>
          <w:color w:val="auto"/>
          <w:sz w:val="28"/>
          <w:szCs w:val="28"/>
          <w:highlight w:val="none"/>
        </w:rPr>
        <w:t>法定代表人或其委托代理人：</w:t>
      </w:r>
      <w:r>
        <w:rPr>
          <w:rFonts w:cs="Calibri"/>
          <w:color w:val="auto"/>
          <w:sz w:val="28"/>
          <w:szCs w:val="28"/>
          <w:highlight w:val="none"/>
          <w:u w:val="single"/>
        </w:rPr>
        <w:t xml:space="preserve">   （签字或盖章）   </w:t>
      </w:r>
    </w:p>
    <w:p>
      <w:pPr>
        <w:spacing w:line="360" w:lineRule="auto"/>
        <w:ind w:firstLine="1400" w:firstLineChars="500"/>
        <w:rPr>
          <w:rFonts w:cs="Calibri"/>
          <w:color w:val="auto"/>
          <w:sz w:val="28"/>
          <w:szCs w:val="28"/>
          <w:highlight w:val="none"/>
        </w:rPr>
      </w:pPr>
      <w:r>
        <w:rPr>
          <w:rFonts w:cs="Calibri"/>
          <w:color w:val="auto"/>
          <w:sz w:val="28"/>
          <w:szCs w:val="28"/>
          <w:highlight w:val="none"/>
        </w:rPr>
        <w:t>日  期：</w:t>
      </w:r>
      <w:r>
        <w:rPr>
          <w:rFonts w:cs="Calibri"/>
          <w:color w:val="auto"/>
          <w:sz w:val="28"/>
          <w:szCs w:val="28"/>
          <w:highlight w:val="none"/>
          <w:u w:val="single"/>
        </w:rPr>
        <w:t xml:space="preserve">        </w:t>
      </w:r>
      <w:r>
        <w:rPr>
          <w:rFonts w:cs="Calibri"/>
          <w:color w:val="auto"/>
          <w:sz w:val="28"/>
          <w:szCs w:val="28"/>
          <w:highlight w:val="none"/>
        </w:rPr>
        <w:t>年</w:t>
      </w:r>
      <w:r>
        <w:rPr>
          <w:rFonts w:cs="Calibri"/>
          <w:color w:val="auto"/>
          <w:sz w:val="28"/>
          <w:szCs w:val="28"/>
          <w:highlight w:val="none"/>
          <w:u w:val="single"/>
        </w:rPr>
        <w:t xml:space="preserve">         </w:t>
      </w:r>
      <w:r>
        <w:rPr>
          <w:rFonts w:cs="Calibri"/>
          <w:color w:val="auto"/>
          <w:sz w:val="28"/>
          <w:szCs w:val="28"/>
          <w:highlight w:val="none"/>
        </w:rPr>
        <w:t>月</w:t>
      </w:r>
      <w:r>
        <w:rPr>
          <w:rFonts w:cs="Calibri"/>
          <w:color w:val="auto"/>
          <w:sz w:val="28"/>
          <w:szCs w:val="28"/>
          <w:highlight w:val="none"/>
          <w:u w:val="single"/>
        </w:rPr>
        <w:t xml:space="preserve">        </w:t>
      </w:r>
      <w:r>
        <w:rPr>
          <w:rFonts w:cs="Calibri"/>
          <w:color w:val="auto"/>
          <w:sz w:val="28"/>
          <w:szCs w:val="28"/>
          <w:highlight w:val="none"/>
        </w:rPr>
        <w:t>日</w:t>
      </w:r>
    </w:p>
    <w:p>
      <w:pPr>
        <w:widowControl/>
        <w:jc w:val="left"/>
        <w:rPr>
          <w:rFonts w:ascii="宋体" w:hAnsi="宋体" w:cs="宋体"/>
          <w:b/>
          <w:color w:val="auto"/>
          <w:szCs w:val="21"/>
          <w:highlight w:val="none"/>
        </w:rPr>
      </w:pPr>
    </w:p>
    <w:p>
      <w:pPr>
        <w:widowControl/>
        <w:jc w:val="left"/>
        <w:rPr>
          <w:rFonts w:ascii="宋体" w:hAnsi="宋体" w:cs="宋体"/>
          <w:b/>
          <w:color w:val="auto"/>
          <w:szCs w:val="21"/>
          <w:highlight w:val="none"/>
        </w:rPr>
      </w:pPr>
      <w:r>
        <w:rPr>
          <w:rFonts w:ascii="宋体" w:hAnsi="宋体" w:cs="宋体"/>
          <w:b/>
          <w:color w:val="auto"/>
          <w:szCs w:val="21"/>
          <w:highlight w:val="none"/>
        </w:rPr>
        <w:br w:type="page"/>
      </w:r>
    </w:p>
    <w:p>
      <w:pPr>
        <w:spacing w:line="360" w:lineRule="auto"/>
        <w:jc w:val="left"/>
        <w:rPr>
          <w:rFonts w:ascii="宋体" w:hAnsi="宋体" w:cs="宋体"/>
          <w:b/>
          <w:color w:val="auto"/>
          <w:szCs w:val="21"/>
          <w:highlight w:val="non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一、投标函</w:t>
      </w:r>
    </w:p>
    <w:p>
      <w:pPr>
        <w:spacing w:line="440" w:lineRule="exact"/>
        <w:rPr>
          <w:rFonts w:ascii="宋体" w:hAnsi="宋体"/>
          <w:color w:val="auto"/>
          <w:sz w:val="22"/>
          <w:szCs w:val="22"/>
          <w:highlight w:val="none"/>
        </w:rPr>
      </w:pPr>
      <w:r>
        <w:rPr>
          <w:rFonts w:ascii="宋体" w:hAnsi="宋体"/>
          <w:color w:val="auto"/>
          <w:sz w:val="22"/>
          <w:szCs w:val="22"/>
          <w:highlight w:val="none"/>
        </w:rPr>
        <w:t>致：</w:t>
      </w:r>
      <w:r>
        <w:rPr>
          <w:rFonts w:hint="eastAsia" w:ascii="宋体" w:hAnsi="宋体"/>
          <w:color w:val="auto"/>
          <w:sz w:val="22"/>
          <w:szCs w:val="22"/>
          <w:highlight w:val="none"/>
        </w:rPr>
        <w:t>杭州萧山国际机场</w:t>
      </w:r>
      <w:r>
        <w:rPr>
          <w:rFonts w:ascii="宋体" w:hAnsi="宋体"/>
          <w:color w:val="auto"/>
          <w:sz w:val="22"/>
          <w:szCs w:val="22"/>
          <w:highlight w:val="none"/>
        </w:rPr>
        <w:t>有限公司</w:t>
      </w:r>
    </w:p>
    <w:p>
      <w:pPr>
        <w:spacing w:line="440" w:lineRule="exact"/>
        <w:ind w:firstLine="376" w:firstLineChars="171"/>
        <w:rPr>
          <w:rFonts w:ascii="宋体" w:hAnsi="宋体"/>
          <w:color w:val="auto"/>
          <w:sz w:val="22"/>
          <w:szCs w:val="22"/>
          <w:highlight w:val="none"/>
        </w:rPr>
      </w:pPr>
      <w:r>
        <w:rPr>
          <w:rFonts w:ascii="宋体" w:hAnsi="宋体"/>
          <w:color w:val="auto"/>
          <w:sz w:val="22"/>
          <w:szCs w:val="22"/>
          <w:highlight w:val="none"/>
        </w:rPr>
        <w:t>1．我方已仔细研究了</w:t>
      </w:r>
      <w:r>
        <w:rPr>
          <w:rFonts w:ascii="宋体" w:hAnsi="宋体"/>
          <w:color w:val="auto"/>
          <w:sz w:val="22"/>
          <w:szCs w:val="22"/>
          <w:highlight w:val="none"/>
          <w:u w:val="single"/>
        </w:rPr>
        <w:t xml:space="preserve">          </w:t>
      </w:r>
      <w:r>
        <w:rPr>
          <w:rFonts w:ascii="宋体" w:hAnsi="宋体"/>
          <w:color w:val="auto"/>
          <w:sz w:val="22"/>
          <w:szCs w:val="22"/>
          <w:highlight w:val="none"/>
        </w:rPr>
        <w:t>（项目名称）施工招标文件的全部内容，愿意以人民币（大写）</w:t>
      </w:r>
      <w:r>
        <w:rPr>
          <w:rFonts w:ascii="宋体" w:hAnsi="宋体"/>
          <w:color w:val="auto"/>
          <w:sz w:val="22"/>
          <w:szCs w:val="22"/>
          <w:highlight w:val="none"/>
          <w:u w:val="single"/>
        </w:rPr>
        <w:t xml:space="preserve">         </w:t>
      </w:r>
      <w:r>
        <w:rPr>
          <w:rFonts w:ascii="宋体" w:hAnsi="宋体"/>
          <w:color w:val="auto"/>
          <w:sz w:val="22"/>
          <w:szCs w:val="22"/>
          <w:highlight w:val="none"/>
        </w:rPr>
        <w:t>元（¥</w:t>
      </w:r>
      <w:r>
        <w:rPr>
          <w:rFonts w:ascii="宋体" w:hAnsi="宋体"/>
          <w:color w:val="auto"/>
          <w:sz w:val="22"/>
          <w:szCs w:val="22"/>
          <w:highlight w:val="none"/>
          <w:u w:val="single"/>
        </w:rPr>
        <w:t xml:space="preserve">           </w:t>
      </w:r>
      <w:r>
        <w:rPr>
          <w:rFonts w:ascii="宋体" w:hAnsi="宋体"/>
          <w:color w:val="auto"/>
          <w:sz w:val="22"/>
          <w:szCs w:val="22"/>
          <w:highlight w:val="none"/>
        </w:rPr>
        <w:t>）的投标总报价，</w:t>
      </w:r>
      <w:r>
        <w:rPr>
          <w:rFonts w:hint="eastAsia" w:ascii="宋体" w:hAnsi="宋体"/>
          <w:color w:val="auto"/>
          <w:sz w:val="22"/>
          <w:szCs w:val="22"/>
          <w:highlight w:val="none"/>
        </w:rPr>
        <w:t>工期</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日历天，</w:t>
      </w:r>
      <w:r>
        <w:rPr>
          <w:rFonts w:ascii="宋体" w:hAnsi="宋体"/>
          <w:color w:val="auto"/>
          <w:sz w:val="22"/>
          <w:szCs w:val="22"/>
          <w:highlight w:val="none"/>
        </w:rPr>
        <w:t>按合同约定实施和完成承包工程，修补工程中的任何缺陷，工程质量达到</w:t>
      </w:r>
      <w:r>
        <w:rPr>
          <w:rFonts w:hint="eastAsia" w:ascii="宋体" w:hAnsi="宋体"/>
          <w:color w:val="auto"/>
          <w:sz w:val="22"/>
          <w:szCs w:val="22"/>
          <w:highlight w:val="none"/>
        </w:rPr>
        <w:t>一次验收合格</w:t>
      </w:r>
      <w:r>
        <w:rPr>
          <w:rFonts w:ascii="宋体" w:hAnsi="宋体"/>
          <w:color w:val="auto"/>
          <w:sz w:val="22"/>
          <w:szCs w:val="22"/>
          <w:highlight w:val="none"/>
        </w:rPr>
        <w:t xml:space="preserve"> 。</w:t>
      </w:r>
    </w:p>
    <w:p>
      <w:pPr>
        <w:spacing w:line="440" w:lineRule="exact"/>
        <w:ind w:firstLine="440" w:firstLineChars="200"/>
        <w:rPr>
          <w:rFonts w:ascii="宋体" w:hAnsi="宋体"/>
          <w:color w:val="auto"/>
          <w:sz w:val="22"/>
          <w:szCs w:val="22"/>
          <w:highlight w:val="none"/>
        </w:rPr>
      </w:pPr>
      <w:r>
        <w:rPr>
          <w:rFonts w:ascii="宋体" w:hAnsi="宋体"/>
          <w:color w:val="auto"/>
          <w:sz w:val="22"/>
          <w:szCs w:val="22"/>
          <w:highlight w:val="none"/>
        </w:rPr>
        <w:t>2．我方承诺在投标有效期内不修改、撤销投标文件。</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3</w:t>
      </w:r>
      <w:r>
        <w:rPr>
          <w:rFonts w:ascii="宋体" w:hAnsi="宋体"/>
          <w:color w:val="auto"/>
          <w:sz w:val="22"/>
          <w:szCs w:val="22"/>
          <w:highlight w:val="none"/>
        </w:rPr>
        <w:t>．如我方中标：</w:t>
      </w:r>
    </w:p>
    <w:p>
      <w:pPr>
        <w:spacing w:line="440" w:lineRule="exact"/>
        <w:ind w:firstLine="752" w:firstLineChars="342"/>
        <w:rPr>
          <w:rFonts w:ascii="宋体" w:hAnsi="宋体"/>
          <w:color w:val="auto"/>
          <w:sz w:val="22"/>
          <w:szCs w:val="22"/>
          <w:highlight w:val="none"/>
        </w:rPr>
      </w:pPr>
      <w:r>
        <w:rPr>
          <w:rFonts w:ascii="宋体" w:hAnsi="宋体"/>
          <w:color w:val="auto"/>
          <w:sz w:val="22"/>
          <w:szCs w:val="22"/>
          <w:highlight w:val="none"/>
        </w:rPr>
        <w:t>（1）我方承诺在收到中标通知书后，在中标通知书规定的期限内与你方签订合同。</w:t>
      </w:r>
    </w:p>
    <w:p>
      <w:pPr>
        <w:spacing w:line="440" w:lineRule="exact"/>
        <w:ind w:firstLine="752" w:firstLineChars="342"/>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2</w:t>
      </w:r>
      <w:r>
        <w:rPr>
          <w:rFonts w:ascii="宋体" w:hAnsi="宋体"/>
          <w:color w:val="auto"/>
          <w:sz w:val="22"/>
          <w:szCs w:val="22"/>
          <w:highlight w:val="none"/>
        </w:rPr>
        <w:t>）我方承诺按照招标文件</w:t>
      </w:r>
      <w:r>
        <w:rPr>
          <w:rFonts w:hint="eastAsia" w:ascii="宋体" w:hAnsi="宋体"/>
          <w:color w:val="auto"/>
          <w:sz w:val="22"/>
          <w:szCs w:val="22"/>
          <w:highlight w:val="none"/>
        </w:rPr>
        <w:t>及合同</w:t>
      </w:r>
      <w:r>
        <w:rPr>
          <w:rFonts w:ascii="宋体" w:hAnsi="宋体"/>
          <w:color w:val="auto"/>
          <w:sz w:val="22"/>
          <w:szCs w:val="22"/>
          <w:highlight w:val="none"/>
        </w:rPr>
        <w:t>规定向你方递交履约</w:t>
      </w:r>
      <w:r>
        <w:rPr>
          <w:rFonts w:hint="eastAsia" w:ascii="宋体" w:hAnsi="宋体"/>
          <w:color w:val="auto"/>
          <w:sz w:val="22"/>
          <w:szCs w:val="22"/>
          <w:highlight w:val="none"/>
        </w:rPr>
        <w:t>保证金</w:t>
      </w:r>
      <w:r>
        <w:rPr>
          <w:rFonts w:ascii="宋体" w:hAnsi="宋体"/>
          <w:color w:val="auto"/>
          <w:sz w:val="22"/>
          <w:szCs w:val="22"/>
          <w:highlight w:val="none"/>
        </w:rPr>
        <w:t>。</w:t>
      </w:r>
    </w:p>
    <w:p>
      <w:pPr>
        <w:spacing w:line="440" w:lineRule="exact"/>
        <w:ind w:firstLine="752" w:firstLineChars="342"/>
        <w:rPr>
          <w:rFonts w:ascii="宋体" w:hAnsi="宋体"/>
          <w:color w:val="auto"/>
          <w:sz w:val="22"/>
          <w:szCs w:val="22"/>
          <w:highlight w:val="none"/>
        </w:rPr>
      </w:pPr>
      <w:r>
        <w:rPr>
          <w:rFonts w:ascii="宋体" w:hAnsi="宋体"/>
          <w:color w:val="auto"/>
          <w:sz w:val="22"/>
          <w:szCs w:val="22"/>
          <w:highlight w:val="none"/>
        </w:rPr>
        <w:t>（</w:t>
      </w:r>
      <w:r>
        <w:rPr>
          <w:rFonts w:hint="eastAsia" w:ascii="宋体" w:hAnsi="宋体"/>
          <w:color w:val="auto"/>
          <w:sz w:val="22"/>
          <w:szCs w:val="22"/>
          <w:highlight w:val="none"/>
        </w:rPr>
        <w:t>3</w:t>
      </w:r>
      <w:r>
        <w:rPr>
          <w:rFonts w:ascii="宋体" w:hAnsi="宋体"/>
          <w:color w:val="auto"/>
          <w:sz w:val="22"/>
          <w:szCs w:val="22"/>
          <w:highlight w:val="none"/>
        </w:rPr>
        <w:t>）我方承诺在合同约定的期限内完成并移交全部合同工程。</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4</w:t>
      </w:r>
      <w:r>
        <w:rPr>
          <w:rFonts w:ascii="宋体" w:hAnsi="宋体"/>
          <w:color w:val="auto"/>
          <w:sz w:val="22"/>
          <w:szCs w:val="22"/>
          <w:highlight w:val="none"/>
        </w:rPr>
        <w:t>．</w:t>
      </w:r>
      <w:r>
        <w:rPr>
          <w:rFonts w:hint="eastAsia" w:ascii="宋体" w:hAnsi="宋体"/>
          <w:color w:val="auto"/>
          <w:sz w:val="22"/>
          <w:szCs w:val="22"/>
          <w:highlight w:val="none"/>
        </w:rPr>
        <w:t>我方在此声明，所递交的投标文件及有关资料内容完整、真实和准确。</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5．</w:t>
      </w:r>
      <w:r>
        <w:rPr>
          <w:rFonts w:ascii="宋体" w:hAnsi="宋体"/>
          <w:color w:val="auto"/>
          <w:sz w:val="22"/>
          <w:szCs w:val="22"/>
          <w:highlight w:val="none"/>
          <w:u w:val="single"/>
        </w:rPr>
        <w:t xml:space="preserve">                                       </w:t>
      </w:r>
      <w:r>
        <w:rPr>
          <w:rFonts w:ascii="宋体" w:hAnsi="宋体"/>
          <w:color w:val="auto"/>
          <w:sz w:val="22"/>
          <w:szCs w:val="22"/>
          <w:highlight w:val="none"/>
        </w:rPr>
        <w:t>（</w:t>
      </w:r>
      <w:r>
        <w:rPr>
          <w:rFonts w:hint="eastAsia" w:ascii="宋体" w:hAnsi="宋体"/>
          <w:color w:val="auto"/>
          <w:sz w:val="22"/>
          <w:szCs w:val="22"/>
          <w:highlight w:val="none"/>
        </w:rPr>
        <w:t>其他</w:t>
      </w:r>
      <w:r>
        <w:rPr>
          <w:rFonts w:ascii="宋体" w:hAnsi="宋体"/>
          <w:color w:val="auto"/>
          <w:sz w:val="22"/>
          <w:szCs w:val="22"/>
          <w:highlight w:val="none"/>
        </w:rPr>
        <w:t>补充说明）。</w:t>
      </w:r>
    </w:p>
    <w:p>
      <w:pPr>
        <w:snapToGrid w:val="0"/>
        <w:spacing w:line="440" w:lineRule="exact"/>
        <w:ind w:firstLine="3300" w:firstLineChars="1500"/>
        <w:rPr>
          <w:rFonts w:ascii="宋体" w:hAnsi="宋体"/>
          <w:color w:val="auto"/>
          <w:sz w:val="22"/>
          <w:szCs w:val="22"/>
          <w:highlight w:val="none"/>
        </w:rPr>
      </w:pPr>
    </w:p>
    <w:p>
      <w:pPr>
        <w:snapToGrid w:val="0"/>
        <w:spacing w:line="440" w:lineRule="exact"/>
        <w:ind w:firstLine="3300" w:firstLineChars="1500"/>
        <w:rPr>
          <w:rFonts w:ascii="宋体" w:hAnsi="宋体"/>
          <w:color w:val="auto"/>
          <w:sz w:val="22"/>
          <w:szCs w:val="22"/>
          <w:highlight w:val="none"/>
        </w:rPr>
      </w:pP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投标人：（盖单位章）</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法定代表人或其委托代理人：（签字或盖章）</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地    址：</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邮政编码：</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电    话：</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传    真：</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开户银行：</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账    号：</w:t>
      </w:r>
    </w:p>
    <w:p>
      <w:pPr>
        <w:snapToGrid w:val="0"/>
        <w:spacing w:line="440" w:lineRule="exact"/>
        <w:ind w:firstLine="3300" w:firstLineChars="1500"/>
        <w:rPr>
          <w:rFonts w:ascii="宋体" w:hAnsi="宋体" w:cs="Calibri"/>
          <w:color w:val="auto"/>
          <w:sz w:val="22"/>
          <w:szCs w:val="22"/>
          <w:highlight w:val="none"/>
        </w:rPr>
      </w:pPr>
      <w:r>
        <w:rPr>
          <w:rFonts w:ascii="宋体" w:hAnsi="宋体" w:cs="Calibri"/>
          <w:color w:val="auto"/>
          <w:sz w:val="22"/>
          <w:szCs w:val="22"/>
          <w:highlight w:val="none"/>
        </w:rPr>
        <w:t>日    期：    年     月     日</w:t>
      </w:r>
    </w:p>
    <w:p>
      <w:pPr>
        <w:adjustRightInd w:val="0"/>
        <w:snapToGrid w:val="0"/>
        <w:jc w:val="center"/>
        <w:rPr>
          <w:rFonts w:eastAsia="黑体" w:cs="Calibri"/>
          <w:color w:val="auto"/>
          <w:sz w:val="32"/>
          <w:szCs w:val="32"/>
          <w:highlight w:val="none"/>
        </w:rPr>
      </w:pPr>
      <w:r>
        <w:rPr>
          <w:rFonts w:ascii="宋体" w:hAnsi="宋体" w:cs="Arial"/>
          <w:color w:val="auto"/>
          <w:sz w:val="22"/>
          <w:szCs w:val="22"/>
          <w:highlight w:val="none"/>
        </w:rPr>
        <w:br w:type="page"/>
      </w:r>
      <w:r>
        <w:rPr>
          <w:rFonts w:hint="eastAsia" w:eastAsia="黑体" w:cs="Calibri"/>
          <w:color w:val="auto"/>
          <w:sz w:val="32"/>
          <w:szCs w:val="32"/>
          <w:highlight w:val="none"/>
        </w:rPr>
        <w:t>二</w:t>
      </w:r>
      <w:r>
        <w:rPr>
          <w:rFonts w:eastAsia="黑体" w:cs="Calibri"/>
          <w:color w:val="auto"/>
          <w:sz w:val="32"/>
          <w:szCs w:val="32"/>
          <w:highlight w:val="none"/>
        </w:rPr>
        <w:t>、法定代表人身份证明</w:t>
      </w:r>
    </w:p>
    <w:p>
      <w:pPr>
        <w:spacing w:after="120" w:afterLines="50" w:line="440" w:lineRule="exact"/>
        <w:rPr>
          <w:rFonts w:cs="Calibri"/>
          <w:color w:val="auto"/>
          <w:highlight w:val="none"/>
        </w:rPr>
      </w:pPr>
    </w:p>
    <w:p>
      <w:pPr>
        <w:spacing w:after="120" w:afterLines="50" w:line="440" w:lineRule="exact"/>
        <w:rPr>
          <w:rFonts w:cs="Calibri"/>
          <w:color w:val="auto"/>
          <w:sz w:val="22"/>
          <w:szCs w:val="22"/>
          <w:highlight w:val="none"/>
          <w:u w:val="single"/>
        </w:rPr>
      </w:pPr>
      <w:r>
        <w:rPr>
          <w:rFonts w:cs="Calibri"/>
          <w:color w:val="auto"/>
          <w:sz w:val="22"/>
          <w:szCs w:val="22"/>
          <w:highlight w:val="none"/>
        </w:rPr>
        <w:t>投标人名称：</w:t>
      </w:r>
      <w:r>
        <w:rPr>
          <w:rFonts w:cs="Calibri"/>
          <w:color w:val="auto"/>
          <w:sz w:val="22"/>
          <w:szCs w:val="22"/>
          <w:highlight w:val="none"/>
          <w:u w:val="single"/>
        </w:rPr>
        <w:t xml:space="preserve">                                  </w:t>
      </w:r>
    </w:p>
    <w:p>
      <w:pPr>
        <w:spacing w:after="120" w:afterLines="50" w:line="440" w:lineRule="exact"/>
        <w:rPr>
          <w:rFonts w:cs="Calibri"/>
          <w:color w:val="auto"/>
          <w:sz w:val="22"/>
          <w:szCs w:val="22"/>
          <w:highlight w:val="none"/>
          <w:u w:val="single"/>
        </w:rPr>
      </w:pPr>
      <w:r>
        <w:rPr>
          <w:rFonts w:cs="Calibri"/>
          <w:color w:val="auto"/>
          <w:sz w:val="22"/>
          <w:szCs w:val="22"/>
          <w:highlight w:val="none"/>
        </w:rPr>
        <w:t>单位性质：</w:t>
      </w:r>
      <w:r>
        <w:rPr>
          <w:rFonts w:cs="Calibri"/>
          <w:color w:val="auto"/>
          <w:sz w:val="22"/>
          <w:szCs w:val="22"/>
          <w:highlight w:val="none"/>
          <w:u w:val="single"/>
        </w:rPr>
        <w:t xml:space="preserve">                                    </w:t>
      </w:r>
    </w:p>
    <w:p>
      <w:pPr>
        <w:spacing w:after="120" w:afterLines="50" w:line="440" w:lineRule="exact"/>
        <w:rPr>
          <w:rFonts w:cs="Calibri"/>
          <w:color w:val="auto"/>
          <w:sz w:val="22"/>
          <w:szCs w:val="22"/>
          <w:highlight w:val="none"/>
          <w:u w:val="single"/>
        </w:rPr>
      </w:pPr>
      <w:r>
        <w:rPr>
          <w:rFonts w:cs="Calibri"/>
          <w:color w:val="auto"/>
          <w:sz w:val="22"/>
          <w:szCs w:val="22"/>
          <w:highlight w:val="none"/>
        </w:rPr>
        <w:t>地址：</w:t>
      </w:r>
      <w:r>
        <w:rPr>
          <w:rFonts w:cs="Calibri"/>
          <w:color w:val="auto"/>
          <w:sz w:val="22"/>
          <w:szCs w:val="22"/>
          <w:highlight w:val="none"/>
          <w:u w:val="single"/>
        </w:rPr>
        <w:t xml:space="preserve">                                        </w:t>
      </w:r>
    </w:p>
    <w:p>
      <w:pPr>
        <w:spacing w:after="120" w:afterLines="50" w:line="440" w:lineRule="exact"/>
        <w:rPr>
          <w:rFonts w:cs="Calibri"/>
          <w:color w:val="auto"/>
          <w:sz w:val="22"/>
          <w:szCs w:val="22"/>
          <w:highlight w:val="none"/>
          <w:u w:val="single"/>
        </w:rPr>
      </w:pPr>
      <w:r>
        <w:rPr>
          <w:rFonts w:cs="Calibri"/>
          <w:color w:val="auto"/>
          <w:sz w:val="22"/>
          <w:szCs w:val="22"/>
          <w:highlight w:val="none"/>
        </w:rPr>
        <w:t>成立时间：</w:t>
      </w:r>
      <w:r>
        <w:rPr>
          <w:rFonts w:cs="Calibri"/>
          <w:color w:val="auto"/>
          <w:sz w:val="22"/>
          <w:szCs w:val="22"/>
          <w:highlight w:val="none"/>
          <w:u w:val="single"/>
        </w:rPr>
        <w:t xml:space="preserve">          </w:t>
      </w:r>
      <w:r>
        <w:rPr>
          <w:rFonts w:cs="Calibri"/>
          <w:color w:val="auto"/>
          <w:sz w:val="22"/>
          <w:szCs w:val="22"/>
          <w:highlight w:val="none"/>
        </w:rPr>
        <w:t>年</w:t>
      </w:r>
      <w:r>
        <w:rPr>
          <w:rFonts w:cs="Calibri"/>
          <w:color w:val="auto"/>
          <w:sz w:val="22"/>
          <w:szCs w:val="22"/>
          <w:highlight w:val="none"/>
          <w:u w:val="single"/>
        </w:rPr>
        <w:t xml:space="preserve">           </w:t>
      </w:r>
      <w:r>
        <w:rPr>
          <w:rFonts w:cs="Calibri"/>
          <w:color w:val="auto"/>
          <w:sz w:val="22"/>
          <w:szCs w:val="22"/>
          <w:highlight w:val="none"/>
        </w:rPr>
        <w:t>月</w:t>
      </w:r>
      <w:r>
        <w:rPr>
          <w:rFonts w:cs="Calibri"/>
          <w:color w:val="auto"/>
          <w:sz w:val="22"/>
          <w:szCs w:val="22"/>
          <w:highlight w:val="none"/>
          <w:u w:val="single"/>
        </w:rPr>
        <w:t xml:space="preserve">           </w:t>
      </w:r>
      <w:r>
        <w:rPr>
          <w:rFonts w:cs="Calibri"/>
          <w:color w:val="auto"/>
          <w:sz w:val="22"/>
          <w:szCs w:val="22"/>
          <w:highlight w:val="none"/>
        </w:rPr>
        <w:t>日</w:t>
      </w:r>
    </w:p>
    <w:p>
      <w:pPr>
        <w:spacing w:after="120" w:afterLines="50" w:line="440" w:lineRule="exact"/>
        <w:rPr>
          <w:rFonts w:cs="Calibri"/>
          <w:color w:val="auto"/>
          <w:sz w:val="22"/>
          <w:szCs w:val="22"/>
          <w:highlight w:val="none"/>
          <w:u w:val="single"/>
        </w:rPr>
      </w:pPr>
      <w:r>
        <w:rPr>
          <w:rFonts w:cs="Calibri"/>
          <w:color w:val="auto"/>
          <w:sz w:val="22"/>
          <w:szCs w:val="22"/>
          <w:highlight w:val="none"/>
        </w:rPr>
        <w:t>经营期限：</w:t>
      </w:r>
      <w:r>
        <w:rPr>
          <w:rFonts w:cs="Calibri"/>
          <w:color w:val="auto"/>
          <w:sz w:val="22"/>
          <w:szCs w:val="22"/>
          <w:highlight w:val="none"/>
          <w:u w:val="single"/>
        </w:rPr>
        <w:t xml:space="preserve">                                     </w:t>
      </w:r>
    </w:p>
    <w:p>
      <w:pPr>
        <w:spacing w:after="120" w:afterLines="50" w:line="440" w:lineRule="exact"/>
        <w:rPr>
          <w:rFonts w:cs="Calibri"/>
          <w:color w:val="auto"/>
          <w:sz w:val="22"/>
          <w:szCs w:val="22"/>
          <w:highlight w:val="none"/>
          <w:u w:val="single"/>
        </w:rPr>
      </w:pPr>
      <w:r>
        <w:rPr>
          <w:rFonts w:cs="Calibri"/>
          <w:color w:val="auto"/>
          <w:sz w:val="22"/>
          <w:szCs w:val="22"/>
          <w:highlight w:val="none"/>
        </w:rPr>
        <w:t>姓名：</w:t>
      </w:r>
      <w:r>
        <w:rPr>
          <w:rFonts w:cs="Calibri"/>
          <w:color w:val="auto"/>
          <w:sz w:val="22"/>
          <w:szCs w:val="22"/>
          <w:highlight w:val="none"/>
          <w:u w:val="single"/>
        </w:rPr>
        <w:t xml:space="preserve">         </w:t>
      </w:r>
      <w:r>
        <w:rPr>
          <w:rFonts w:cs="Calibri"/>
          <w:color w:val="auto"/>
          <w:sz w:val="22"/>
          <w:szCs w:val="22"/>
          <w:highlight w:val="none"/>
        </w:rPr>
        <w:t xml:space="preserve">  性别：</w:t>
      </w:r>
      <w:r>
        <w:rPr>
          <w:rFonts w:cs="Calibri"/>
          <w:color w:val="auto"/>
          <w:sz w:val="22"/>
          <w:szCs w:val="22"/>
          <w:highlight w:val="none"/>
          <w:u w:val="single"/>
        </w:rPr>
        <w:t xml:space="preserve">         </w:t>
      </w:r>
      <w:r>
        <w:rPr>
          <w:rFonts w:cs="Calibri"/>
          <w:color w:val="auto"/>
          <w:sz w:val="22"/>
          <w:szCs w:val="22"/>
          <w:highlight w:val="none"/>
        </w:rPr>
        <w:t xml:space="preserve">  年龄：</w:t>
      </w:r>
      <w:r>
        <w:rPr>
          <w:rFonts w:cs="Calibri"/>
          <w:color w:val="auto"/>
          <w:sz w:val="22"/>
          <w:szCs w:val="22"/>
          <w:highlight w:val="none"/>
          <w:u w:val="single"/>
        </w:rPr>
        <w:t xml:space="preserve">         </w:t>
      </w:r>
      <w:r>
        <w:rPr>
          <w:rFonts w:cs="Calibri"/>
          <w:color w:val="auto"/>
          <w:sz w:val="22"/>
          <w:szCs w:val="22"/>
          <w:highlight w:val="none"/>
        </w:rPr>
        <w:t xml:space="preserve">  职务：</w:t>
      </w:r>
      <w:r>
        <w:rPr>
          <w:rFonts w:cs="Calibri"/>
          <w:color w:val="auto"/>
          <w:sz w:val="22"/>
          <w:szCs w:val="22"/>
          <w:highlight w:val="none"/>
          <w:u w:val="single"/>
        </w:rPr>
        <w:t xml:space="preserve">         </w:t>
      </w:r>
      <w:r>
        <w:rPr>
          <w:rFonts w:cs="Calibri"/>
          <w:color w:val="auto"/>
          <w:sz w:val="22"/>
          <w:szCs w:val="22"/>
          <w:highlight w:val="none"/>
        </w:rPr>
        <w:t xml:space="preserve">  </w:t>
      </w:r>
    </w:p>
    <w:p>
      <w:pPr>
        <w:spacing w:after="120" w:afterLines="50" w:line="440" w:lineRule="exact"/>
        <w:rPr>
          <w:rFonts w:cs="Calibri"/>
          <w:color w:val="auto"/>
          <w:sz w:val="22"/>
          <w:szCs w:val="22"/>
          <w:highlight w:val="none"/>
          <w:u w:val="single"/>
        </w:rPr>
      </w:pPr>
      <w:r>
        <w:rPr>
          <w:rFonts w:cs="Calibri"/>
          <w:color w:val="auto"/>
          <w:sz w:val="22"/>
          <w:szCs w:val="22"/>
          <w:highlight w:val="none"/>
        </w:rPr>
        <w:t>身份证号码：</w:t>
      </w:r>
      <w:r>
        <w:rPr>
          <w:rFonts w:cs="Calibri"/>
          <w:color w:val="auto"/>
          <w:sz w:val="22"/>
          <w:szCs w:val="22"/>
          <w:highlight w:val="none"/>
          <w:u w:val="single"/>
        </w:rPr>
        <w:t xml:space="preserve">                           </w:t>
      </w:r>
    </w:p>
    <w:p>
      <w:pPr>
        <w:spacing w:line="440" w:lineRule="exact"/>
        <w:ind w:firstLine="560"/>
        <w:rPr>
          <w:rFonts w:cs="Calibri"/>
          <w:color w:val="auto"/>
          <w:sz w:val="22"/>
          <w:szCs w:val="22"/>
          <w:highlight w:val="none"/>
        </w:rPr>
      </w:pPr>
    </w:p>
    <w:p>
      <w:pPr>
        <w:spacing w:line="440" w:lineRule="exact"/>
        <w:rPr>
          <w:rFonts w:cs="Calibri"/>
          <w:color w:val="auto"/>
          <w:sz w:val="22"/>
          <w:szCs w:val="22"/>
          <w:highlight w:val="none"/>
        </w:rPr>
      </w:pPr>
      <w:r>
        <w:rPr>
          <w:rFonts w:cs="Calibri"/>
          <w:color w:val="auto"/>
          <w:sz w:val="22"/>
          <w:szCs w:val="22"/>
          <w:highlight w:val="none"/>
        </w:rPr>
        <w:t xml:space="preserve">    系</w:t>
      </w:r>
      <w:r>
        <w:rPr>
          <w:rFonts w:cs="Calibri"/>
          <w:color w:val="auto"/>
          <w:sz w:val="22"/>
          <w:szCs w:val="22"/>
          <w:highlight w:val="none"/>
          <w:u w:val="single"/>
        </w:rPr>
        <w:t xml:space="preserve">                          </w:t>
      </w:r>
      <w:r>
        <w:rPr>
          <w:rFonts w:cs="Calibri"/>
          <w:color w:val="auto"/>
          <w:sz w:val="22"/>
          <w:szCs w:val="22"/>
          <w:highlight w:val="none"/>
        </w:rPr>
        <w:t>（投标人名称）的法定代表人。</w:t>
      </w:r>
    </w:p>
    <w:p>
      <w:pPr>
        <w:spacing w:line="440" w:lineRule="exact"/>
        <w:ind w:firstLine="560"/>
        <w:rPr>
          <w:rFonts w:cs="Calibri"/>
          <w:color w:val="auto"/>
          <w:sz w:val="22"/>
          <w:szCs w:val="22"/>
          <w:highlight w:val="none"/>
        </w:rPr>
      </w:pPr>
    </w:p>
    <w:p>
      <w:pPr>
        <w:spacing w:line="440" w:lineRule="exact"/>
        <w:rPr>
          <w:rFonts w:cs="Calibri"/>
          <w:color w:val="auto"/>
          <w:sz w:val="22"/>
          <w:szCs w:val="22"/>
          <w:highlight w:val="none"/>
        </w:rPr>
      </w:pPr>
      <w:r>
        <w:rPr>
          <w:rFonts w:cs="Calibri"/>
          <w:color w:val="auto"/>
          <w:sz w:val="22"/>
          <w:szCs w:val="22"/>
          <w:highlight w:val="none"/>
        </w:rPr>
        <w:t>特此证明。</w:t>
      </w:r>
    </w:p>
    <w:p>
      <w:pPr>
        <w:spacing w:line="440" w:lineRule="exact"/>
        <w:rPr>
          <w:rFonts w:cs="Calibri"/>
          <w:color w:val="auto"/>
          <w:sz w:val="22"/>
          <w:szCs w:val="22"/>
          <w:highlight w:val="none"/>
        </w:rPr>
      </w:pPr>
      <w:r>
        <w:rPr>
          <w:rFonts w:cs="Calibri"/>
          <w:color w:val="auto"/>
          <w:sz w:val="22"/>
          <w:szCs w:val="22"/>
          <w:highlight w:val="none"/>
        </w:rPr>
        <w:t>附：法定代表人身份证复印件</w:t>
      </w:r>
    </w:p>
    <w:p>
      <w:pPr>
        <w:spacing w:line="440" w:lineRule="exact"/>
        <w:rPr>
          <w:rFonts w:cs="Calibri"/>
          <w:color w:val="auto"/>
          <w:sz w:val="22"/>
          <w:szCs w:val="22"/>
          <w:highlight w:val="none"/>
        </w:rPr>
      </w:pPr>
      <w:r>
        <w:rPr>
          <w:rFonts w:cs="Calibri"/>
          <w:color w:val="auto"/>
          <w:sz w:val="22"/>
          <w:szCs w:val="22"/>
          <w:highlight w:val="none"/>
        </w:rPr>
        <w:t xml:space="preserve">投标人：（盖单位章） </w:t>
      </w:r>
    </w:p>
    <w:p>
      <w:pPr>
        <w:spacing w:line="440" w:lineRule="exact"/>
        <w:ind w:firstLine="4936" w:firstLineChars="2235"/>
        <w:rPr>
          <w:rFonts w:cs="Calibri"/>
          <w:b/>
          <w:color w:val="auto"/>
          <w:sz w:val="22"/>
          <w:szCs w:val="22"/>
          <w:highlight w:val="none"/>
        </w:rPr>
      </w:pPr>
      <w:r>
        <w:rPr>
          <w:rFonts w:ascii="Cambria" w:hAnsi="Cambria" w:eastAsia="宋体" w:cs="Calibri"/>
          <w:b/>
          <w:color w:val="auto"/>
          <w:kern w:val="2"/>
          <w:sz w:val="22"/>
          <w:szCs w:val="22"/>
          <w:highlight w:val="none"/>
          <w:lang w:val="en-US" w:eastAsia="zh-CN" w:bidi="ar-SA"/>
        </w:rPr>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auto"/>
          <w:sz w:val="22"/>
          <w:szCs w:val="22"/>
          <w:highlight w:val="none"/>
        </w:rPr>
        <w:t>日期：   年    月    日</w:t>
      </w:r>
    </w:p>
    <w:p>
      <w:pPr>
        <w:spacing w:line="440" w:lineRule="exact"/>
        <w:jc w:val="center"/>
        <w:rPr>
          <w:rFonts w:eastAsia="黑体" w:cs="Calibri"/>
          <w:color w:val="auto"/>
          <w:sz w:val="28"/>
          <w:szCs w:val="28"/>
          <w:highlight w:val="none"/>
        </w:rPr>
      </w:pPr>
      <w:r>
        <w:rPr>
          <w:rFonts w:cs="Calibri"/>
          <w:color w:val="auto"/>
          <w:szCs w:val="21"/>
          <w:highlight w:val="none"/>
        </w:rPr>
        <w:br w:type="page"/>
      </w:r>
      <w:r>
        <w:rPr>
          <w:rFonts w:hint="eastAsia" w:eastAsia="黑体" w:cs="Calibri"/>
          <w:color w:val="auto"/>
          <w:sz w:val="32"/>
          <w:szCs w:val="32"/>
          <w:highlight w:val="none"/>
        </w:rPr>
        <w:t>三</w:t>
      </w:r>
      <w:r>
        <w:rPr>
          <w:rFonts w:eastAsia="黑体" w:cs="Calibri"/>
          <w:color w:val="auto"/>
          <w:sz w:val="32"/>
          <w:szCs w:val="32"/>
          <w:highlight w:val="none"/>
        </w:rPr>
        <w:t>、授权委托书</w:t>
      </w:r>
    </w:p>
    <w:p>
      <w:pPr>
        <w:spacing w:line="440" w:lineRule="exact"/>
        <w:ind w:firstLine="480" w:firstLineChars="200"/>
        <w:rPr>
          <w:rFonts w:cs="Calibri"/>
          <w:color w:val="auto"/>
          <w:szCs w:val="21"/>
          <w:highlight w:val="none"/>
        </w:rPr>
      </w:pPr>
    </w:p>
    <w:p>
      <w:pPr>
        <w:spacing w:line="440" w:lineRule="exact"/>
        <w:ind w:firstLine="440" w:firstLineChars="200"/>
        <w:rPr>
          <w:rFonts w:cs="Calibri"/>
          <w:color w:val="auto"/>
          <w:sz w:val="22"/>
          <w:szCs w:val="22"/>
          <w:highlight w:val="none"/>
        </w:rPr>
      </w:pPr>
      <w:r>
        <w:rPr>
          <w:rFonts w:cs="Calibri"/>
          <w:color w:val="auto"/>
          <w:sz w:val="22"/>
          <w:szCs w:val="22"/>
          <w:highlight w:val="none"/>
        </w:rPr>
        <w:t>本人</w:t>
      </w:r>
      <w:r>
        <w:rPr>
          <w:rFonts w:cs="Calibri"/>
          <w:color w:val="auto"/>
          <w:sz w:val="22"/>
          <w:szCs w:val="22"/>
          <w:highlight w:val="none"/>
          <w:u w:val="single"/>
        </w:rPr>
        <w:t xml:space="preserve">        </w:t>
      </w:r>
      <w:r>
        <w:rPr>
          <w:rFonts w:cs="Calibri"/>
          <w:color w:val="auto"/>
          <w:sz w:val="22"/>
          <w:szCs w:val="22"/>
          <w:highlight w:val="none"/>
        </w:rPr>
        <w:t>（姓名）系</w:t>
      </w:r>
      <w:r>
        <w:rPr>
          <w:rFonts w:cs="Calibri"/>
          <w:color w:val="auto"/>
          <w:sz w:val="22"/>
          <w:szCs w:val="22"/>
          <w:highlight w:val="none"/>
          <w:u w:val="single"/>
        </w:rPr>
        <w:t xml:space="preserve">                </w:t>
      </w:r>
      <w:r>
        <w:rPr>
          <w:rFonts w:cs="Calibri"/>
          <w:color w:val="auto"/>
          <w:sz w:val="22"/>
          <w:szCs w:val="22"/>
          <w:highlight w:val="none"/>
        </w:rPr>
        <w:t>（投标人名称）的法定代表人，现委托</w:t>
      </w:r>
      <w:r>
        <w:rPr>
          <w:rFonts w:cs="Calibri"/>
          <w:color w:val="auto"/>
          <w:sz w:val="22"/>
          <w:szCs w:val="22"/>
          <w:highlight w:val="none"/>
          <w:u w:val="single"/>
        </w:rPr>
        <w:t xml:space="preserve">      </w:t>
      </w:r>
      <w:r>
        <w:rPr>
          <w:rFonts w:cs="Calibri"/>
          <w:color w:val="auto"/>
          <w:sz w:val="22"/>
          <w:szCs w:val="22"/>
          <w:highlight w:val="none"/>
        </w:rPr>
        <w:t>（姓名）为我方代理人。代理人根据授权，以我方名义签署、澄清、说明、补正、递交、撤回、修改</w:t>
      </w:r>
      <w:r>
        <w:rPr>
          <w:rFonts w:cs="Calibri"/>
          <w:color w:val="auto"/>
          <w:sz w:val="22"/>
          <w:szCs w:val="22"/>
          <w:highlight w:val="none"/>
          <w:u w:val="single"/>
        </w:rPr>
        <w:t xml:space="preserve">              </w:t>
      </w:r>
      <w:r>
        <w:rPr>
          <w:rFonts w:cs="Calibri"/>
          <w:color w:val="auto"/>
          <w:sz w:val="22"/>
          <w:szCs w:val="22"/>
          <w:highlight w:val="none"/>
        </w:rPr>
        <w:t>（项目名称）投标文件、签订合同和处理有关事宜，其法律后果由我方承担。</w:t>
      </w:r>
    </w:p>
    <w:p>
      <w:pPr>
        <w:spacing w:line="440" w:lineRule="exact"/>
        <w:ind w:firstLine="440" w:firstLineChars="200"/>
        <w:rPr>
          <w:rFonts w:cs="Calibri"/>
          <w:color w:val="auto"/>
          <w:sz w:val="22"/>
          <w:szCs w:val="22"/>
          <w:highlight w:val="none"/>
        </w:rPr>
      </w:pPr>
      <w:r>
        <w:rPr>
          <w:rFonts w:cs="Calibri"/>
          <w:color w:val="auto"/>
          <w:sz w:val="22"/>
          <w:szCs w:val="22"/>
          <w:highlight w:val="none"/>
        </w:rPr>
        <w:t>代理人无转委托权。</w:t>
      </w:r>
    </w:p>
    <w:p>
      <w:pPr>
        <w:spacing w:line="440" w:lineRule="exact"/>
        <w:ind w:firstLine="440" w:firstLineChars="200"/>
        <w:rPr>
          <w:rFonts w:cs="Calibri"/>
          <w:color w:val="auto"/>
          <w:sz w:val="22"/>
          <w:szCs w:val="22"/>
          <w:highlight w:val="none"/>
        </w:rPr>
      </w:pPr>
      <w:r>
        <w:rPr>
          <w:rFonts w:cs="Calibri"/>
          <w:color w:val="auto"/>
          <w:sz w:val="22"/>
          <w:szCs w:val="22"/>
          <w:highlight w:val="none"/>
        </w:rPr>
        <w:t>附：委托代理人身份证复印件</w:t>
      </w:r>
    </w:p>
    <w:p>
      <w:pPr>
        <w:spacing w:line="440" w:lineRule="exact"/>
        <w:rPr>
          <w:rFonts w:cs="Calibri"/>
          <w:color w:val="auto"/>
          <w:sz w:val="22"/>
          <w:szCs w:val="22"/>
          <w:highlight w:val="none"/>
        </w:rPr>
      </w:pPr>
    </w:p>
    <w:p>
      <w:pPr>
        <w:spacing w:line="440" w:lineRule="exact"/>
        <w:rPr>
          <w:rFonts w:cs="Calibri"/>
          <w:color w:val="auto"/>
          <w:sz w:val="22"/>
          <w:szCs w:val="22"/>
          <w:highlight w:val="none"/>
        </w:rPr>
      </w:pPr>
      <w:r>
        <w:rPr>
          <w:rFonts w:cs="Calibri"/>
          <w:color w:val="auto"/>
          <w:sz w:val="22"/>
          <w:szCs w:val="22"/>
          <w:highlight w:val="none"/>
        </w:rPr>
        <w:t>投标人：（盖单位章）</w:t>
      </w:r>
    </w:p>
    <w:p>
      <w:pPr>
        <w:spacing w:line="440" w:lineRule="exact"/>
        <w:rPr>
          <w:rFonts w:cs="Calibri"/>
          <w:color w:val="auto"/>
          <w:sz w:val="22"/>
          <w:szCs w:val="22"/>
          <w:highlight w:val="none"/>
        </w:rPr>
      </w:pPr>
      <w:r>
        <w:rPr>
          <w:rFonts w:cs="Calibri"/>
          <w:color w:val="auto"/>
          <w:sz w:val="22"/>
          <w:szCs w:val="22"/>
          <w:highlight w:val="none"/>
        </w:rPr>
        <w:t>法定代表人：（签字或盖章）</w:t>
      </w:r>
    </w:p>
    <w:p>
      <w:pPr>
        <w:spacing w:line="440" w:lineRule="exact"/>
        <w:rPr>
          <w:rFonts w:cs="Calibri"/>
          <w:color w:val="auto"/>
          <w:sz w:val="22"/>
          <w:szCs w:val="22"/>
          <w:highlight w:val="none"/>
        </w:rPr>
      </w:pPr>
      <w:r>
        <w:rPr>
          <w:rFonts w:cs="Calibri"/>
          <w:color w:val="auto"/>
          <w:sz w:val="22"/>
          <w:szCs w:val="22"/>
          <w:highlight w:val="none"/>
        </w:rPr>
        <w:t>身份证号码：</w:t>
      </w:r>
    </w:p>
    <w:p>
      <w:pPr>
        <w:spacing w:line="440" w:lineRule="exact"/>
        <w:rPr>
          <w:rFonts w:cs="Calibri"/>
          <w:color w:val="auto"/>
          <w:sz w:val="22"/>
          <w:szCs w:val="22"/>
          <w:highlight w:val="none"/>
        </w:rPr>
      </w:pPr>
    </w:p>
    <w:p>
      <w:pPr>
        <w:spacing w:line="440" w:lineRule="exact"/>
        <w:rPr>
          <w:rFonts w:cs="Calibri"/>
          <w:color w:val="auto"/>
          <w:sz w:val="22"/>
          <w:szCs w:val="22"/>
          <w:highlight w:val="none"/>
        </w:rPr>
      </w:pPr>
      <w:r>
        <w:rPr>
          <w:rFonts w:cs="Calibri"/>
          <w:color w:val="auto"/>
          <w:sz w:val="22"/>
          <w:szCs w:val="22"/>
          <w:highlight w:val="none"/>
        </w:rPr>
        <w:t>委托的代理人：（签字或盖章）</w:t>
      </w:r>
    </w:p>
    <w:p>
      <w:pPr>
        <w:spacing w:line="440" w:lineRule="exact"/>
        <w:rPr>
          <w:rFonts w:cs="Calibri"/>
          <w:color w:val="auto"/>
          <w:sz w:val="22"/>
          <w:szCs w:val="22"/>
          <w:highlight w:val="none"/>
        </w:rPr>
      </w:pPr>
      <w:r>
        <w:rPr>
          <w:rFonts w:cs="Calibri"/>
          <w:color w:val="auto"/>
          <w:sz w:val="22"/>
          <w:szCs w:val="22"/>
          <w:highlight w:val="none"/>
        </w:rPr>
        <w:t>身份证号码：</w:t>
      </w:r>
    </w:p>
    <w:p>
      <w:pPr>
        <w:spacing w:line="440" w:lineRule="exact"/>
        <w:ind w:firstLine="4730" w:firstLineChars="2150"/>
        <w:rPr>
          <w:rFonts w:cs="Calibri"/>
          <w:color w:val="auto"/>
          <w:sz w:val="22"/>
          <w:szCs w:val="22"/>
          <w:highlight w:val="none"/>
        </w:rPr>
      </w:pPr>
      <w:r>
        <w:rPr>
          <w:rFonts w:cs="Calibri"/>
          <w:color w:val="auto"/>
          <w:sz w:val="22"/>
          <w:szCs w:val="22"/>
          <w:highlight w:val="none"/>
        </w:rPr>
        <w:t>日期：</w:t>
      </w:r>
      <w:r>
        <w:rPr>
          <w:rFonts w:cs="Calibri"/>
          <w:color w:val="auto"/>
          <w:sz w:val="22"/>
          <w:szCs w:val="22"/>
          <w:highlight w:val="none"/>
          <w:u w:val="single"/>
        </w:rPr>
        <w:t xml:space="preserve">      </w:t>
      </w:r>
      <w:r>
        <w:rPr>
          <w:rFonts w:cs="Calibri"/>
          <w:color w:val="auto"/>
          <w:sz w:val="22"/>
          <w:szCs w:val="22"/>
          <w:highlight w:val="none"/>
        </w:rPr>
        <w:t>年</w:t>
      </w:r>
      <w:r>
        <w:rPr>
          <w:rFonts w:cs="Calibri"/>
          <w:color w:val="auto"/>
          <w:sz w:val="22"/>
          <w:szCs w:val="22"/>
          <w:highlight w:val="none"/>
          <w:u w:val="single"/>
        </w:rPr>
        <w:t xml:space="preserve">      </w:t>
      </w:r>
      <w:r>
        <w:rPr>
          <w:rFonts w:cs="Calibri"/>
          <w:color w:val="auto"/>
          <w:sz w:val="22"/>
          <w:szCs w:val="22"/>
          <w:highlight w:val="none"/>
        </w:rPr>
        <w:t>月</w:t>
      </w:r>
      <w:r>
        <w:rPr>
          <w:rFonts w:cs="Calibri"/>
          <w:color w:val="auto"/>
          <w:sz w:val="22"/>
          <w:szCs w:val="22"/>
          <w:highlight w:val="none"/>
          <w:u w:val="single"/>
        </w:rPr>
        <w:t xml:space="preserve">      </w:t>
      </w:r>
      <w:r>
        <w:rPr>
          <w:rFonts w:cs="Calibri"/>
          <w:color w:val="auto"/>
          <w:sz w:val="22"/>
          <w:szCs w:val="22"/>
          <w:highlight w:val="none"/>
        </w:rPr>
        <w:t>日</w:t>
      </w:r>
    </w:p>
    <w:p>
      <w:pPr>
        <w:snapToGrid w:val="0"/>
        <w:spacing w:line="440" w:lineRule="exact"/>
        <w:rPr>
          <w:rFonts w:cs="Calibri"/>
          <w:color w:val="auto"/>
          <w:szCs w:val="21"/>
          <w:highlight w:val="none"/>
        </w:rPr>
      </w:pPr>
      <w:r>
        <w:rPr>
          <w:rFonts w:ascii="Cambria" w:hAnsi="Cambria" w:eastAsia="宋体" w:cs="Calibri"/>
          <w:b/>
          <w:color w:val="auto"/>
          <w:kern w:val="2"/>
          <w:sz w:val="24"/>
          <w:szCs w:val="21"/>
          <w:highlight w:val="none"/>
          <w:lang w:val="en-US" w:eastAsia="zh-CN" w:bidi="ar-SA"/>
        </w:rPr>
        <w:pict>
          <v:shape id="Text Box 7" o:spid="_x0000_s1027" o:spt="202" type="#_x0000_t202" style="position:absolute;left:0pt;margin-left:9.15pt;margin-top:20.8pt;height:171.6pt;width:423pt;mso-wrap-distance-bottom:0pt;mso-wrap-distance-left:9pt;mso-wrap-distance-right:9pt;mso-wrap-distance-top:0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auto"/>
          <w:szCs w:val="21"/>
          <w:highlight w:val="none"/>
        </w:rPr>
        <w:t xml:space="preserve">                                  </w:t>
      </w:r>
    </w:p>
    <w:p>
      <w:pPr>
        <w:spacing w:line="440" w:lineRule="exact"/>
        <w:rPr>
          <w:rFonts w:cs="Calibri"/>
          <w:b/>
          <w:bCs/>
          <w:color w:val="auto"/>
          <w:szCs w:val="21"/>
          <w:highlight w:val="none"/>
        </w:rPr>
      </w:pPr>
      <w:r>
        <w:rPr>
          <w:rFonts w:cs="Calibri"/>
          <w:b/>
          <w:bCs/>
          <w:color w:val="auto"/>
          <w:szCs w:val="21"/>
          <w:highlight w:val="none"/>
        </w:rPr>
        <w:t xml:space="preserve">  </w:t>
      </w:r>
    </w:p>
    <w:p>
      <w:pPr>
        <w:spacing w:line="440" w:lineRule="exact"/>
        <w:rPr>
          <w:rFonts w:cs="Calibri"/>
          <w:b/>
          <w:bCs/>
          <w:color w:val="auto"/>
          <w:szCs w:val="21"/>
          <w:highlight w:val="none"/>
        </w:rPr>
      </w:pPr>
    </w:p>
    <w:p>
      <w:pPr>
        <w:spacing w:line="440" w:lineRule="exact"/>
        <w:rPr>
          <w:rFonts w:cs="Calibri"/>
          <w:color w:val="auto"/>
          <w:szCs w:val="21"/>
          <w:highlight w:val="none"/>
        </w:rPr>
      </w:pPr>
    </w:p>
    <w:p>
      <w:pPr>
        <w:spacing w:line="440" w:lineRule="exact"/>
        <w:rPr>
          <w:rFonts w:cs="Calibri"/>
          <w:color w:val="auto"/>
          <w:szCs w:val="21"/>
          <w:highlight w:val="none"/>
        </w:rPr>
      </w:pPr>
    </w:p>
    <w:p>
      <w:pPr>
        <w:spacing w:line="440" w:lineRule="exact"/>
        <w:rPr>
          <w:rFonts w:cs="Calibri"/>
          <w:color w:val="auto"/>
          <w:szCs w:val="21"/>
          <w:highlight w:val="none"/>
        </w:rPr>
      </w:pPr>
    </w:p>
    <w:p>
      <w:pPr>
        <w:spacing w:line="440" w:lineRule="exact"/>
        <w:rPr>
          <w:rFonts w:cs="Calibri"/>
          <w:color w:val="auto"/>
          <w:szCs w:val="21"/>
          <w:highlight w:val="none"/>
        </w:rPr>
      </w:pPr>
    </w:p>
    <w:p>
      <w:pPr>
        <w:spacing w:line="440" w:lineRule="exact"/>
        <w:rPr>
          <w:rFonts w:cs="Calibri"/>
          <w:color w:val="auto"/>
          <w:szCs w:val="21"/>
          <w:highlight w:val="none"/>
        </w:rPr>
      </w:pPr>
    </w:p>
    <w:p>
      <w:pPr>
        <w:spacing w:line="440" w:lineRule="exact"/>
        <w:rPr>
          <w:rFonts w:cs="Calibri"/>
          <w:color w:val="auto"/>
          <w:szCs w:val="21"/>
          <w:highlight w:val="none"/>
        </w:rPr>
      </w:pPr>
    </w:p>
    <w:p>
      <w:pPr>
        <w:spacing w:line="440" w:lineRule="exact"/>
        <w:rPr>
          <w:rFonts w:cs="Calibri"/>
          <w:b/>
          <w:bCs/>
          <w:color w:val="auto"/>
          <w:sz w:val="22"/>
          <w:szCs w:val="22"/>
          <w:highlight w:val="none"/>
        </w:rPr>
      </w:pPr>
      <w:r>
        <w:rPr>
          <w:rFonts w:cs="Calibri"/>
          <w:color w:val="auto"/>
          <w:sz w:val="22"/>
          <w:szCs w:val="22"/>
          <w:highlight w:val="none"/>
        </w:rPr>
        <w:t>注：如投标文件由委托代理人签字或盖章的，投标文件必须附此授权委托书。</w:t>
      </w:r>
      <w:r>
        <w:rPr>
          <w:rFonts w:cs="Calibri"/>
          <w:b/>
          <w:bCs/>
          <w:color w:val="auto"/>
          <w:sz w:val="22"/>
          <w:szCs w:val="22"/>
          <w:highlight w:val="none"/>
        </w:rPr>
        <w:t xml:space="preserve">     </w:t>
      </w:r>
    </w:p>
    <w:p>
      <w:pPr>
        <w:spacing w:line="360" w:lineRule="auto"/>
        <w:jc w:val="left"/>
        <w:rPr>
          <w:rFonts w:ascii="宋体" w:hAnsi="宋体" w:cs="宋体"/>
          <w:color w:val="auto"/>
          <w:sz w:val="22"/>
          <w:highlight w:val="none"/>
        </w:rPr>
      </w:pPr>
    </w:p>
    <w:p>
      <w:pPr>
        <w:pStyle w:val="31"/>
        <w:spacing w:after="120" w:afterLines="50" w:line="360" w:lineRule="auto"/>
        <w:jc w:val="left"/>
        <w:rPr>
          <w:rFonts w:hAnsi="宋体" w:cs="宋体"/>
          <w:b/>
          <w:color w:val="auto"/>
          <w:highlight w:val="none"/>
        </w:rPr>
      </w:pPr>
      <w:r>
        <w:rPr>
          <w:rFonts w:hAnsi="宋体" w:cs="宋体"/>
          <w:b/>
          <w:color w:val="auto"/>
          <w:highlight w:val="none"/>
        </w:rPr>
        <w:br w:type="page"/>
      </w:r>
      <w:bookmarkStart w:id="106" w:name="_Toc133214102"/>
      <w:bookmarkStart w:id="107" w:name="_Toc133214309"/>
      <w:bookmarkStart w:id="108" w:name="_Toc133470542"/>
      <w:bookmarkStart w:id="109" w:name="_Toc137373398"/>
      <w:bookmarkStart w:id="110" w:name="_Toc144265958"/>
    </w:p>
    <w:p>
      <w:pPr>
        <w:pStyle w:val="31"/>
        <w:spacing w:after="120" w:afterLines="50" w:line="360" w:lineRule="auto"/>
        <w:jc w:val="left"/>
        <w:rPr>
          <w:rFonts w:hAnsi="宋体" w:cs="宋体"/>
          <w:color w:val="auto"/>
          <w:sz w:val="22"/>
          <w:szCs w:val="22"/>
          <w:highlight w:val="none"/>
        </w:rPr>
      </w:pPr>
    </w:p>
    <w:p>
      <w:pPr>
        <w:spacing w:line="440" w:lineRule="exact"/>
        <w:jc w:val="center"/>
        <w:rPr>
          <w:rFonts w:ascii="Calibri" w:hAnsi="Calibri" w:eastAsia="黑体" w:cs="Calibri"/>
          <w:color w:val="auto"/>
          <w:sz w:val="32"/>
          <w:szCs w:val="32"/>
          <w:highlight w:val="none"/>
        </w:rPr>
      </w:pPr>
      <w:r>
        <w:rPr>
          <w:rFonts w:hint="eastAsia" w:ascii="Calibri" w:hAnsi="Calibri" w:eastAsia="黑体" w:cs="Calibri"/>
          <w:color w:val="auto"/>
          <w:sz w:val="32"/>
          <w:szCs w:val="32"/>
          <w:highlight w:val="none"/>
        </w:rPr>
        <w:t>四、已标价工程量清单</w:t>
      </w:r>
    </w:p>
    <w:p>
      <w:pPr>
        <w:pStyle w:val="31"/>
        <w:spacing w:after="120" w:afterLines="50" w:line="360" w:lineRule="auto"/>
        <w:jc w:val="center"/>
        <w:rPr>
          <w:rFonts w:hAnsi="宋体" w:cs="宋体"/>
          <w:color w:val="auto"/>
          <w:highlight w:val="none"/>
        </w:rPr>
      </w:pPr>
    </w:p>
    <w:bookmarkEnd w:id="106"/>
    <w:bookmarkEnd w:id="107"/>
    <w:bookmarkEnd w:id="108"/>
    <w:bookmarkEnd w:id="109"/>
    <w:bookmarkEnd w:id="110"/>
    <w:p>
      <w:pPr>
        <w:snapToGrid w:val="0"/>
        <w:spacing w:before="120" w:beforeLines="50" w:line="360" w:lineRule="exact"/>
        <w:ind w:left="1134"/>
        <w:rPr>
          <w:rFonts w:ascii="宋体" w:hAnsi="宋体" w:cs="宋体"/>
          <w:color w:val="auto"/>
          <w:sz w:val="22"/>
          <w:highlight w:val="none"/>
        </w:rPr>
      </w:pPr>
    </w:p>
    <w:p>
      <w:pPr>
        <w:spacing w:line="360" w:lineRule="auto"/>
        <w:jc w:val="center"/>
        <w:rPr>
          <w:rFonts w:ascii="宋体" w:hAnsi="宋体" w:cs="宋体"/>
          <w:color w:val="auto"/>
          <w:sz w:val="22"/>
          <w:highlight w:val="none"/>
        </w:rPr>
      </w:pPr>
      <w:r>
        <w:rPr>
          <w:rFonts w:ascii="宋体" w:hAnsi="宋体" w:cs="宋体"/>
          <w:color w:val="auto"/>
          <w:sz w:val="22"/>
          <w:highlight w:val="none"/>
        </w:rPr>
        <w:br w:type="page"/>
      </w:r>
    </w:p>
    <w:p>
      <w:pPr>
        <w:spacing w:line="440" w:lineRule="exact"/>
        <w:jc w:val="center"/>
        <w:rPr>
          <w:rFonts w:ascii="宋体" w:hAnsi="宋体" w:cs="Arial"/>
          <w:b/>
          <w:color w:val="auto"/>
          <w:sz w:val="22"/>
          <w:highlight w:val="none"/>
        </w:rPr>
      </w:pPr>
    </w:p>
    <w:p>
      <w:pPr>
        <w:spacing w:line="440" w:lineRule="exact"/>
        <w:jc w:val="center"/>
        <w:rPr>
          <w:rFonts w:ascii="Calibri" w:hAnsi="Calibri" w:eastAsia="黑体" w:cs="Calibri"/>
          <w:color w:val="auto"/>
          <w:sz w:val="32"/>
          <w:szCs w:val="32"/>
          <w:highlight w:val="none"/>
        </w:rPr>
      </w:pPr>
      <w:r>
        <w:rPr>
          <w:rFonts w:hint="eastAsia" w:ascii="Calibri" w:hAnsi="Calibri" w:eastAsia="黑体" w:cs="Calibri"/>
          <w:color w:val="auto"/>
          <w:sz w:val="32"/>
          <w:szCs w:val="32"/>
          <w:highlight w:val="none"/>
        </w:rPr>
        <w:t>五、施工组织设计</w:t>
      </w:r>
    </w:p>
    <w:p>
      <w:pPr>
        <w:spacing w:line="440" w:lineRule="exact"/>
        <w:jc w:val="center"/>
        <w:rPr>
          <w:rFonts w:ascii="Calibri" w:hAnsi="Calibri" w:eastAsia="黑体" w:cs="Calibri"/>
          <w:color w:val="auto"/>
          <w:sz w:val="32"/>
          <w:szCs w:val="32"/>
          <w:highlight w:val="none"/>
        </w:rPr>
      </w:pPr>
    </w:p>
    <w:p>
      <w:pPr>
        <w:tabs>
          <w:tab w:val="left" w:pos="720"/>
        </w:tabs>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1. </w:t>
      </w:r>
      <w:r>
        <w:rPr>
          <w:rFonts w:hint="eastAsia" w:ascii="宋体" w:hAnsi="宋体"/>
          <w:color w:val="auto"/>
          <w:sz w:val="22"/>
          <w:szCs w:val="22"/>
          <w:highlight w:val="none"/>
        </w:rPr>
        <w:tab/>
      </w:r>
      <w:r>
        <w:rPr>
          <w:rFonts w:hint="eastAsia" w:ascii="宋体" w:hAnsi="宋体"/>
          <w:color w:val="auto"/>
          <w:sz w:val="22"/>
          <w:szCs w:val="22"/>
          <w:highlight w:val="none"/>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 xml:space="preserve">2. </w:t>
      </w:r>
      <w:r>
        <w:rPr>
          <w:rFonts w:hint="eastAsia" w:ascii="宋体" w:hAnsi="宋体"/>
          <w:color w:val="auto"/>
          <w:sz w:val="22"/>
          <w:szCs w:val="22"/>
          <w:highlight w:val="none"/>
        </w:rPr>
        <w:tab/>
      </w:r>
      <w:r>
        <w:rPr>
          <w:rFonts w:hint="eastAsia" w:ascii="宋体" w:hAnsi="宋体"/>
          <w:color w:val="auto"/>
          <w:sz w:val="22"/>
          <w:szCs w:val="22"/>
          <w:highlight w:val="none"/>
        </w:rPr>
        <w:t>施工组织设计除采用文字表述外可附下列图表，图表及格式要求附后。</w:t>
      </w:r>
    </w:p>
    <w:p>
      <w:pPr>
        <w:tabs>
          <w:tab w:val="left" w:pos="720"/>
        </w:tabs>
        <w:spacing w:line="440" w:lineRule="exact"/>
        <w:ind w:firstLine="792" w:firstLineChars="360"/>
        <w:rPr>
          <w:rFonts w:ascii="宋体" w:hAnsi="宋体"/>
          <w:color w:val="auto"/>
          <w:sz w:val="22"/>
          <w:szCs w:val="22"/>
          <w:highlight w:val="none"/>
        </w:rPr>
      </w:pPr>
      <w:r>
        <w:rPr>
          <w:rFonts w:hint="eastAsia" w:ascii="宋体" w:hAnsi="宋体"/>
          <w:color w:val="auto"/>
          <w:sz w:val="22"/>
          <w:szCs w:val="22"/>
          <w:highlight w:val="none"/>
        </w:rPr>
        <w:t>附表一  拟投入本标段的主要施工设备表</w:t>
      </w:r>
    </w:p>
    <w:p>
      <w:pPr>
        <w:tabs>
          <w:tab w:val="left" w:pos="720"/>
        </w:tabs>
        <w:spacing w:line="440" w:lineRule="exact"/>
        <w:ind w:firstLine="792" w:firstLineChars="360"/>
        <w:rPr>
          <w:rFonts w:ascii="宋体" w:hAnsi="宋体"/>
          <w:color w:val="auto"/>
          <w:sz w:val="22"/>
          <w:szCs w:val="22"/>
          <w:highlight w:val="none"/>
        </w:rPr>
      </w:pPr>
      <w:r>
        <w:rPr>
          <w:rFonts w:hint="eastAsia" w:ascii="宋体" w:hAnsi="宋体"/>
          <w:color w:val="auto"/>
          <w:sz w:val="22"/>
          <w:szCs w:val="22"/>
          <w:highlight w:val="none"/>
        </w:rPr>
        <w:t>附表二  拟配备本标段的试验和检测仪器设备表</w:t>
      </w:r>
    </w:p>
    <w:p>
      <w:pPr>
        <w:tabs>
          <w:tab w:val="left" w:pos="720"/>
        </w:tabs>
        <w:spacing w:line="440" w:lineRule="exact"/>
        <w:ind w:firstLine="792" w:firstLineChars="360"/>
        <w:rPr>
          <w:rFonts w:ascii="宋体" w:hAnsi="宋体"/>
          <w:color w:val="auto"/>
          <w:sz w:val="22"/>
          <w:szCs w:val="22"/>
          <w:highlight w:val="none"/>
        </w:rPr>
      </w:pPr>
      <w:r>
        <w:rPr>
          <w:rFonts w:hint="eastAsia" w:ascii="宋体" w:hAnsi="宋体"/>
          <w:color w:val="auto"/>
          <w:sz w:val="22"/>
          <w:szCs w:val="22"/>
          <w:highlight w:val="none"/>
        </w:rPr>
        <w:t>附表三  劳动力计划表</w:t>
      </w:r>
    </w:p>
    <w:p>
      <w:pPr>
        <w:tabs>
          <w:tab w:val="left" w:pos="720"/>
        </w:tabs>
        <w:spacing w:line="440" w:lineRule="exact"/>
        <w:ind w:firstLine="792" w:firstLineChars="360"/>
        <w:rPr>
          <w:rFonts w:ascii="宋体" w:hAnsi="宋体"/>
          <w:color w:val="auto"/>
          <w:sz w:val="22"/>
          <w:szCs w:val="22"/>
          <w:highlight w:val="none"/>
        </w:rPr>
      </w:pPr>
      <w:r>
        <w:rPr>
          <w:rFonts w:hint="eastAsia" w:ascii="宋体" w:hAnsi="宋体"/>
          <w:color w:val="auto"/>
          <w:sz w:val="22"/>
          <w:szCs w:val="22"/>
          <w:highlight w:val="none"/>
        </w:rPr>
        <w:t>附表四  计划开、竣工日期和施工进度网络图</w:t>
      </w:r>
    </w:p>
    <w:p>
      <w:pPr>
        <w:tabs>
          <w:tab w:val="left" w:pos="720"/>
        </w:tabs>
        <w:spacing w:line="440" w:lineRule="exact"/>
        <w:ind w:firstLine="792" w:firstLineChars="360"/>
        <w:rPr>
          <w:rFonts w:ascii="宋体" w:hAnsi="宋体"/>
          <w:color w:val="auto"/>
          <w:sz w:val="22"/>
          <w:szCs w:val="22"/>
          <w:highlight w:val="none"/>
        </w:rPr>
      </w:pPr>
      <w:r>
        <w:rPr>
          <w:rFonts w:hint="eastAsia" w:ascii="宋体" w:hAnsi="宋体"/>
          <w:color w:val="auto"/>
          <w:sz w:val="22"/>
          <w:szCs w:val="22"/>
          <w:highlight w:val="none"/>
        </w:rPr>
        <w:t>附表五  施工总平面图</w:t>
      </w:r>
    </w:p>
    <w:p>
      <w:pPr>
        <w:widowControl/>
        <w:jc w:val="left"/>
        <w:rPr>
          <w:rFonts w:ascii="宋体" w:hAnsi="宋体" w:cs="宋体"/>
          <w:b/>
          <w:color w:val="auto"/>
          <w:sz w:val="32"/>
          <w:szCs w:val="32"/>
          <w:highlight w:val="none"/>
        </w:rPr>
      </w:pPr>
      <w:r>
        <w:rPr>
          <w:rFonts w:ascii="宋体" w:hAnsi="宋体" w:cs="宋体"/>
          <w:b/>
          <w:color w:val="auto"/>
          <w:sz w:val="32"/>
          <w:szCs w:val="32"/>
          <w:highlight w:val="none"/>
        </w:rPr>
        <w:br w:type="page"/>
      </w:r>
    </w:p>
    <w:p>
      <w:pPr>
        <w:pStyle w:val="85"/>
        <w:rPr>
          <w:rFonts w:ascii="宋体" w:hAnsi="宋体" w:eastAsia="宋体"/>
          <w:color w:val="auto"/>
          <w:szCs w:val="23"/>
          <w:highlight w:val="none"/>
        </w:rPr>
      </w:pPr>
      <w:bookmarkStart w:id="111" w:name="_Toc152042586"/>
      <w:bookmarkStart w:id="112" w:name="_Toc144974865"/>
      <w:bookmarkStart w:id="113" w:name="_Toc152045797"/>
      <w:bookmarkStart w:id="114" w:name="_Toc179632817"/>
      <w:bookmarkStart w:id="115" w:name="_Toc11710"/>
      <w:bookmarkStart w:id="116" w:name="_Toc246392155"/>
      <w:r>
        <w:rPr>
          <w:rFonts w:hint="eastAsia" w:ascii="宋体" w:hAnsi="宋体" w:eastAsia="宋体"/>
          <w:color w:val="auto"/>
          <w:highlight w:val="none"/>
        </w:rPr>
        <w:t>附表一：</w:t>
      </w:r>
      <w:r>
        <w:rPr>
          <w:rFonts w:hint="eastAsia" w:ascii="宋体" w:hAnsi="宋体" w:eastAsia="宋体"/>
          <w:color w:val="auto"/>
          <w:szCs w:val="23"/>
          <w:highlight w:val="none"/>
        </w:rPr>
        <w:t>拟投入本标段的主要施工设备表</w:t>
      </w:r>
      <w:bookmarkEnd w:id="111"/>
      <w:bookmarkEnd w:id="112"/>
      <w:bookmarkEnd w:id="113"/>
      <w:bookmarkEnd w:id="114"/>
      <w:bookmarkEnd w:id="115"/>
      <w:bookmarkEnd w:id="116"/>
    </w:p>
    <w:p>
      <w:pPr>
        <w:spacing w:line="440" w:lineRule="exact"/>
        <w:rPr>
          <w:rFonts w:ascii="宋体" w:hAnsi="宋体"/>
          <w:color w:val="auto"/>
          <w:sz w:val="20"/>
          <w:szCs w:val="20"/>
          <w:highlight w:val="none"/>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序号</w:t>
            </w:r>
          </w:p>
        </w:tc>
        <w:tc>
          <w:tcPr>
            <w:tcW w:w="1183"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设备名称</w:t>
            </w:r>
          </w:p>
        </w:tc>
        <w:tc>
          <w:tcPr>
            <w:tcW w:w="908"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型号</w:t>
            </w:r>
          </w:p>
          <w:p>
            <w:pPr>
              <w:spacing w:line="440" w:lineRule="exact"/>
              <w:jc w:val="center"/>
              <w:rPr>
                <w:rFonts w:ascii="宋体" w:hAnsi="宋体"/>
                <w:color w:val="auto"/>
                <w:szCs w:val="21"/>
                <w:highlight w:val="none"/>
              </w:rPr>
            </w:pPr>
            <w:r>
              <w:rPr>
                <w:rFonts w:hint="eastAsia" w:ascii="宋体" w:hAnsi="宋体"/>
                <w:color w:val="auto"/>
                <w:szCs w:val="21"/>
                <w:highlight w:val="none"/>
              </w:rPr>
              <w:t>规格</w:t>
            </w:r>
          </w:p>
        </w:tc>
        <w:tc>
          <w:tcPr>
            <w:tcW w:w="880"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数量</w:t>
            </w:r>
          </w:p>
        </w:tc>
        <w:tc>
          <w:tcPr>
            <w:tcW w:w="802"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国别</w:t>
            </w:r>
          </w:p>
          <w:p>
            <w:pPr>
              <w:spacing w:line="440" w:lineRule="exact"/>
              <w:jc w:val="center"/>
              <w:rPr>
                <w:rFonts w:ascii="宋体" w:hAnsi="宋体"/>
                <w:color w:val="auto"/>
                <w:szCs w:val="21"/>
                <w:highlight w:val="none"/>
              </w:rPr>
            </w:pPr>
            <w:r>
              <w:rPr>
                <w:rFonts w:hint="eastAsia" w:ascii="宋体" w:hAnsi="宋体"/>
                <w:color w:val="auto"/>
                <w:szCs w:val="21"/>
                <w:highlight w:val="none"/>
              </w:rPr>
              <w:t>产地</w:t>
            </w:r>
          </w:p>
        </w:tc>
        <w:tc>
          <w:tcPr>
            <w:tcW w:w="879"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制造</w:t>
            </w:r>
          </w:p>
          <w:p>
            <w:pPr>
              <w:spacing w:line="440" w:lineRule="exact"/>
              <w:jc w:val="center"/>
              <w:rPr>
                <w:rFonts w:ascii="宋体" w:hAnsi="宋体"/>
                <w:color w:val="auto"/>
                <w:szCs w:val="21"/>
                <w:highlight w:val="none"/>
              </w:rPr>
            </w:pPr>
            <w:r>
              <w:rPr>
                <w:rFonts w:hint="eastAsia" w:ascii="宋体" w:hAnsi="宋体"/>
                <w:color w:val="auto"/>
                <w:szCs w:val="21"/>
                <w:highlight w:val="none"/>
              </w:rPr>
              <w:t>年份</w:t>
            </w:r>
          </w:p>
        </w:tc>
        <w:tc>
          <w:tcPr>
            <w:tcW w:w="903"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额定功率（KW）</w:t>
            </w:r>
          </w:p>
        </w:tc>
        <w:tc>
          <w:tcPr>
            <w:tcW w:w="1043"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生产</w:t>
            </w:r>
          </w:p>
          <w:p>
            <w:pPr>
              <w:spacing w:line="440" w:lineRule="exact"/>
              <w:jc w:val="center"/>
              <w:rPr>
                <w:rFonts w:ascii="宋体" w:hAnsi="宋体"/>
                <w:color w:val="auto"/>
                <w:szCs w:val="21"/>
                <w:highlight w:val="none"/>
              </w:rPr>
            </w:pPr>
            <w:r>
              <w:rPr>
                <w:rFonts w:hint="eastAsia" w:ascii="宋体" w:hAnsi="宋体"/>
                <w:color w:val="auto"/>
                <w:szCs w:val="21"/>
                <w:highlight w:val="none"/>
              </w:rPr>
              <w:t>能力</w:t>
            </w:r>
          </w:p>
        </w:tc>
        <w:tc>
          <w:tcPr>
            <w:tcW w:w="940"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用于施工部位</w:t>
            </w:r>
          </w:p>
        </w:tc>
        <w:tc>
          <w:tcPr>
            <w:tcW w:w="656"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color w:val="auto"/>
                <w:szCs w:val="21"/>
                <w:highlight w:val="none"/>
              </w:rPr>
            </w:pPr>
          </w:p>
        </w:tc>
        <w:tc>
          <w:tcPr>
            <w:tcW w:w="1183" w:type="dxa"/>
            <w:vAlign w:val="center"/>
          </w:tcPr>
          <w:p>
            <w:pPr>
              <w:spacing w:line="440" w:lineRule="exact"/>
              <w:jc w:val="center"/>
              <w:rPr>
                <w:rFonts w:ascii="宋体" w:hAnsi="宋体"/>
                <w:color w:val="auto"/>
                <w:szCs w:val="21"/>
                <w:highlight w:val="none"/>
              </w:rPr>
            </w:pPr>
          </w:p>
        </w:tc>
        <w:tc>
          <w:tcPr>
            <w:tcW w:w="908" w:type="dxa"/>
            <w:vAlign w:val="center"/>
          </w:tcPr>
          <w:p>
            <w:pPr>
              <w:spacing w:line="440" w:lineRule="exact"/>
              <w:jc w:val="center"/>
              <w:rPr>
                <w:rFonts w:ascii="宋体" w:hAnsi="宋体"/>
                <w:color w:val="auto"/>
                <w:szCs w:val="21"/>
                <w:highlight w:val="none"/>
              </w:rPr>
            </w:pPr>
          </w:p>
        </w:tc>
        <w:tc>
          <w:tcPr>
            <w:tcW w:w="880" w:type="dxa"/>
            <w:vAlign w:val="center"/>
          </w:tcPr>
          <w:p>
            <w:pPr>
              <w:spacing w:line="440" w:lineRule="exact"/>
              <w:jc w:val="center"/>
              <w:rPr>
                <w:rFonts w:ascii="宋体" w:hAnsi="宋体"/>
                <w:color w:val="auto"/>
                <w:szCs w:val="21"/>
                <w:highlight w:val="none"/>
              </w:rPr>
            </w:pPr>
          </w:p>
        </w:tc>
        <w:tc>
          <w:tcPr>
            <w:tcW w:w="802" w:type="dxa"/>
            <w:vAlign w:val="center"/>
          </w:tcPr>
          <w:p>
            <w:pPr>
              <w:spacing w:line="440" w:lineRule="exact"/>
              <w:jc w:val="center"/>
              <w:rPr>
                <w:rFonts w:ascii="宋体" w:hAnsi="宋体"/>
                <w:color w:val="auto"/>
                <w:szCs w:val="21"/>
                <w:highlight w:val="none"/>
              </w:rPr>
            </w:pPr>
          </w:p>
        </w:tc>
        <w:tc>
          <w:tcPr>
            <w:tcW w:w="879" w:type="dxa"/>
            <w:vAlign w:val="center"/>
          </w:tcPr>
          <w:p>
            <w:pPr>
              <w:spacing w:line="440" w:lineRule="exact"/>
              <w:jc w:val="center"/>
              <w:rPr>
                <w:rFonts w:ascii="宋体" w:hAnsi="宋体"/>
                <w:color w:val="auto"/>
                <w:szCs w:val="21"/>
                <w:highlight w:val="none"/>
              </w:rPr>
            </w:pPr>
          </w:p>
        </w:tc>
        <w:tc>
          <w:tcPr>
            <w:tcW w:w="903" w:type="dxa"/>
            <w:vAlign w:val="center"/>
          </w:tcPr>
          <w:p>
            <w:pPr>
              <w:spacing w:line="440" w:lineRule="exact"/>
              <w:jc w:val="center"/>
              <w:rPr>
                <w:rFonts w:ascii="宋体" w:hAnsi="宋体"/>
                <w:color w:val="auto"/>
                <w:szCs w:val="21"/>
                <w:highlight w:val="none"/>
              </w:rPr>
            </w:pPr>
          </w:p>
        </w:tc>
        <w:tc>
          <w:tcPr>
            <w:tcW w:w="1043" w:type="dxa"/>
            <w:vAlign w:val="center"/>
          </w:tcPr>
          <w:p>
            <w:pPr>
              <w:spacing w:line="440" w:lineRule="exact"/>
              <w:jc w:val="center"/>
              <w:rPr>
                <w:rFonts w:ascii="宋体" w:hAnsi="宋体"/>
                <w:color w:val="auto"/>
                <w:szCs w:val="21"/>
                <w:highlight w:val="none"/>
              </w:rPr>
            </w:pPr>
          </w:p>
        </w:tc>
        <w:tc>
          <w:tcPr>
            <w:tcW w:w="940" w:type="dxa"/>
            <w:vAlign w:val="center"/>
          </w:tcPr>
          <w:p>
            <w:pPr>
              <w:spacing w:line="440" w:lineRule="exact"/>
              <w:jc w:val="center"/>
              <w:rPr>
                <w:rFonts w:ascii="宋体" w:hAnsi="宋体"/>
                <w:color w:val="auto"/>
                <w:szCs w:val="21"/>
                <w:highlight w:val="none"/>
              </w:rPr>
            </w:pPr>
          </w:p>
        </w:tc>
        <w:tc>
          <w:tcPr>
            <w:tcW w:w="656"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color w:val="auto"/>
                <w:szCs w:val="21"/>
                <w:highlight w:val="none"/>
              </w:rPr>
            </w:pPr>
          </w:p>
        </w:tc>
        <w:tc>
          <w:tcPr>
            <w:tcW w:w="1183" w:type="dxa"/>
            <w:vAlign w:val="center"/>
          </w:tcPr>
          <w:p>
            <w:pPr>
              <w:spacing w:line="440" w:lineRule="exact"/>
              <w:jc w:val="center"/>
              <w:rPr>
                <w:rFonts w:ascii="宋体" w:hAnsi="宋体"/>
                <w:color w:val="auto"/>
                <w:szCs w:val="21"/>
                <w:highlight w:val="none"/>
              </w:rPr>
            </w:pPr>
          </w:p>
        </w:tc>
        <w:tc>
          <w:tcPr>
            <w:tcW w:w="908" w:type="dxa"/>
            <w:vAlign w:val="center"/>
          </w:tcPr>
          <w:p>
            <w:pPr>
              <w:spacing w:line="440" w:lineRule="exact"/>
              <w:jc w:val="center"/>
              <w:rPr>
                <w:rFonts w:ascii="宋体" w:hAnsi="宋体"/>
                <w:color w:val="auto"/>
                <w:szCs w:val="21"/>
                <w:highlight w:val="none"/>
              </w:rPr>
            </w:pPr>
          </w:p>
        </w:tc>
        <w:tc>
          <w:tcPr>
            <w:tcW w:w="880" w:type="dxa"/>
            <w:vAlign w:val="center"/>
          </w:tcPr>
          <w:p>
            <w:pPr>
              <w:spacing w:line="440" w:lineRule="exact"/>
              <w:jc w:val="center"/>
              <w:rPr>
                <w:rFonts w:ascii="宋体" w:hAnsi="宋体"/>
                <w:color w:val="auto"/>
                <w:szCs w:val="21"/>
                <w:highlight w:val="none"/>
              </w:rPr>
            </w:pPr>
          </w:p>
        </w:tc>
        <w:tc>
          <w:tcPr>
            <w:tcW w:w="802" w:type="dxa"/>
            <w:vAlign w:val="center"/>
          </w:tcPr>
          <w:p>
            <w:pPr>
              <w:spacing w:line="440" w:lineRule="exact"/>
              <w:jc w:val="center"/>
              <w:rPr>
                <w:rFonts w:ascii="宋体" w:hAnsi="宋体"/>
                <w:color w:val="auto"/>
                <w:szCs w:val="21"/>
                <w:highlight w:val="none"/>
              </w:rPr>
            </w:pPr>
          </w:p>
        </w:tc>
        <w:tc>
          <w:tcPr>
            <w:tcW w:w="879" w:type="dxa"/>
            <w:vAlign w:val="center"/>
          </w:tcPr>
          <w:p>
            <w:pPr>
              <w:spacing w:line="440" w:lineRule="exact"/>
              <w:jc w:val="center"/>
              <w:rPr>
                <w:rFonts w:ascii="宋体" w:hAnsi="宋体"/>
                <w:color w:val="auto"/>
                <w:szCs w:val="21"/>
                <w:highlight w:val="none"/>
              </w:rPr>
            </w:pPr>
          </w:p>
        </w:tc>
        <w:tc>
          <w:tcPr>
            <w:tcW w:w="903" w:type="dxa"/>
            <w:vAlign w:val="center"/>
          </w:tcPr>
          <w:p>
            <w:pPr>
              <w:spacing w:line="440" w:lineRule="exact"/>
              <w:jc w:val="center"/>
              <w:rPr>
                <w:rFonts w:ascii="宋体" w:hAnsi="宋体"/>
                <w:color w:val="auto"/>
                <w:szCs w:val="21"/>
                <w:highlight w:val="none"/>
              </w:rPr>
            </w:pPr>
          </w:p>
        </w:tc>
        <w:tc>
          <w:tcPr>
            <w:tcW w:w="1043" w:type="dxa"/>
            <w:vAlign w:val="center"/>
          </w:tcPr>
          <w:p>
            <w:pPr>
              <w:spacing w:line="440" w:lineRule="exact"/>
              <w:jc w:val="center"/>
              <w:rPr>
                <w:rFonts w:ascii="宋体" w:hAnsi="宋体"/>
                <w:color w:val="auto"/>
                <w:szCs w:val="21"/>
                <w:highlight w:val="none"/>
              </w:rPr>
            </w:pPr>
          </w:p>
        </w:tc>
        <w:tc>
          <w:tcPr>
            <w:tcW w:w="940" w:type="dxa"/>
            <w:vAlign w:val="center"/>
          </w:tcPr>
          <w:p>
            <w:pPr>
              <w:spacing w:line="440" w:lineRule="exact"/>
              <w:jc w:val="center"/>
              <w:rPr>
                <w:rFonts w:ascii="宋体" w:hAnsi="宋体"/>
                <w:color w:val="auto"/>
                <w:szCs w:val="21"/>
                <w:highlight w:val="none"/>
              </w:rPr>
            </w:pPr>
          </w:p>
        </w:tc>
        <w:tc>
          <w:tcPr>
            <w:tcW w:w="656"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top"/>
          </w:tcPr>
          <w:p>
            <w:pPr>
              <w:spacing w:line="440" w:lineRule="exact"/>
              <w:jc w:val="center"/>
              <w:rPr>
                <w:rFonts w:ascii="宋体" w:hAnsi="宋体"/>
                <w:color w:val="auto"/>
                <w:szCs w:val="21"/>
                <w:highlight w:val="none"/>
              </w:rPr>
            </w:pPr>
          </w:p>
        </w:tc>
        <w:tc>
          <w:tcPr>
            <w:tcW w:w="1183" w:type="dxa"/>
            <w:vAlign w:val="top"/>
          </w:tcPr>
          <w:p>
            <w:pPr>
              <w:spacing w:line="440" w:lineRule="exact"/>
              <w:jc w:val="center"/>
              <w:rPr>
                <w:rFonts w:ascii="宋体" w:hAnsi="宋体"/>
                <w:color w:val="auto"/>
                <w:szCs w:val="21"/>
                <w:highlight w:val="none"/>
              </w:rPr>
            </w:pPr>
          </w:p>
        </w:tc>
        <w:tc>
          <w:tcPr>
            <w:tcW w:w="908" w:type="dxa"/>
            <w:vAlign w:val="top"/>
          </w:tcPr>
          <w:p>
            <w:pPr>
              <w:spacing w:line="440" w:lineRule="exact"/>
              <w:jc w:val="center"/>
              <w:rPr>
                <w:rFonts w:ascii="宋体" w:hAnsi="宋体"/>
                <w:color w:val="auto"/>
                <w:szCs w:val="21"/>
                <w:highlight w:val="none"/>
              </w:rPr>
            </w:pPr>
          </w:p>
        </w:tc>
        <w:tc>
          <w:tcPr>
            <w:tcW w:w="880" w:type="dxa"/>
            <w:vAlign w:val="top"/>
          </w:tcPr>
          <w:p>
            <w:pPr>
              <w:spacing w:line="440" w:lineRule="exact"/>
              <w:jc w:val="center"/>
              <w:rPr>
                <w:rFonts w:ascii="宋体" w:hAnsi="宋体"/>
                <w:color w:val="auto"/>
                <w:szCs w:val="21"/>
                <w:highlight w:val="none"/>
              </w:rPr>
            </w:pPr>
          </w:p>
        </w:tc>
        <w:tc>
          <w:tcPr>
            <w:tcW w:w="802" w:type="dxa"/>
            <w:vAlign w:val="top"/>
          </w:tcPr>
          <w:p>
            <w:pPr>
              <w:spacing w:line="440" w:lineRule="exact"/>
              <w:jc w:val="center"/>
              <w:rPr>
                <w:rFonts w:ascii="宋体" w:hAnsi="宋体"/>
                <w:color w:val="auto"/>
                <w:szCs w:val="21"/>
                <w:highlight w:val="none"/>
              </w:rPr>
            </w:pPr>
          </w:p>
        </w:tc>
        <w:tc>
          <w:tcPr>
            <w:tcW w:w="879" w:type="dxa"/>
            <w:vAlign w:val="top"/>
          </w:tcPr>
          <w:p>
            <w:pPr>
              <w:spacing w:line="440" w:lineRule="exact"/>
              <w:jc w:val="center"/>
              <w:rPr>
                <w:rFonts w:ascii="宋体" w:hAnsi="宋体"/>
                <w:color w:val="auto"/>
                <w:szCs w:val="21"/>
                <w:highlight w:val="none"/>
              </w:rPr>
            </w:pPr>
          </w:p>
        </w:tc>
        <w:tc>
          <w:tcPr>
            <w:tcW w:w="903" w:type="dxa"/>
            <w:vAlign w:val="top"/>
          </w:tcPr>
          <w:p>
            <w:pPr>
              <w:spacing w:line="440" w:lineRule="exact"/>
              <w:jc w:val="center"/>
              <w:rPr>
                <w:rFonts w:ascii="宋体" w:hAnsi="宋体"/>
                <w:color w:val="auto"/>
                <w:szCs w:val="21"/>
                <w:highlight w:val="none"/>
              </w:rPr>
            </w:pPr>
          </w:p>
        </w:tc>
        <w:tc>
          <w:tcPr>
            <w:tcW w:w="1043" w:type="dxa"/>
            <w:vAlign w:val="top"/>
          </w:tcPr>
          <w:p>
            <w:pPr>
              <w:spacing w:line="440" w:lineRule="exact"/>
              <w:jc w:val="center"/>
              <w:rPr>
                <w:rFonts w:ascii="宋体" w:hAnsi="宋体"/>
                <w:color w:val="auto"/>
                <w:szCs w:val="21"/>
                <w:highlight w:val="none"/>
              </w:rPr>
            </w:pPr>
          </w:p>
        </w:tc>
        <w:tc>
          <w:tcPr>
            <w:tcW w:w="940" w:type="dxa"/>
            <w:vAlign w:val="top"/>
          </w:tcPr>
          <w:p>
            <w:pPr>
              <w:spacing w:line="440" w:lineRule="exact"/>
              <w:jc w:val="center"/>
              <w:rPr>
                <w:rFonts w:ascii="宋体" w:hAnsi="宋体"/>
                <w:color w:val="auto"/>
                <w:szCs w:val="21"/>
                <w:highlight w:val="none"/>
              </w:rPr>
            </w:pPr>
          </w:p>
        </w:tc>
        <w:tc>
          <w:tcPr>
            <w:tcW w:w="656" w:type="dxa"/>
            <w:vAlign w:val="top"/>
          </w:tcPr>
          <w:p>
            <w:pPr>
              <w:spacing w:line="440" w:lineRule="exact"/>
              <w:jc w:val="center"/>
              <w:rPr>
                <w:rFonts w:ascii="宋体" w:hAnsi="宋体"/>
                <w:color w:val="auto"/>
                <w:szCs w:val="21"/>
                <w:highlight w:val="none"/>
              </w:rPr>
            </w:pPr>
          </w:p>
        </w:tc>
      </w:tr>
    </w:tbl>
    <w:p>
      <w:pPr>
        <w:spacing w:line="440" w:lineRule="exact"/>
        <w:rPr>
          <w:rFonts w:ascii="宋体" w:hAnsi="宋体"/>
          <w:color w:val="auto"/>
          <w:sz w:val="20"/>
          <w:szCs w:val="20"/>
          <w:highlight w:val="none"/>
        </w:rPr>
      </w:pPr>
    </w:p>
    <w:p>
      <w:pPr>
        <w:spacing w:line="440" w:lineRule="exact"/>
        <w:rPr>
          <w:rFonts w:ascii="宋体" w:hAnsi="宋体"/>
          <w:color w:val="auto"/>
          <w:sz w:val="20"/>
          <w:szCs w:val="20"/>
          <w:highlight w:val="none"/>
        </w:rPr>
      </w:pPr>
      <w:r>
        <w:rPr>
          <w:rFonts w:hint="eastAsia" w:ascii="宋体" w:hAnsi="宋体"/>
          <w:color w:val="auto"/>
          <w:sz w:val="20"/>
          <w:szCs w:val="20"/>
          <w:highlight w:val="none"/>
        </w:rPr>
        <w:br w:type="page"/>
      </w:r>
    </w:p>
    <w:p>
      <w:pPr>
        <w:pStyle w:val="85"/>
        <w:rPr>
          <w:rFonts w:ascii="宋体" w:hAnsi="宋体" w:eastAsia="宋体"/>
          <w:color w:val="auto"/>
          <w:highlight w:val="none"/>
        </w:rPr>
      </w:pPr>
      <w:bookmarkStart w:id="117" w:name="_Toc152042587"/>
      <w:bookmarkStart w:id="118" w:name="_Toc4957"/>
      <w:bookmarkStart w:id="119" w:name="_Toc144974866"/>
      <w:bookmarkStart w:id="120" w:name="_Toc179632818"/>
      <w:bookmarkStart w:id="121" w:name="_Toc152045798"/>
      <w:bookmarkStart w:id="122" w:name="_Toc246392156"/>
      <w:r>
        <w:rPr>
          <w:rFonts w:hint="eastAsia" w:ascii="宋体" w:hAnsi="宋体" w:eastAsia="宋体"/>
          <w:color w:val="auto"/>
          <w:highlight w:val="none"/>
        </w:rPr>
        <w:t>附表二：拟配备本标段的试验和检测仪器设备表</w:t>
      </w:r>
      <w:bookmarkEnd w:id="117"/>
      <w:bookmarkEnd w:id="118"/>
      <w:bookmarkEnd w:id="119"/>
      <w:bookmarkEnd w:id="120"/>
      <w:bookmarkEnd w:id="121"/>
      <w:bookmarkEnd w:id="122"/>
    </w:p>
    <w:p>
      <w:pPr>
        <w:spacing w:line="440" w:lineRule="exact"/>
        <w:rPr>
          <w:rFonts w:ascii="宋体" w:hAnsi="宋体"/>
          <w:color w:val="auto"/>
          <w:sz w:val="20"/>
          <w:szCs w:val="20"/>
          <w:highlight w:val="none"/>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color w:val="auto"/>
                <w:szCs w:val="21"/>
                <w:highlight w:val="none"/>
              </w:rPr>
            </w:pPr>
            <w:r>
              <w:rPr>
                <w:rFonts w:hint="eastAsia" w:ascii="宋体" w:hAnsi="宋体"/>
                <w:color w:val="auto"/>
                <w:szCs w:val="21"/>
                <w:highlight w:val="none"/>
              </w:rPr>
              <w:t>序号</w:t>
            </w:r>
          </w:p>
        </w:tc>
        <w:tc>
          <w:tcPr>
            <w:tcW w:w="1307"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仪器设备名称</w:t>
            </w:r>
          </w:p>
        </w:tc>
        <w:tc>
          <w:tcPr>
            <w:tcW w:w="915"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型号</w:t>
            </w:r>
          </w:p>
          <w:p>
            <w:pPr>
              <w:spacing w:line="440" w:lineRule="exact"/>
              <w:jc w:val="center"/>
              <w:rPr>
                <w:rFonts w:ascii="宋体" w:hAnsi="宋体"/>
                <w:color w:val="auto"/>
                <w:szCs w:val="21"/>
                <w:highlight w:val="none"/>
              </w:rPr>
            </w:pPr>
            <w:r>
              <w:rPr>
                <w:rFonts w:hint="eastAsia" w:ascii="宋体" w:hAnsi="宋体"/>
                <w:color w:val="auto"/>
                <w:szCs w:val="21"/>
                <w:highlight w:val="none"/>
              </w:rPr>
              <w:t>规格</w:t>
            </w:r>
          </w:p>
        </w:tc>
        <w:tc>
          <w:tcPr>
            <w:tcW w:w="739"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数量</w:t>
            </w:r>
          </w:p>
        </w:tc>
        <w:tc>
          <w:tcPr>
            <w:tcW w:w="809"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国别</w:t>
            </w:r>
          </w:p>
          <w:p>
            <w:pPr>
              <w:spacing w:line="440" w:lineRule="exact"/>
              <w:jc w:val="center"/>
              <w:rPr>
                <w:rFonts w:ascii="宋体" w:hAnsi="宋体"/>
                <w:color w:val="auto"/>
                <w:szCs w:val="21"/>
                <w:highlight w:val="none"/>
              </w:rPr>
            </w:pPr>
            <w:r>
              <w:rPr>
                <w:rFonts w:hint="eastAsia" w:ascii="宋体" w:hAnsi="宋体"/>
                <w:color w:val="auto"/>
                <w:szCs w:val="21"/>
                <w:highlight w:val="none"/>
              </w:rPr>
              <w:t>产地</w:t>
            </w:r>
          </w:p>
        </w:tc>
        <w:tc>
          <w:tcPr>
            <w:tcW w:w="888"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制造</w:t>
            </w:r>
          </w:p>
          <w:p>
            <w:pPr>
              <w:spacing w:line="440" w:lineRule="exact"/>
              <w:jc w:val="center"/>
              <w:rPr>
                <w:rFonts w:ascii="宋体" w:hAnsi="宋体"/>
                <w:color w:val="auto"/>
                <w:szCs w:val="21"/>
                <w:highlight w:val="none"/>
              </w:rPr>
            </w:pPr>
            <w:r>
              <w:rPr>
                <w:rFonts w:hint="eastAsia" w:ascii="宋体" w:hAnsi="宋体"/>
                <w:color w:val="auto"/>
                <w:szCs w:val="21"/>
                <w:highlight w:val="none"/>
              </w:rPr>
              <w:t>年份</w:t>
            </w:r>
          </w:p>
        </w:tc>
        <w:tc>
          <w:tcPr>
            <w:tcW w:w="1458"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已使用台时数</w:t>
            </w:r>
          </w:p>
        </w:tc>
        <w:tc>
          <w:tcPr>
            <w:tcW w:w="1111"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用途</w:t>
            </w:r>
          </w:p>
        </w:tc>
        <w:tc>
          <w:tcPr>
            <w:tcW w:w="827"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color w:val="auto"/>
                <w:szCs w:val="21"/>
                <w:highlight w:val="none"/>
              </w:rPr>
            </w:pPr>
          </w:p>
        </w:tc>
        <w:tc>
          <w:tcPr>
            <w:tcW w:w="1307" w:type="dxa"/>
            <w:vAlign w:val="center"/>
          </w:tcPr>
          <w:p>
            <w:pPr>
              <w:spacing w:line="440" w:lineRule="exact"/>
              <w:jc w:val="center"/>
              <w:rPr>
                <w:rFonts w:ascii="宋体" w:hAnsi="宋体"/>
                <w:color w:val="auto"/>
                <w:szCs w:val="21"/>
                <w:highlight w:val="none"/>
              </w:rPr>
            </w:pPr>
          </w:p>
        </w:tc>
        <w:tc>
          <w:tcPr>
            <w:tcW w:w="915" w:type="dxa"/>
            <w:vAlign w:val="center"/>
          </w:tcPr>
          <w:p>
            <w:pPr>
              <w:spacing w:line="440" w:lineRule="exact"/>
              <w:jc w:val="center"/>
              <w:rPr>
                <w:rFonts w:ascii="宋体" w:hAnsi="宋体"/>
                <w:color w:val="auto"/>
                <w:szCs w:val="21"/>
                <w:highlight w:val="none"/>
              </w:rPr>
            </w:pPr>
          </w:p>
        </w:tc>
        <w:tc>
          <w:tcPr>
            <w:tcW w:w="739" w:type="dxa"/>
            <w:vAlign w:val="center"/>
          </w:tcPr>
          <w:p>
            <w:pPr>
              <w:spacing w:line="440" w:lineRule="exact"/>
              <w:jc w:val="center"/>
              <w:rPr>
                <w:rFonts w:ascii="宋体" w:hAnsi="宋体"/>
                <w:color w:val="auto"/>
                <w:szCs w:val="21"/>
                <w:highlight w:val="none"/>
              </w:rPr>
            </w:pPr>
          </w:p>
        </w:tc>
        <w:tc>
          <w:tcPr>
            <w:tcW w:w="809" w:type="dxa"/>
            <w:vAlign w:val="center"/>
          </w:tcPr>
          <w:p>
            <w:pPr>
              <w:spacing w:line="440" w:lineRule="exact"/>
              <w:jc w:val="center"/>
              <w:rPr>
                <w:rFonts w:ascii="宋体" w:hAnsi="宋体"/>
                <w:color w:val="auto"/>
                <w:szCs w:val="21"/>
                <w:highlight w:val="none"/>
              </w:rPr>
            </w:pPr>
          </w:p>
        </w:tc>
        <w:tc>
          <w:tcPr>
            <w:tcW w:w="888" w:type="dxa"/>
            <w:vAlign w:val="center"/>
          </w:tcPr>
          <w:p>
            <w:pPr>
              <w:spacing w:line="440" w:lineRule="exact"/>
              <w:jc w:val="center"/>
              <w:rPr>
                <w:rFonts w:ascii="宋体" w:hAnsi="宋体"/>
                <w:color w:val="auto"/>
                <w:szCs w:val="21"/>
                <w:highlight w:val="none"/>
              </w:rPr>
            </w:pPr>
          </w:p>
        </w:tc>
        <w:tc>
          <w:tcPr>
            <w:tcW w:w="1458" w:type="dxa"/>
            <w:vAlign w:val="center"/>
          </w:tcPr>
          <w:p>
            <w:pPr>
              <w:spacing w:line="440" w:lineRule="exact"/>
              <w:jc w:val="center"/>
              <w:rPr>
                <w:rFonts w:ascii="宋体" w:hAnsi="宋体"/>
                <w:color w:val="auto"/>
                <w:szCs w:val="21"/>
                <w:highlight w:val="none"/>
              </w:rPr>
            </w:pPr>
          </w:p>
        </w:tc>
        <w:tc>
          <w:tcPr>
            <w:tcW w:w="1111" w:type="dxa"/>
            <w:vAlign w:val="center"/>
          </w:tcPr>
          <w:p>
            <w:pPr>
              <w:spacing w:line="440" w:lineRule="exact"/>
              <w:jc w:val="center"/>
              <w:rPr>
                <w:rFonts w:ascii="宋体" w:hAnsi="宋体"/>
                <w:color w:val="auto"/>
                <w:szCs w:val="21"/>
                <w:highlight w:val="none"/>
              </w:rPr>
            </w:pPr>
          </w:p>
        </w:tc>
        <w:tc>
          <w:tcPr>
            <w:tcW w:w="827"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color w:val="auto"/>
                <w:szCs w:val="21"/>
                <w:highlight w:val="none"/>
              </w:rPr>
            </w:pPr>
          </w:p>
        </w:tc>
        <w:tc>
          <w:tcPr>
            <w:tcW w:w="1307" w:type="dxa"/>
            <w:vAlign w:val="center"/>
          </w:tcPr>
          <w:p>
            <w:pPr>
              <w:spacing w:line="440" w:lineRule="exact"/>
              <w:jc w:val="center"/>
              <w:rPr>
                <w:rFonts w:ascii="宋体" w:hAnsi="宋体"/>
                <w:color w:val="auto"/>
                <w:szCs w:val="21"/>
                <w:highlight w:val="none"/>
              </w:rPr>
            </w:pPr>
          </w:p>
        </w:tc>
        <w:tc>
          <w:tcPr>
            <w:tcW w:w="915" w:type="dxa"/>
            <w:vAlign w:val="center"/>
          </w:tcPr>
          <w:p>
            <w:pPr>
              <w:spacing w:line="440" w:lineRule="exact"/>
              <w:jc w:val="center"/>
              <w:rPr>
                <w:rFonts w:ascii="宋体" w:hAnsi="宋体"/>
                <w:color w:val="auto"/>
                <w:szCs w:val="21"/>
                <w:highlight w:val="none"/>
              </w:rPr>
            </w:pPr>
          </w:p>
        </w:tc>
        <w:tc>
          <w:tcPr>
            <w:tcW w:w="739" w:type="dxa"/>
            <w:vAlign w:val="center"/>
          </w:tcPr>
          <w:p>
            <w:pPr>
              <w:spacing w:line="440" w:lineRule="exact"/>
              <w:jc w:val="center"/>
              <w:rPr>
                <w:rFonts w:ascii="宋体" w:hAnsi="宋体"/>
                <w:color w:val="auto"/>
                <w:szCs w:val="21"/>
                <w:highlight w:val="none"/>
              </w:rPr>
            </w:pPr>
          </w:p>
        </w:tc>
        <w:tc>
          <w:tcPr>
            <w:tcW w:w="809" w:type="dxa"/>
            <w:vAlign w:val="center"/>
          </w:tcPr>
          <w:p>
            <w:pPr>
              <w:spacing w:line="440" w:lineRule="exact"/>
              <w:jc w:val="center"/>
              <w:rPr>
                <w:rFonts w:ascii="宋体" w:hAnsi="宋体"/>
                <w:color w:val="auto"/>
                <w:szCs w:val="21"/>
                <w:highlight w:val="none"/>
              </w:rPr>
            </w:pPr>
          </w:p>
        </w:tc>
        <w:tc>
          <w:tcPr>
            <w:tcW w:w="888" w:type="dxa"/>
            <w:vAlign w:val="center"/>
          </w:tcPr>
          <w:p>
            <w:pPr>
              <w:spacing w:line="440" w:lineRule="exact"/>
              <w:jc w:val="center"/>
              <w:rPr>
                <w:rFonts w:ascii="宋体" w:hAnsi="宋体"/>
                <w:color w:val="auto"/>
                <w:szCs w:val="21"/>
                <w:highlight w:val="none"/>
              </w:rPr>
            </w:pPr>
          </w:p>
        </w:tc>
        <w:tc>
          <w:tcPr>
            <w:tcW w:w="1458" w:type="dxa"/>
            <w:vAlign w:val="center"/>
          </w:tcPr>
          <w:p>
            <w:pPr>
              <w:spacing w:line="440" w:lineRule="exact"/>
              <w:jc w:val="center"/>
              <w:rPr>
                <w:rFonts w:ascii="宋体" w:hAnsi="宋体"/>
                <w:color w:val="auto"/>
                <w:szCs w:val="21"/>
                <w:highlight w:val="none"/>
              </w:rPr>
            </w:pPr>
          </w:p>
        </w:tc>
        <w:tc>
          <w:tcPr>
            <w:tcW w:w="1111" w:type="dxa"/>
            <w:vAlign w:val="center"/>
          </w:tcPr>
          <w:p>
            <w:pPr>
              <w:spacing w:line="440" w:lineRule="exact"/>
              <w:jc w:val="center"/>
              <w:rPr>
                <w:rFonts w:ascii="宋体" w:hAnsi="宋体"/>
                <w:color w:val="auto"/>
                <w:szCs w:val="21"/>
                <w:highlight w:val="none"/>
              </w:rPr>
            </w:pPr>
          </w:p>
        </w:tc>
        <w:tc>
          <w:tcPr>
            <w:tcW w:w="827"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top"/>
          </w:tcPr>
          <w:p>
            <w:pPr>
              <w:spacing w:line="440" w:lineRule="exact"/>
              <w:jc w:val="center"/>
              <w:rPr>
                <w:rFonts w:ascii="宋体" w:hAnsi="宋体"/>
                <w:color w:val="auto"/>
                <w:szCs w:val="21"/>
                <w:highlight w:val="none"/>
              </w:rPr>
            </w:pPr>
          </w:p>
        </w:tc>
        <w:tc>
          <w:tcPr>
            <w:tcW w:w="1307" w:type="dxa"/>
            <w:vAlign w:val="top"/>
          </w:tcPr>
          <w:p>
            <w:pPr>
              <w:spacing w:line="440" w:lineRule="exact"/>
              <w:jc w:val="center"/>
              <w:rPr>
                <w:rFonts w:ascii="宋体" w:hAnsi="宋体"/>
                <w:color w:val="auto"/>
                <w:szCs w:val="21"/>
                <w:highlight w:val="none"/>
              </w:rPr>
            </w:pPr>
          </w:p>
        </w:tc>
        <w:tc>
          <w:tcPr>
            <w:tcW w:w="915" w:type="dxa"/>
            <w:vAlign w:val="top"/>
          </w:tcPr>
          <w:p>
            <w:pPr>
              <w:spacing w:line="440" w:lineRule="exact"/>
              <w:jc w:val="center"/>
              <w:rPr>
                <w:rFonts w:ascii="宋体" w:hAnsi="宋体"/>
                <w:color w:val="auto"/>
                <w:szCs w:val="21"/>
                <w:highlight w:val="none"/>
              </w:rPr>
            </w:pPr>
          </w:p>
        </w:tc>
        <w:tc>
          <w:tcPr>
            <w:tcW w:w="739" w:type="dxa"/>
            <w:vAlign w:val="top"/>
          </w:tcPr>
          <w:p>
            <w:pPr>
              <w:spacing w:line="440" w:lineRule="exact"/>
              <w:jc w:val="center"/>
              <w:rPr>
                <w:rFonts w:ascii="宋体" w:hAnsi="宋体"/>
                <w:color w:val="auto"/>
                <w:szCs w:val="21"/>
                <w:highlight w:val="none"/>
              </w:rPr>
            </w:pPr>
          </w:p>
        </w:tc>
        <w:tc>
          <w:tcPr>
            <w:tcW w:w="809" w:type="dxa"/>
            <w:vAlign w:val="top"/>
          </w:tcPr>
          <w:p>
            <w:pPr>
              <w:spacing w:line="440" w:lineRule="exact"/>
              <w:jc w:val="center"/>
              <w:rPr>
                <w:rFonts w:ascii="宋体" w:hAnsi="宋体"/>
                <w:color w:val="auto"/>
                <w:szCs w:val="21"/>
                <w:highlight w:val="none"/>
              </w:rPr>
            </w:pPr>
          </w:p>
        </w:tc>
        <w:tc>
          <w:tcPr>
            <w:tcW w:w="888" w:type="dxa"/>
            <w:vAlign w:val="top"/>
          </w:tcPr>
          <w:p>
            <w:pPr>
              <w:spacing w:line="440" w:lineRule="exact"/>
              <w:jc w:val="center"/>
              <w:rPr>
                <w:rFonts w:ascii="宋体" w:hAnsi="宋体"/>
                <w:color w:val="auto"/>
                <w:szCs w:val="21"/>
                <w:highlight w:val="none"/>
              </w:rPr>
            </w:pPr>
          </w:p>
        </w:tc>
        <w:tc>
          <w:tcPr>
            <w:tcW w:w="1458" w:type="dxa"/>
            <w:vAlign w:val="top"/>
          </w:tcPr>
          <w:p>
            <w:pPr>
              <w:spacing w:line="440" w:lineRule="exact"/>
              <w:jc w:val="center"/>
              <w:rPr>
                <w:rFonts w:ascii="宋体" w:hAnsi="宋体"/>
                <w:color w:val="auto"/>
                <w:szCs w:val="21"/>
                <w:highlight w:val="none"/>
              </w:rPr>
            </w:pPr>
          </w:p>
        </w:tc>
        <w:tc>
          <w:tcPr>
            <w:tcW w:w="1111" w:type="dxa"/>
            <w:vAlign w:val="top"/>
          </w:tcPr>
          <w:p>
            <w:pPr>
              <w:spacing w:line="440" w:lineRule="exact"/>
              <w:jc w:val="center"/>
              <w:rPr>
                <w:rFonts w:ascii="宋体" w:hAnsi="宋体"/>
                <w:color w:val="auto"/>
                <w:szCs w:val="21"/>
                <w:highlight w:val="none"/>
              </w:rPr>
            </w:pPr>
          </w:p>
        </w:tc>
        <w:tc>
          <w:tcPr>
            <w:tcW w:w="827" w:type="dxa"/>
            <w:vAlign w:val="top"/>
          </w:tcPr>
          <w:p>
            <w:pPr>
              <w:spacing w:line="440" w:lineRule="exact"/>
              <w:jc w:val="center"/>
              <w:rPr>
                <w:rFonts w:ascii="宋体" w:hAnsi="宋体"/>
                <w:color w:val="auto"/>
                <w:szCs w:val="21"/>
                <w:highlight w:val="none"/>
              </w:rPr>
            </w:pPr>
          </w:p>
        </w:tc>
      </w:tr>
    </w:tbl>
    <w:p>
      <w:pPr>
        <w:spacing w:line="440" w:lineRule="exact"/>
        <w:rPr>
          <w:rFonts w:ascii="宋体" w:hAnsi="宋体"/>
          <w:color w:val="auto"/>
          <w:sz w:val="20"/>
          <w:szCs w:val="20"/>
          <w:highlight w:val="none"/>
        </w:rPr>
      </w:pPr>
      <w:r>
        <w:rPr>
          <w:rFonts w:hint="eastAsia" w:ascii="宋体" w:hAnsi="宋体"/>
          <w:color w:val="auto"/>
          <w:sz w:val="20"/>
          <w:szCs w:val="20"/>
          <w:highlight w:val="none"/>
        </w:rPr>
        <w:br w:type="page"/>
      </w:r>
    </w:p>
    <w:p>
      <w:pPr>
        <w:pStyle w:val="85"/>
        <w:rPr>
          <w:rFonts w:ascii="宋体" w:hAnsi="宋体" w:eastAsia="宋体"/>
          <w:color w:val="auto"/>
          <w:highlight w:val="none"/>
        </w:rPr>
      </w:pPr>
      <w:bookmarkStart w:id="123" w:name="_Toc179632819"/>
      <w:bookmarkStart w:id="124" w:name="_Toc8928"/>
      <w:bookmarkStart w:id="125" w:name="_Toc152042588"/>
      <w:bookmarkStart w:id="126" w:name="_Toc152045799"/>
      <w:bookmarkStart w:id="127" w:name="_Toc144974867"/>
      <w:bookmarkStart w:id="128" w:name="_Toc246392157"/>
      <w:r>
        <w:rPr>
          <w:rFonts w:hint="eastAsia" w:ascii="宋体" w:hAnsi="宋体" w:eastAsia="宋体"/>
          <w:color w:val="auto"/>
          <w:highlight w:val="none"/>
        </w:rPr>
        <w:t>附表三：劳动力计划表</w:t>
      </w:r>
      <w:bookmarkEnd w:id="123"/>
      <w:bookmarkEnd w:id="124"/>
      <w:bookmarkEnd w:id="125"/>
      <w:bookmarkEnd w:id="126"/>
      <w:bookmarkEnd w:id="127"/>
      <w:bookmarkEnd w:id="128"/>
    </w:p>
    <w:p>
      <w:pPr>
        <w:spacing w:line="440" w:lineRule="exact"/>
        <w:ind w:right="200"/>
        <w:jc w:val="right"/>
        <w:rPr>
          <w:rFonts w:ascii="宋体" w:hAnsi="宋体"/>
          <w:color w:val="auto"/>
          <w:szCs w:val="21"/>
          <w:highlight w:val="none"/>
        </w:rPr>
      </w:pPr>
      <w:r>
        <w:rPr>
          <w:rFonts w:hint="eastAsia" w:ascii="宋体" w:hAnsi="宋体"/>
          <w:color w:val="auto"/>
          <w:szCs w:val="21"/>
          <w:highlight w:val="none"/>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工种</w:t>
            </w:r>
          </w:p>
        </w:tc>
        <w:tc>
          <w:tcPr>
            <w:tcW w:w="7803" w:type="dxa"/>
            <w:gridSpan w:val="7"/>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color w:val="auto"/>
                <w:szCs w:val="21"/>
                <w:highlight w:val="none"/>
              </w:rPr>
            </w:pPr>
          </w:p>
        </w:tc>
        <w:tc>
          <w:tcPr>
            <w:tcW w:w="1250" w:type="dxa"/>
            <w:vAlign w:val="center"/>
          </w:tcPr>
          <w:p>
            <w:pPr>
              <w:spacing w:line="440" w:lineRule="exact"/>
              <w:jc w:val="center"/>
              <w:rPr>
                <w:rFonts w:ascii="宋体" w:hAnsi="宋体"/>
                <w:color w:val="auto"/>
                <w:szCs w:val="21"/>
                <w:highlight w:val="none"/>
              </w:rPr>
            </w:pPr>
          </w:p>
        </w:tc>
        <w:tc>
          <w:tcPr>
            <w:tcW w:w="995" w:type="dxa"/>
            <w:vAlign w:val="center"/>
          </w:tcPr>
          <w:p>
            <w:pPr>
              <w:spacing w:line="440" w:lineRule="exact"/>
              <w:jc w:val="center"/>
              <w:rPr>
                <w:rFonts w:ascii="宋体" w:hAnsi="宋体"/>
                <w:color w:val="auto"/>
                <w:szCs w:val="21"/>
                <w:highlight w:val="none"/>
              </w:rPr>
            </w:pPr>
          </w:p>
        </w:tc>
        <w:tc>
          <w:tcPr>
            <w:tcW w:w="1034" w:type="dxa"/>
            <w:vAlign w:val="center"/>
          </w:tcPr>
          <w:p>
            <w:pPr>
              <w:spacing w:line="440" w:lineRule="exact"/>
              <w:jc w:val="center"/>
              <w:rPr>
                <w:rFonts w:ascii="宋体" w:hAnsi="宋体"/>
                <w:color w:val="auto"/>
                <w:szCs w:val="21"/>
                <w:highlight w:val="none"/>
              </w:rPr>
            </w:pPr>
          </w:p>
        </w:tc>
        <w:tc>
          <w:tcPr>
            <w:tcW w:w="1092" w:type="dxa"/>
            <w:vAlign w:val="center"/>
          </w:tcPr>
          <w:p>
            <w:pPr>
              <w:spacing w:line="440" w:lineRule="exact"/>
              <w:jc w:val="center"/>
              <w:rPr>
                <w:rFonts w:ascii="宋体" w:hAnsi="宋体"/>
                <w:color w:val="auto"/>
                <w:szCs w:val="21"/>
                <w:highlight w:val="none"/>
              </w:rPr>
            </w:pPr>
          </w:p>
        </w:tc>
        <w:tc>
          <w:tcPr>
            <w:tcW w:w="1140" w:type="dxa"/>
            <w:vAlign w:val="center"/>
          </w:tcPr>
          <w:p>
            <w:pPr>
              <w:spacing w:line="440" w:lineRule="exact"/>
              <w:jc w:val="center"/>
              <w:rPr>
                <w:rFonts w:ascii="宋体" w:hAnsi="宋体"/>
                <w:color w:val="auto"/>
                <w:szCs w:val="21"/>
                <w:highlight w:val="none"/>
              </w:rPr>
            </w:pPr>
          </w:p>
        </w:tc>
        <w:tc>
          <w:tcPr>
            <w:tcW w:w="1188" w:type="dxa"/>
            <w:vAlign w:val="center"/>
          </w:tcPr>
          <w:p>
            <w:pPr>
              <w:spacing w:line="440" w:lineRule="exact"/>
              <w:jc w:val="center"/>
              <w:rPr>
                <w:rFonts w:ascii="宋体" w:hAnsi="宋体"/>
                <w:color w:val="auto"/>
                <w:szCs w:val="21"/>
                <w:highlight w:val="none"/>
              </w:rPr>
            </w:pPr>
          </w:p>
        </w:tc>
        <w:tc>
          <w:tcPr>
            <w:tcW w:w="1104"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color w:val="auto"/>
                <w:szCs w:val="21"/>
                <w:highlight w:val="none"/>
              </w:rPr>
            </w:pPr>
          </w:p>
        </w:tc>
        <w:tc>
          <w:tcPr>
            <w:tcW w:w="1250" w:type="dxa"/>
            <w:vAlign w:val="center"/>
          </w:tcPr>
          <w:p>
            <w:pPr>
              <w:spacing w:line="440" w:lineRule="exact"/>
              <w:jc w:val="center"/>
              <w:rPr>
                <w:rFonts w:ascii="宋体" w:hAnsi="宋体"/>
                <w:color w:val="auto"/>
                <w:szCs w:val="21"/>
                <w:highlight w:val="none"/>
              </w:rPr>
            </w:pPr>
          </w:p>
        </w:tc>
        <w:tc>
          <w:tcPr>
            <w:tcW w:w="995" w:type="dxa"/>
            <w:vAlign w:val="center"/>
          </w:tcPr>
          <w:p>
            <w:pPr>
              <w:spacing w:line="440" w:lineRule="exact"/>
              <w:jc w:val="center"/>
              <w:rPr>
                <w:rFonts w:ascii="宋体" w:hAnsi="宋体"/>
                <w:color w:val="auto"/>
                <w:szCs w:val="21"/>
                <w:highlight w:val="none"/>
              </w:rPr>
            </w:pPr>
          </w:p>
        </w:tc>
        <w:tc>
          <w:tcPr>
            <w:tcW w:w="1034" w:type="dxa"/>
            <w:vAlign w:val="center"/>
          </w:tcPr>
          <w:p>
            <w:pPr>
              <w:spacing w:line="440" w:lineRule="exact"/>
              <w:jc w:val="center"/>
              <w:rPr>
                <w:rFonts w:ascii="宋体" w:hAnsi="宋体"/>
                <w:color w:val="auto"/>
                <w:szCs w:val="21"/>
                <w:highlight w:val="none"/>
              </w:rPr>
            </w:pPr>
          </w:p>
        </w:tc>
        <w:tc>
          <w:tcPr>
            <w:tcW w:w="1092" w:type="dxa"/>
            <w:vAlign w:val="center"/>
          </w:tcPr>
          <w:p>
            <w:pPr>
              <w:spacing w:line="440" w:lineRule="exact"/>
              <w:jc w:val="center"/>
              <w:rPr>
                <w:rFonts w:ascii="宋体" w:hAnsi="宋体"/>
                <w:color w:val="auto"/>
                <w:szCs w:val="21"/>
                <w:highlight w:val="none"/>
              </w:rPr>
            </w:pPr>
          </w:p>
        </w:tc>
        <w:tc>
          <w:tcPr>
            <w:tcW w:w="1140" w:type="dxa"/>
            <w:vAlign w:val="center"/>
          </w:tcPr>
          <w:p>
            <w:pPr>
              <w:spacing w:line="440" w:lineRule="exact"/>
              <w:jc w:val="center"/>
              <w:rPr>
                <w:rFonts w:ascii="宋体" w:hAnsi="宋体"/>
                <w:color w:val="auto"/>
                <w:szCs w:val="21"/>
                <w:highlight w:val="none"/>
              </w:rPr>
            </w:pPr>
          </w:p>
        </w:tc>
        <w:tc>
          <w:tcPr>
            <w:tcW w:w="1188" w:type="dxa"/>
            <w:vAlign w:val="center"/>
          </w:tcPr>
          <w:p>
            <w:pPr>
              <w:spacing w:line="440" w:lineRule="exact"/>
              <w:jc w:val="center"/>
              <w:rPr>
                <w:rFonts w:ascii="宋体" w:hAnsi="宋体"/>
                <w:color w:val="auto"/>
                <w:szCs w:val="21"/>
                <w:highlight w:val="none"/>
              </w:rPr>
            </w:pPr>
          </w:p>
        </w:tc>
        <w:tc>
          <w:tcPr>
            <w:tcW w:w="1104"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top"/>
          </w:tcPr>
          <w:p>
            <w:pPr>
              <w:spacing w:line="440" w:lineRule="exact"/>
              <w:jc w:val="center"/>
              <w:rPr>
                <w:rFonts w:ascii="宋体" w:hAnsi="宋体"/>
                <w:color w:val="auto"/>
                <w:szCs w:val="21"/>
                <w:highlight w:val="none"/>
              </w:rPr>
            </w:pPr>
          </w:p>
        </w:tc>
        <w:tc>
          <w:tcPr>
            <w:tcW w:w="1250" w:type="dxa"/>
            <w:vAlign w:val="top"/>
          </w:tcPr>
          <w:p>
            <w:pPr>
              <w:spacing w:line="440" w:lineRule="exact"/>
              <w:jc w:val="center"/>
              <w:rPr>
                <w:rFonts w:ascii="宋体" w:hAnsi="宋体"/>
                <w:color w:val="auto"/>
                <w:szCs w:val="21"/>
                <w:highlight w:val="none"/>
              </w:rPr>
            </w:pPr>
          </w:p>
        </w:tc>
        <w:tc>
          <w:tcPr>
            <w:tcW w:w="995" w:type="dxa"/>
            <w:vAlign w:val="top"/>
          </w:tcPr>
          <w:p>
            <w:pPr>
              <w:spacing w:line="440" w:lineRule="exact"/>
              <w:jc w:val="center"/>
              <w:rPr>
                <w:rFonts w:ascii="宋体" w:hAnsi="宋体"/>
                <w:color w:val="auto"/>
                <w:szCs w:val="21"/>
                <w:highlight w:val="none"/>
              </w:rPr>
            </w:pPr>
          </w:p>
        </w:tc>
        <w:tc>
          <w:tcPr>
            <w:tcW w:w="1034" w:type="dxa"/>
            <w:vAlign w:val="top"/>
          </w:tcPr>
          <w:p>
            <w:pPr>
              <w:spacing w:line="440" w:lineRule="exact"/>
              <w:jc w:val="center"/>
              <w:rPr>
                <w:rFonts w:ascii="宋体" w:hAnsi="宋体"/>
                <w:color w:val="auto"/>
                <w:szCs w:val="21"/>
                <w:highlight w:val="none"/>
              </w:rPr>
            </w:pPr>
          </w:p>
        </w:tc>
        <w:tc>
          <w:tcPr>
            <w:tcW w:w="1092" w:type="dxa"/>
            <w:vAlign w:val="top"/>
          </w:tcPr>
          <w:p>
            <w:pPr>
              <w:spacing w:line="440" w:lineRule="exact"/>
              <w:jc w:val="center"/>
              <w:rPr>
                <w:rFonts w:ascii="宋体" w:hAnsi="宋体"/>
                <w:color w:val="auto"/>
                <w:szCs w:val="21"/>
                <w:highlight w:val="none"/>
              </w:rPr>
            </w:pPr>
          </w:p>
        </w:tc>
        <w:tc>
          <w:tcPr>
            <w:tcW w:w="1140" w:type="dxa"/>
            <w:vAlign w:val="top"/>
          </w:tcPr>
          <w:p>
            <w:pPr>
              <w:spacing w:line="440" w:lineRule="exact"/>
              <w:jc w:val="center"/>
              <w:rPr>
                <w:rFonts w:ascii="宋体" w:hAnsi="宋体"/>
                <w:color w:val="auto"/>
                <w:szCs w:val="21"/>
                <w:highlight w:val="none"/>
              </w:rPr>
            </w:pPr>
          </w:p>
        </w:tc>
        <w:tc>
          <w:tcPr>
            <w:tcW w:w="1188" w:type="dxa"/>
            <w:vAlign w:val="top"/>
          </w:tcPr>
          <w:p>
            <w:pPr>
              <w:spacing w:line="440" w:lineRule="exact"/>
              <w:jc w:val="center"/>
              <w:rPr>
                <w:rFonts w:ascii="宋体" w:hAnsi="宋体"/>
                <w:color w:val="auto"/>
                <w:szCs w:val="21"/>
                <w:highlight w:val="none"/>
              </w:rPr>
            </w:pPr>
          </w:p>
        </w:tc>
        <w:tc>
          <w:tcPr>
            <w:tcW w:w="1104" w:type="dxa"/>
            <w:vAlign w:val="top"/>
          </w:tcPr>
          <w:p>
            <w:pPr>
              <w:spacing w:line="440" w:lineRule="exact"/>
              <w:jc w:val="center"/>
              <w:rPr>
                <w:rFonts w:ascii="宋体" w:hAnsi="宋体"/>
                <w:color w:val="auto"/>
                <w:szCs w:val="21"/>
                <w:highlight w:val="none"/>
              </w:rPr>
            </w:pPr>
          </w:p>
        </w:tc>
      </w:tr>
    </w:tbl>
    <w:p>
      <w:pPr>
        <w:spacing w:line="440" w:lineRule="exact"/>
        <w:rPr>
          <w:rFonts w:ascii="宋体" w:hAnsi="宋体"/>
          <w:color w:val="auto"/>
          <w:sz w:val="20"/>
          <w:szCs w:val="20"/>
          <w:highlight w:val="none"/>
        </w:rPr>
      </w:pPr>
    </w:p>
    <w:p>
      <w:pPr>
        <w:spacing w:line="440" w:lineRule="exact"/>
        <w:rPr>
          <w:rFonts w:ascii="宋体" w:hAnsi="宋体"/>
          <w:color w:val="auto"/>
          <w:sz w:val="20"/>
          <w:szCs w:val="20"/>
          <w:highlight w:val="none"/>
        </w:rPr>
      </w:pPr>
    </w:p>
    <w:p>
      <w:pPr>
        <w:topLinePunct/>
        <w:spacing w:line="440" w:lineRule="exact"/>
        <w:jc w:val="center"/>
        <w:rPr>
          <w:rFonts w:ascii="宋体" w:hAnsi="宋体"/>
          <w:color w:val="auto"/>
          <w:highlight w:val="none"/>
        </w:rPr>
      </w:pPr>
    </w:p>
    <w:p>
      <w:pPr>
        <w:pStyle w:val="85"/>
        <w:rPr>
          <w:rFonts w:ascii="宋体" w:hAnsi="宋体" w:eastAsia="宋体"/>
          <w:color w:val="auto"/>
          <w:sz w:val="22"/>
          <w:szCs w:val="22"/>
          <w:highlight w:val="none"/>
        </w:rPr>
      </w:pPr>
      <w:bookmarkStart w:id="129" w:name="_Toc144974868"/>
      <w:bookmarkStart w:id="130" w:name="_Toc246392158"/>
      <w:bookmarkStart w:id="131" w:name="_Toc179632820"/>
      <w:bookmarkStart w:id="132" w:name="_Toc152042589"/>
      <w:bookmarkStart w:id="133" w:name="_Toc3750"/>
      <w:bookmarkStart w:id="134" w:name="_Toc152045800"/>
      <w:r>
        <w:rPr>
          <w:rFonts w:hint="eastAsia" w:ascii="宋体" w:hAnsi="宋体" w:eastAsia="宋体"/>
          <w:color w:val="auto"/>
          <w:sz w:val="22"/>
          <w:szCs w:val="22"/>
          <w:highlight w:val="none"/>
        </w:rPr>
        <w:t>附表四：计划开、竣工日期和施工进度网络图</w:t>
      </w:r>
      <w:bookmarkEnd w:id="129"/>
      <w:bookmarkEnd w:id="130"/>
      <w:bookmarkEnd w:id="131"/>
      <w:bookmarkEnd w:id="132"/>
      <w:bookmarkEnd w:id="133"/>
      <w:bookmarkEnd w:id="134"/>
    </w:p>
    <w:p>
      <w:pPr>
        <w:spacing w:line="440" w:lineRule="exact"/>
        <w:rPr>
          <w:rFonts w:ascii="宋体" w:hAnsi="宋体"/>
          <w:color w:val="auto"/>
          <w:sz w:val="22"/>
          <w:szCs w:val="22"/>
          <w:highlight w:val="none"/>
        </w:rPr>
      </w:pP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 投标人应递交施工进度网络图或施工进度表，说明按招标文件要求的计划工期进行施工的各个关键日期。</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2. 施工进度表可采用网络图（或横道图）表示。</w:t>
      </w:r>
    </w:p>
    <w:p>
      <w:pPr>
        <w:spacing w:line="440" w:lineRule="exact"/>
        <w:rPr>
          <w:rFonts w:ascii="宋体" w:hAnsi="宋体"/>
          <w:color w:val="auto"/>
          <w:sz w:val="22"/>
          <w:szCs w:val="22"/>
          <w:highlight w:val="none"/>
        </w:rPr>
      </w:pPr>
    </w:p>
    <w:p>
      <w:pPr>
        <w:spacing w:line="440" w:lineRule="exact"/>
        <w:rPr>
          <w:rFonts w:ascii="宋体" w:hAnsi="宋体"/>
          <w:color w:val="auto"/>
          <w:sz w:val="22"/>
          <w:szCs w:val="22"/>
          <w:highlight w:val="none"/>
        </w:rPr>
      </w:pPr>
    </w:p>
    <w:p>
      <w:pPr>
        <w:spacing w:line="440" w:lineRule="exact"/>
        <w:rPr>
          <w:rFonts w:ascii="宋体" w:hAnsi="宋体"/>
          <w:color w:val="auto"/>
          <w:sz w:val="22"/>
          <w:szCs w:val="22"/>
          <w:highlight w:val="none"/>
        </w:rPr>
      </w:pPr>
      <w:bookmarkStart w:id="135" w:name="_Toc246392159"/>
      <w:bookmarkStart w:id="136" w:name="_Toc152045801"/>
      <w:bookmarkStart w:id="137" w:name="_Toc152042590"/>
      <w:bookmarkStart w:id="138" w:name="_Toc179632821"/>
      <w:bookmarkStart w:id="139" w:name="_Toc144974869"/>
      <w:r>
        <w:rPr>
          <w:rFonts w:hint="eastAsia" w:ascii="宋体" w:hAnsi="宋体"/>
          <w:color w:val="auto"/>
          <w:sz w:val="22"/>
          <w:szCs w:val="22"/>
          <w:highlight w:val="none"/>
        </w:rPr>
        <w:t>附表五：施工总平面图</w:t>
      </w:r>
      <w:bookmarkEnd w:id="135"/>
      <w:bookmarkEnd w:id="136"/>
      <w:bookmarkEnd w:id="137"/>
      <w:bookmarkEnd w:id="138"/>
      <w:bookmarkEnd w:id="139"/>
    </w:p>
    <w:p>
      <w:pPr>
        <w:spacing w:line="440" w:lineRule="exact"/>
        <w:rPr>
          <w:rFonts w:ascii="宋体" w:hAnsi="宋体"/>
          <w:color w:val="auto"/>
          <w:sz w:val="22"/>
          <w:szCs w:val="22"/>
          <w:highlight w:val="none"/>
        </w:rPr>
      </w:pPr>
      <w:r>
        <w:rPr>
          <w:rFonts w:hint="eastAsia" w:ascii="宋体" w:hAnsi="宋体"/>
          <w:color w:val="auto"/>
          <w:sz w:val="22"/>
          <w:szCs w:val="22"/>
          <w:highlight w:val="none"/>
        </w:rPr>
        <w:tab/>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color w:val="auto"/>
          <w:sz w:val="32"/>
          <w:szCs w:val="32"/>
          <w:highlight w:val="none"/>
        </w:rPr>
      </w:pPr>
      <w:r>
        <w:rPr>
          <w:rFonts w:ascii="宋体" w:hAnsi="宋体" w:cs="宋体"/>
          <w:b/>
          <w:color w:val="auto"/>
          <w:sz w:val="32"/>
          <w:szCs w:val="32"/>
          <w:highlight w:val="none"/>
        </w:rPr>
        <w:br w:type="page"/>
      </w:r>
    </w:p>
    <w:p>
      <w:pPr>
        <w:spacing w:line="440" w:lineRule="exact"/>
        <w:jc w:val="center"/>
        <w:rPr>
          <w:rFonts w:ascii="Calibri" w:hAnsi="Calibri" w:eastAsia="黑体" w:cs="Calibri"/>
          <w:color w:val="auto"/>
          <w:sz w:val="32"/>
          <w:szCs w:val="32"/>
          <w:highlight w:val="none"/>
        </w:rPr>
      </w:pPr>
      <w:r>
        <w:rPr>
          <w:rFonts w:hint="eastAsia" w:ascii="Calibri" w:hAnsi="Calibri" w:eastAsia="黑体" w:cs="Calibri"/>
          <w:color w:val="auto"/>
          <w:sz w:val="32"/>
          <w:szCs w:val="32"/>
          <w:highlight w:val="none"/>
        </w:rPr>
        <w:t>六、项目管理机构</w:t>
      </w:r>
    </w:p>
    <w:p>
      <w:pPr>
        <w:pStyle w:val="85"/>
        <w:rPr>
          <w:rFonts w:ascii="宋体" w:hAnsi="宋体" w:eastAsia="宋体"/>
          <w:color w:val="auto"/>
          <w:szCs w:val="23"/>
          <w:highlight w:val="none"/>
        </w:rPr>
      </w:pPr>
      <w:bookmarkStart w:id="140" w:name="_Toc29304"/>
      <w:bookmarkStart w:id="141" w:name="_Toc152045804"/>
      <w:bookmarkStart w:id="142" w:name="_Toc246392161"/>
      <w:bookmarkStart w:id="143" w:name="_Toc144974872"/>
      <w:bookmarkStart w:id="144" w:name="_Toc152042593"/>
      <w:bookmarkStart w:id="145" w:name="_Toc179632824"/>
      <w:r>
        <w:rPr>
          <w:rFonts w:hint="eastAsia" w:ascii="宋体" w:hAnsi="宋体" w:eastAsia="宋体"/>
          <w:color w:val="auto"/>
          <w:szCs w:val="23"/>
          <w:highlight w:val="none"/>
        </w:rPr>
        <w:t>（一）项目管理机构组成表</w:t>
      </w:r>
      <w:bookmarkEnd w:id="140"/>
      <w:bookmarkEnd w:id="141"/>
      <w:bookmarkEnd w:id="142"/>
      <w:bookmarkEnd w:id="143"/>
      <w:bookmarkEnd w:id="144"/>
      <w:bookmarkEnd w:id="145"/>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职务</w:t>
            </w:r>
          </w:p>
        </w:tc>
        <w:tc>
          <w:tcPr>
            <w:tcW w:w="864" w:type="dxa"/>
            <w:vMerge w:val="restart"/>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姓名</w:t>
            </w:r>
          </w:p>
        </w:tc>
        <w:tc>
          <w:tcPr>
            <w:tcW w:w="862" w:type="dxa"/>
            <w:vMerge w:val="restart"/>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职称</w:t>
            </w:r>
          </w:p>
        </w:tc>
        <w:tc>
          <w:tcPr>
            <w:tcW w:w="5548" w:type="dxa"/>
            <w:gridSpan w:val="5"/>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执业或职业资格证明</w:t>
            </w:r>
          </w:p>
        </w:tc>
        <w:tc>
          <w:tcPr>
            <w:tcW w:w="806"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color w:val="auto"/>
                <w:szCs w:val="21"/>
                <w:highlight w:val="none"/>
              </w:rPr>
            </w:pPr>
          </w:p>
        </w:tc>
        <w:tc>
          <w:tcPr>
            <w:tcW w:w="864" w:type="dxa"/>
            <w:vMerge w:val="continue"/>
            <w:vAlign w:val="center"/>
          </w:tcPr>
          <w:p>
            <w:pPr>
              <w:spacing w:line="440" w:lineRule="exact"/>
              <w:jc w:val="center"/>
              <w:rPr>
                <w:rFonts w:ascii="宋体" w:hAnsi="宋体"/>
                <w:color w:val="auto"/>
                <w:szCs w:val="21"/>
                <w:highlight w:val="none"/>
              </w:rPr>
            </w:pPr>
          </w:p>
        </w:tc>
        <w:tc>
          <w:tcPr>
            <w:tcW w:w="862" w:type="dxa"/>
            <w:vMerge w:val="continue"/>
            <w:vAlign w:val="center"/>
          </w:tcPr>
          <w:p>
            <w:pPr>
              <w:spacing w:line="440" w:lineRule="exact"/>
              <w:jc w:val="center"/>
              <w:rPr>
                <w:rFonts w:ascii="宋体" w:hAnsi="宋体"/>
                <w:color w:val="auto"/>
                <w:szCs w:val="21"/>
                <w:highlight w:val="none"/>
              </w:rPr>
            </w:pPr>
          </w:p>
        </w:tc>
        <w:tc>
          <w:tcPr>
            <w:tcW w:w="1296"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证书名称</w:t>
            </w:r>
          </w:p>
        </w:tc>
        <w:tc>
          <w:tcPr>
            <w:tcW w:w="863"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级别</w:t>
            </w:r>
          </w:p>
        </w:tc>
        <w:tc>
          <w:tcPr>
            <w:tcW w:w="865"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证号</w:t>
            </w:r>
          </w:p>
        </w:tc>
        <w:tc>
          <w:tcPr>
            <w:tcW w:w="863"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专业</w:t>
            </w:r>
          </w:p>
        </w:tc>
        <w:tc>
          <w:tcPr>
            <w:tcW w:w="1661" w:type="dxa"/>
            <w:vAlign w:val="center"/>
          </w:tcPr>
          <w:p>
            <w:pPr>
              <w:spacing w:line="440" w:lineRule="exact"/>
              <w:jc w:val="center"/>
              <w:rPr>
                <w:rFonts w:ascii="宋体" w:hAnsi="宋体"/>
                <w:color w:val="auto"/>
                <w:szCs w:val="21"/>
                <w:highlight w:val="none"/>
              </w:rPr>
            </w:pPr>
            <w:r>
              <w:rPr>
                <w:rFonts w:hint="eastAsia" w:ascii="宋体" w:hAnsi="宋体"/>
                <w:color w:val="auto"/>
                <w:szCs w:val="21"/>
                <w:highlight w:val="none"/>
              </w:rPr>
              <w:t>养老保险</w:t>
            </w:r>
          </w:p>
        </w:tc>
        <w:tc>
          <w:tcPr>
            <w:tcW w:w="806"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color w:val="auto"/>
                <w:szCs w:val="21"/>
                <w:highlight w:val="none"/>
              </w:rPr>
            </w:pPr>
          </w:p>
        </w:tc>
        <w:tc>
          <w:tcPr>
            <w:tcW w:w="864" w:type="dxa"/>
            <w:vAlign w:val="center"/>
          </w:tcPr>
          <w:p>
            <w:pPr>
              <w:spacing w:line="440" w:lineRule="exact"/>
              <w:jc w:val="center"/>
              <w:rPr>
                <w:rFonts w:ascii="宋体" w:hAnsi="宋体"/>
                <w:color w:val="auto"/>
                <w:szCs w:val="21"/>
                <w:highlight w:val="none"/>
              </w:rPr>
            </w:pPr>
          </w:p>
        </w:tc>
        <w:tc>
          <w:tcPr>
            <w:tcW w:w="862" w:type="dxa"/>
            <w:vAlign w:val="center"/>
          </w:tcPr>
          <w:p>
            <w:pPr>
              <w:spacing w:line="440" w:lineRule="exact"/>
              <w:jc w:val="center"/>
              <w:rPr>
                <w:rFonts w:ascii="宋体" w:hAnsi="宋体"/>
                <w:color w:val="auto"/>
                <w:szCs w:val="21"/>
                <w:highlight w:val="none"/>
              </w:rPr>
            </w:pPr>
          </w:p>
        </w:tc>
        <w:tc>
          <w:tcPr>
            <w:tcW w:w="1296" w:type="dxa"/>
            <w:vAlign w:val="center"/>
          </w:tcPr>
          <w:p>
            <w:pPr>
              <w:spacing w:line="440" w:lineRule="exact"/>
              <w:jc w:val="center"/>
              <w:rPr>
                <w:rFonts w:ascii="宋体" w:hAnsi="宋体"/>
                <w:color w:val="auto"/>
                <w:szCs w:val="21"/>
                <w:highlight w:val="none"/>
              </w:rPr>
            </w:pPr>
          </w:p>
        </w:tc>
        <w:tc>
          <w:tcPr>
            <w:tcW w:w="863" w:type="dxa"/>
            <w:vAlign w:val="center"/>
          </w:tcPr>
          <w:p>
            <w:pPr>
              <w:spacing w:line="440" w:lineRule="exact"/>
              <w:jc w:val="center"/>
              <w:rPr>
                <w:rFonts w:ascii="宋体" w:hAnsi="宋体"/>
                <w:color w:val="auto"/>
                <w:szCs w:val="21"/>
                <w:highlight w:val="none"/>
              </w:rPr>
            </w:pPr>
          </w:p>
        </w:tc>
        <w:tc>
          <w:tcPr>
            <w:tcW w:w="865" w:type="dxa"/>
            <w:vAlign w:val="center"/>
          </w:tcPr>
          <w:p>
            <w:pPr>
              <w:spacing w:line="440" w:lineRule="exact"/>
              <w:jc w:val="center"/>
              <w:rPr>
                <w:rFonts w:ascii="宋体" w:hAnsi="宋体"/>
                <w:color w:val="auto"/>
                <w:szCs w:val="21"/>
                <w:highlight w:val="none"/>
              </w:rPr>
            </w:pPr>
          </w:p>
        </w:tc>
        <w:tc>
          <w:tcPr>
            <w:tcW w:w="863" w:type="dxa"/>
            <w:vAlign w:val="center"/>
          </w:tcPr>
          <w:p>
            <w:pPr>
              <w:spacing w:line="440" w:lineRule="exact"/>
              <w:jc w:val="center"/>
              <w:rPr>
                <w:rFonts w:ascii="宋体" w:hAnsi="宋体"/>
                <w:color w:val="auto"/>
                <w:szCs w:val="21"/>
                <w:highlight w:val="none"/>
              </w:rPr>
            </w:pPr>
          </w:p>
        </w:tc>
        <w:tc>
          <w:tcPr>
            <w:tcW w:w="1661" w:type="dxa"/>
            <w:vAlign w:val="center"/>
          </w:tcPr>
          <w:p>
            <w:pPr>
              <w:spacing w:line="440" w:lineRule="exact"/>
              <w:jc w:val="center"/>
              <w:rPr>
                <w:rFonts w:ascii="宋体" w:hAnsi="宋体"/>
                <w:color w:val="auto"/>
                <w:szCs w:val="21"/>
                <w:highlight w:val="none"/>
              </w:rPr>
            </w:pPr>
          </w:p>
        </w:tc>
        <w:tc>
          <w:tcPr>
            <w:tcW w:w="806" w:type="dxa"/>
            <w:vAlign w:val="center"/>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top"/>
          </w:tcPr>
          <w:p>
            <w:pPr>
              <w:spacing w:line="440" w:lineRule="exact"/>
              <w:jc w:val="center"/>
              <w:rPr>
                <w:rFonts w:ascii="宋体" w:hAnsi="宋体"/>
                <w:color w:val="auto"/>
                <w:szCs w:val="21"/>
                <w:highlight w:val="none"/>
              </w:rPr>
            </w:pPr>
          </w:p>
        </w:tc>
        <w:tc>
          <w:tcPr>
            <w:tcW w:w="864" w:type="dxa"/>
            <w:vAlign w:val="top"/>
          </w:tcPr>
          <w:p>
            <w:pPr>
              <w:spacing w:line="440" w:lineRule="exact"/>
              <w:jc w:val="center"/>
              <w:rPr>
                <w:rFonts w:ascii="宋体" w:hAnsi="宋体"/>
                <w:color w:val="auto"/>
                <w:szCs w:val="21"/>
                <w:highlight w:val="none"/>
              </w:rPr>
            </w:pPr>
          </w:p>
        </w:tc>
        <w:tc>
          <w:tcPr>
            <w:tcW w:w="862" w:type="dxa"/>
            <w:vAlign w:val="top"/>
          </w:tcPr>
          <w:p>
            <w:pPr>
              <w:spacing w:line="440" w:lineRule="exact"/>
              <w:jc w:val="center"/>
              <w:rPr>
                <w:rFonts w:ascii="宋体" w:hAnsi="宋体"/>
                <w:color w:val="auto"/>
                <w:szCs w:val="21"/>
                <w:highlight w:val="none"/>
              </w:rPr>
            </w:pPr>
          </w:p>
        </w:tc>
        <w:tc>
          <w:tcPr>
            <w:tcW w:w="1296"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865" w:type="dxa"/>
            <w:vAlign w:val="top"/>
          </w:tcPr>
          <w:p>
            <w:pPr>
              <w:spacing w:line="440" w:lineRule="exact"/>
              <w:jc w:val="center"/>
              <w:rPr>
                <w:rFonts w:ascii="宋体" w:hAnsi="宋体"/>
                <w:color w:val="auto"/>
                <w:szCs w:val="21"/>
                <w:highlight w:val="none"/>
              </w:rPr>
            </w:pPr>
          </w:p>
        </w:tc>
        <w:tc>
          <w:tcPr>
            <w:tcW w:w="863" w:type="dxa"/>
            <w:vAlign w:val="top"/>
          </w:tcPr>
          <w:p>
            <w:pPr>
              <w:spacing w:line="440" w:lineRule="exact"/>
              <w:jc w:val="center"/>
              <w:rPr>
                <w:rFonts w:ascii="宋体" w:hAnsi="宋体"/>
                <w:color w:val="auto"/>
                <w:szCs w:val="21"/>
                <w:highlight w:val="none"/>
              </w:rPr>
            </w:pPr>
          </w:p>
        </w:tc>
        <w:tc>
          <w:tcPr>
            <w:tcW w:w="1661" w:type="dxa"/>
            <w:vAlign w:val="top"/>
          </w:tcPr>
          <w:p>
            <w:pPr>
              <w:spacing w:line="440" w:lineRule="exact"/>
              <w:jc w:val="center"/>
              <w:rPr>
                <w:rFonts w:ascii="宋体" w:hAnsi="宋体"/>
                <w:color w:val="auto"/>
                <w:szCs w:val="21"/>
                <w:highlight w:val="none"/>
              </w:rPr>
            </w:pPr>
          </w:p>
        </w:tc>
        <w:tc>
          <w:tcPr>
            <w:tcW w:w="806" w:type="dxa"/>
            <w:vAlign w:val="top"/>
          </w:tcPr>
          <w:p>
            <w:pPr>
              <w:spacing w:line="440" w:lineRule="exact"/>
              <w:jc w:val="center"/>
              <w:rPr>
                <w:rFonts w:ascii="宋体" w:hAnsi="宋体"/>
                <w:color w:val="auto"/>
                <w:szCs w:val="21"/>
                <w:highlight w:val="none"/>
              </w:rPr>
            </w:pPr>
          </w:p>
        </w:tc>
      </w:tr>
    </w:tbl>
    <w:p>
      <w:pPr>
        <w:topLinePunct/>
        <w:spacing w:line="440" w:lineRule="exact"/>
        <w:jc w:val="center"/>
        <w:rPr>
          <w:rFonts w:ascii="宋体" w:hAnsi="宋体"/>
          <w:color w:val="auto"/>
          <w:sz w:val="20"/>
          <w:highlight w:val="none"/>
        </w:rPr>
      </w:pPr>
      <w:r>
        <w:rPr>
          <w:rFonts w:hint="eastAsia" w:ascii="宋体" w:hAnsi="宋体"/>
          <w:color w:val="auto"/>
          <w:sz w:val="20"/>
          <w:highlight w:val="none"/>
        </w:rPr>
        <w:br w:type="page"/>
      </w:r>
    </w:p>
    <w:p>
      <w:pPr>
        <w:pStyle w:val="85"/>
        <w:rPr>
          <w:rFonts w:ascii="宋体" w:hAnsi="宋体" w:eastAsia="宋体"/>
          <w:color w:val="auto"/>
          <w:szCs w:val="23"/>
          <w:highlight w:val="none"/>
        </w:rPr>
      </w:pPr>
      <w:bookmarkStart w:id="146" w:name="_Toc152045805"/>
      <w:bookmarkStart w:id="147" w:name="_Toc144974873"/>
      <w:bookmarkStart w:id="148" w:name="_Toc25718"/>
      <w:bookmarkStart w:id="149" w:name="_Toc179632825"/>
      <w:bookmarkStart w:id="150" w:name="_Toc246392162"/>
      <w:bookmarkStart w:id="151" w:name="_Toc152042594"/>
      <w:r>
        <w:rPr>
          <w:rFonts w:hint="eastAsia" w:ascii="宋体" w:hAnsi="宋体" w:eastAsia="宋体"/>
          <w:color w:val="auto"/>
          <w:szCs w:val="23"/>
          <w:highlight w:val="none"/>
        </w:rPr>
        <w:t>（二）主要人员简历表</w:t>
      </w:r>
      <w:bookmarkEnd w:id="146"/>
      <w:bookmarkEnd w:id="147"/>
      <w:bookmarkEnd w:id="148"/>
      <w:bookmarkEnd w:id="149"/>
      <w:bookmarkEnd w:id="150"/>
      <w:bookmarkEnd w:id="151"/>
    </w:p>
    <w:p>
      <w:pPr>
        <w:spacing w:line="400" w:lineRule="exact"/>
        <w:ind w:firstLine="480" w:firstLineChars="200"/>
        <w:rPr>
          <w:rFonts w:ascii="宋体" w:hAnsi="宋体"/>
          <w:color w:val="auto"/>
          <w:highlight w:val="none"/>
        </w:rPr>
      </w:pPr>
    </w:p>
    <w:p>
      <w:pPr>
        <w:spacing w:line="400" w:lineRule="exact"/>
        <w:ind w:firstLine="480" w:firstLineChars="200"/>
        <w:rPr>
          <w:rFonts w:ascii="宋体" w:hAnsi="宋体"/>
          <w:color w:val="auto"/>
          <w:highlight w:val="none"/>
        </w:rPr>
      </w:pPr>
      <w:r>
        <w:rPr>
          <w:rFonts w:hint="eastAsia" w:ascii="宋体" w:hAnsi="宋体"/>
          <w:color w:val="auto"/>
          <w:highlight w:val="none"/>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color w:val="auto"/>
          <w:sz w:val="23"/>
          <w:szCs w:val="23"/>
          <w:highlight w:val="none"/>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姓  名</w:t>
            </w:r>
          </w:p>
        </w:tc>
        <w:tc>
          <w:tcPr>
            <w:tcW w:w="1079" w:type="dxa"/>
            <w:gridSpan w:val="2"/>
            <w:vAlign w:val="center"/>
          </w:tcPr>
          <w:p>
            <w:pPr>
              <w:spacing w:line="440" w:lineRule="exact"/>
              <w:rPr>
                <w:rFonts w:ascii="宋体" w:hAnsi="宋体"/>
                <w:color w:val="auto"/>
                <w:sz w:val="22"/>
                <w:szCs w:val="22"/>
                <w:highlight w:val="none"/>
              </w:rPr>
            </w:pPr>
          </w:p>
        </w:tc>
        <w:tc>
          <w:tcPr>
            <w:tcW w:w="927" w:type="dxa"/>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年 龄</w:t>
            </w:r>
          </w:p>
        </w:tc>
        <w:tc>
          <w:tcPr>
            <w:tcW w:w="1065" w:type="dxa"/>
            <w:vAlign w:val="center"/>
          </w:tcPr>
          <w:p>
            <w:pPr>
              <w:spacing w:line="440" w:lineRule="exact"/>
              <w:rPr>
                <w:rFonts w:ascii="宋体" w:hAnsi="宋体"/>
                <w:color w:val="auto"/>
                <w:sz w:val="22"/>
                <w:szCs w:val="22"/>
                <w:highlight w:val="none"/>
              </w:rPr>
            </w:pPr>
          </w:p>
        </w:tc>
        <w:tc>
          <w:tcPr>
            <w:tcW w:w="1784" w:type="dxa"/>
            <w:gridSpan w:val="3"/>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学历</w:t>
            </w:r>
          </w:p>
        </w:tc>
        <w:tc>
          <w:tcPr>
            <w:tcW w:w="2135" w:type="dxa"/>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职  称</w:t>
            </w:r>
          </w:p>
        </w:tc>
        <w:tc>
          <w:tcPr>
            <w:tcW w:w="1079" w:type="dxa"/>
            <w:gridSpan w:val="2"/>
            <w:vAlign w:val="center"/>
          </w:tcPr>
          <w:p>
            <w:pPr>
              <w:spacing w:line="440" w:lineRule="exact"/>
              <w:rPr>
                <w:rFonts w:ascii="宋体" w:hAnsi="宋体"/>
                <w:color w:val="auto"/>
                <w:sz w:val="22"/>
                <w:szCs w:val="22"/>
                <w:highlight w:val="none"/>
              </w:rPr>
            </w:pPr>
          </w:p>
        </w:tc>
        <w:tc>
          <w:tcPr>
            <w:tcW w:w="927" w:type="dxa"/>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职 务</w:t>
            </w:r>
          </w:p>
        </w:tc>
        <w:tc>
          <w:tcPr>
            <w:tcW w:w="1065" w:type="dxa"/>
            <w:vAlign w:val="center"/>
          </w:tcPr>
          <w:p>
            <w:pPr>
              <w:spacing w:line="440" w:lineRule="exact"/>
              <w:rPr>
                <w:rFonts w:ascii="宋体" w:hAnsi="宋体"/>
                <w:color w:val="auto"/>
                <w:sz w:val="22"/>
                <w:szCs w:val="22"/>
                <w:highlight w:val="none"/>
              </w:rPr>
            </w:pPr>
          </w:p>
        </w:tc>
        <w:tc>
          <w:tcPr>
            <w:tcW w:w="1784" w:type="dxa"/>
            <w:gridSpan w:val="3"/>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拟在本合同任职</w:t>
            </w:r>
          </w:p>
        </w:tc>
        <w:tc>
          <w:tcPr>
            <w:tcW w:w="2135" w:type="dxa"/>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毕业学校</w:t>
            </w:r>
          </w:p>
        </w:tc>
        <w:tc>
          <w:tcPr>
            <w:tcW w:w="6990" w:type="dxa"/>
            <w:gridSpan w:val="8"/>
            <w:vAlign w:val="top"/>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时  间</w:t>
            </w:r>
          </w:p>
        </w:tc>
        <w:tc>
          <w:tcPr>
            <w:tcW w:w="3074" w:type="dxa"/>
            <w:gridSpan w:val="4"/>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参加过的类似项目</w:t>
            </w:r>
          </w:p>
        </w:tc>
        <w:tc>
          <w:tcPr>
            <w:tcW w:w="1261" w:type="dxa"/>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担任职务</w:t>
            </w:r>
          </w:p>
        </w:tc>
        <w:tc>
          <w:tcPr>
            <w:tcW w:w="2296" w:type="dxa"/>
            <w:gridSpan w:val="2"/>
            <w:vAlign w:val="center"/>
          </w:tcPr>
          <w:p>
            <w:pPr>
              <w:spacing w:line="440" w:lineRule="exact"/>
              <w:rPr>
                <w:rFonts w:ascii="宋体" w:hAnsi="宋体"/>
                <w:color w:val="auto"/>
                <w:sz w:val="22"/>
                <w:szCs w:val="22"/>
                <w:highlight w:val="none"/>
              </w:rPr>
            </w:pPr>
            <w:r>
              <w:rPr>
                <w:rFonts w:hint="eastAsia" w:ascii="宋体" w:hAnsi="宋体"/>
                <w:color w:val="auto"/>
                <w:sz w:val="22"/>
                <w:szCs w:val="22"/>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olor w:val="auto"/>
                <w:sz w:val="22"/>
                <w:szCs w:val="22"/>
                <w:highlight w:val="none"/>
              </w:rPr>
            </w:pPr>
          </w:p>
        </w:tc>
        <w:tc>
          <w:tcPr>
            <w:tcW w:w="3074" w:type="dxa"/>
            <w:gridSpan w:val="4"/>
            <w:vAlign w:val="top"/>
          </w:tcPr>
          <w:p>
            <w:pPr>
              <w:spacing w:line="440" w:lineRule="exact"/>
              <w:rPr>
                <w:rFonts w:ascii="宋体" w:hAnsi="宋体"/>
                <w:color w:val="auto"/>
                <w:sz w:val="22"/>
                <w:szCs w:val="22"/>
                <w:highlight w:val="none"/>
              </w:rPr>
            </w:pPr>
          </w:p>
        </w:tc>
        <w:tc>
          <w:tcPr>
            <w:tcW w:w="1261" w:type="dxa"/>
            <w:vAlign w:val="top"/>
          </w:tcPr>
          <w:p>
            <w:pPr>
              <w:spacing w:line="440" w:lineRule="exact"/>
              <w:rPr>
                <w:rFonts w:ascii="宋体" w:hAnsi="宋体"/>
                <w:color w:val="auto"/>
                <w:sz w:val="22"/>
                <w:szCs w:val="22"/>
                <w:highlight w:val="none"/>
              </w:rPr>
            </w:pPr>
          </w:p>
        </w:tc>
        <w:tc>
          <w:tcPr>
            <w:tcW w:w="2296" w:type="dxa"/>
            <w:gridSpan w:val="2"/>
            <w:vAlign w:val="top"/>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olor w:val="auto"/>
                <w:sz w:val="22"/>
                <w:szCs w:val="22"/>
                <w:highlight w:val="none"/>
              </w:rPr>
            </w:pPr>
          </w:p>
        </w:tc>
        <w:tc>
          <w:tcPr>
            <w:tcW w:w="3074" w:type="dxa"/>
            <w:gridSpan w:val="4"/>
            <w:vAlign w:val="top"/>
          </w:tcPr>
          <w:p>
            <w:pPr>
              <w:spacing w:line="440" w:lineRule="exact"/>
              <w:rPr>
                <w:rFonts w:ascii="宋体" w:hAnsi="宋体"/>
                <w:color w:val="auto"/>
                <w:sz w:val="22"/>
                <w:szCs w:val="22"/>
                <w:highlight w:val="none"/>
              </w:rPr>
            </w:pPr>
          </w:p>
        </w:tc>
        <w:tc>
          <w:tcPr>
            <w:tcW w:w="1261" w:type="dxa"/>
            <w:vAlign w:val="top"/>
          </w:tcPr>
          <w:p>
            <w:pPr>
              <w:spacing w:line="440" w:lineRule="exact"/>
              <w:rPr>
                <w:rFonts w:ascii="宋体" w:hAnsi="宋体"/>
                <w:color w:val="auto"/>
                <w:sz w:val="22"/>
                <w:szCs w:val="22"/>
                <w:highlight w:val="none"/>
              </w:rPr>
            </w:pPr>
          </w:p>
        </w:tc>
        <w:tc>
          <w:tcPr>
            <w:tcW w:w="2296" w:type="dxa"/>
            <w:gridSpan w:val="2"/>
            <w:vAlign w:val="top"/>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olor w:val="auto"/>
                <w:sz w:val="22"/>
                <w:szCs w:val="22"/>
                <w:highlight w:val="none"/>
              </w:rPr>
            </w:pPr>
          </w:p>
        </w:tc>
        <w:tc>
          <w:tcPr>
            <w:tcW w:w="3074" w:type="dxa"/>
            <w:gridSpan w:val="4"/>
            <w:vAlign w:val="top"/>
          </w:tcPr>
          <w:p>
            <w:pPr>
              <w:spacing w:line="440" w:lineRule="exact"/>
              <w:rPr>
                <w:rFonts w:ascii="宋体" w:hAnsi="宋体"/>
                <w:color w:val="auto"/>
                <w:sz w:val="22"/>
                <w:szCs w:val="22"/>
                <w:highlight w:val="none"/>
              </w:rPr>
            </w:pPr>
          </w:p>
        </w:tc>
        <w:tc>
          <w:tcPr>
            <w:tcW w:w="1261" w:type="dxa"/>
            <w:vAlign w:val="top"/>
          </w:tcPr>
          <w:p>
            <w:pPr>
              <w:spacing w:line="440" w:lineRule="exact"/>
              <w:rPr>
                <w:rFonts w:ascii="宋体" w:hAnsi="宋体"/>
                <w:color w:val="auto"/>
                <w:sz w:val="22"/>
                <w:szCs w:val="22"/>
                <w:highlight w:val="none"/>
              </w:rPr>
            </w:pPr>
          </w:p>
        </w:tc>
        <w:tc>
          <w:tcPr>
            <w:tcW w:w="2296" w:type="dxa"/>
            <w:gridSpan w:val="2"/>
            <w:vAlign w:val="top"/>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color w:val="auto"/>
                <w:sz w:val="22"/>
                <w:szCs w:val="22"/>
                <w:highlight w:val="none"/>
              </w:rPr>
            </w:pPr>
          </w:p>
        </w:tc>
        <w:tc>
          <w:tcPr>
            <w:tcW w:w="3074" w:type="dxa"/>
            <w:gridSpan w:val="4"/>
            <w:vAlign w:val="center"/>
          </w:tcPr>
          <w:p>
            <w:pPr>
              <w:spacing w:line="440" w:lineRule="exact"/>
              <w:rPr>
                <w:rFonts w:ascii="宋体" w:hAnsi="宋体"/>
                <w:color w:val="auto"/>
                <w:sz w:val="22"/>
                <w:szCs w:val="22"/>
                <w:highlight w:val="none"/>
              </w:rPr>
            </w:pPr>
          </w:p>
        </w:tc>
        <w:tc>
          <w:tcPr>
            <w:tcW w:w="1261" w:type="dxa"/>
            <w:vAlign w:val="center"/>
          </w:tcPr>
          <w:p>
            <w:pPr>
              <w:spacing w:line="440" w:lineRule="exact"/>
              <w:rPr>
                <w:rFonts w:ascii="宋体" w:hAnsi="宋体"/>
                <w:color w:val="auto"/>
                <w:sz w:val="22"/>
                <w:szCs w:val="22"/>
                <w:highlight w:val="none"/>
              </w:rPr>
            </w:pPr>
          </w:p>
        </w:tc>
        <w:tc>
          <w:tcPr>
            <w:tcW w:w="2296" w:type="dxa"/>
            <w:gridSpan w:val="2"/>
            <w:vAlign w:val="center"/>
          </w:tcPr>
          <w:p>
            <w:pPr>
              <w:spacing w:line="440" w:lineRule="exact"/>
              <w:rPr>
                <w:rFonts w:ascii="宋体" w:hAnsi="宋体"/>
                <w:color w:val="auto"/>
                <w:sz w:val="22"/>
                <w:szCs w:val="22"/>
                <w:highlight w:val="none"/>
              </w:rPr>
            </w:pPr>
          </w:p>
        </w:tc>
      </w:tr>
    </w:tbl>
    <w:p>
      <w:pPr>
        <w:spacing w:line="440" w:lineRule="exact"/>
        <w:rPr>
          <w:rFonts w:ascii="宋体" w:hAnsi="宋体"/>
          <w:color w:val="auto"/>
          <w:sz w:val="20"/>
          <w:szCs w:val="20"/>
          <w:highlight w:val="none"/>
        </w:rPr>
      </w:pPr>
    </w:p>
    <w:p>
      <w:pPr>
        <w:spacing w:line="440" w:lineRule="exact"/>
        <w:jc w:val="center"/>
        <w:rPr>
          <w:rFonts w:ascii="Calibri" w:hAnsi="Calibri" w:eastAsia="黑体" w:cs="Calibri"/>
          <w:color w:val="auto"/>
          <w:sz w:val="32"/>
          <w:szCs w:val="32"/>
          <w:highlight w:val="none"/>
        </w:rPr>
      </w:pPr>
      <w:r>
        <w:rPr>
          <w:rFonts w:hint="eastAsia" w:ascii="宋体" w:hAnsi="宋体" w:eastAsia="宋体"/>
          <w:color w:val="auto"/>
          <w:highlight w:val="none"/>
        </w:rPr>
        <w:br w:type="page"/>
      </w:r>
      <w:bookmarkStart w:id="152" w:name="_Toc245036711"/>
      <w:bookmarkStart w:id="153" w:name="_Toc7025"/>
      <w:r>
        <w:rPr>
          <w:rFonts w:hint="eastAsia" w:ascii="Calibri" w:hAnsi="Calibri" w:eastAsia="黑体" w:cs="Calibri"/>
          <w:color w:val="auto"/>
          <w:sz w:val="32"/>
          <w:szCs w:val="32"/>
          <w:highlight w:val="none"/>
        </w:rPr>
        <w:t>七、资格审查资料</w:t>
      </w:r>
      <w:bookmarkEnd w:id="152"/>
      <w:bookmarkEnd w:id="153"/>
    </w:p>
    <w:p>
      <w:pPr>
        <w:topLinePunct/>
        <w:spacing w:line="440" w:lineRule="exact"/>
        <w:jc w:val="center"/>
        <w:rPr>
          <w:rFonts w:ascii="宋体" w:hAnsi="宋体"/>
          <w:color w:val="auto"/>
          <w:sz w:val="27"/>
          <w:szCs w:val="27"/>
          <w:highlight w:val="none"/>
        </w:rPr>
      </w:pPr>
    </w:p>
    <w:p>
      <w:pPr>
        <w:pStyle w:val="85"/>
        <w:rPr>
          <w:rFonts w:ascii="宋体" w:hAnsi="宋体" w:eastAsia="宋体"/>
          <w:color w:val="auto"/>
          <w:szCs w:val="23"/>
          <w:highlight w:val="none"/>
        </w:rPr>
      </w:pPr>
      <w:bookmarkStart w:id="154" w:name="_Toc144974876"/>
      <w:bookmarkStart w:id="155" w:name="_Toc152042597"/>
      <w:bookmarkStart w:id="156" w:name="_Toc152045808"/>
      <w:bookmarkStart w:id="157" w:name="_Toc245036712"/>
      <w:bookmarkStart w:id="158" w:name="_Toc17487"/>
      <w:r>
        <w:rPr>
          <w:rFonts w:hint="eastAsia" w:ascii="宋体" w:hAnsi="宋体" w:eastAsia="宋体"/>
          <w:color w:val="auto"/>
          <w:szCs w:val="23"/>
          <w:highlight w:val="none"/>
        </w:rPr>
        <w:t>（一）投标人基本情况表</w:t>
      </w:r>
      <w:bookmarkEnd w:id="154"/>
      <w:bookmarkEnd w:id="155"/>
      <w:bookmarkEnd w:id="156"/>
      <w:bookmarkEnd w:id="157"/>
      <w:bookmarkEnd w:id="158"/>
    </w:p>
    <w:p>
      <w:pPr>
        <w:topLinePunct/>
        <w:spacing w:line="440" w:lineRule="exact"/>
        <w:jc w:val="center"/>
        <w:rPr>
          <w:rFonts w:ascii="宋体" w:hAnsi="宋体"/>
          <w:color w:val="auto"/>
          <w:sz w:val="23"/>
          <w:szCs w:val="23"/>
          <w:highlight w:val="none"/>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color w:val="auto"/>
                <w:sz w:val="22"/>
                <w:szCs w:val="22"/>
                <w:highlight w:val="none"/>
              </w:rPr>
            </w:pPr>
            <w:r>
              <w:rPr>
                <w:rFonts w:hint="eastAsia" w:ascii="宋体" w:hAnsi="宋体"/>
                <w:color w:val="auto"/>
                <w:sz w:val="22"/>
                <w:szCs w:val="22"/>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color w:val="auto"/>
                <w:sz w:val="22"/>
                <w:szCs w:val="22"/>
                <w:highlight w:val="none"/>
              </w:rPr>
            </w:pPr>
            <w:r>
              <w:rPr>
                <w:rFonts w:hint="eastAsia" w:ascii="宋体" w:hAnsi="宋体" w:eastAsia="宋体"/>
                <w:color w:val="auto"/>
                <w:sz w:val="22"/>
                <w:szCs w:val="22"/>
                <w:highlight w:val="none"/>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color w:val="auto"/>
                <w:sz w:val="22"/>
                <w:szCs w:val="22"/>
                <w:highlight w:val="none"/>
              </w:rPr>
            </w:pPr>
            <w:r>
              <w:rPr>
                <w:rFonts w:hint="eastAsia" w:ascii="宋体" w:hAnsi="宋体"/>
                <w:color w:val="auto"/>
                <w:sz w:val="22"/>
                <w:szCs w:val="22"/>
                <w:highlight w:val="none"/>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p>
            <w:pPr>
              <w:topLinePunct/>
              <w:spacing w:line="440" w:lineRule="exact"/>
              <w:jc w:val="center"/>
              <w:rPr>
                <w:rFonts w:ascii="宋体" w:hAnsi="宋体"/>
                <w:color w:val="auto"/>
                <w:sz w:val="22"/>
                <w:szCs w:val="22"/>
                <w:highlight w:val="none"/>
              </w:rPr>
            </w:pPr>
          </w:p>
          <w:p>
            <w:pPr>
              <w:topLinePunct/>
              <w:spacing w:line="440" w:lineRule="exact"/>
              <w:jc w:val="center"/>
              <w:rPr>
                <w:rFonts w:ascii="宋体" w:hAnsi="宋体"/>
                <w:color w:val="auto"/>
                <w:sz w:val="22"/>
                <w:szCs w:val="22"/>
                <w:highlight w:val="none"/>
              </w:rPr>
            </w:pPr>
          </w:p>
          <w:p>
            <w:pPr>
              <w:topLinePunct/>
              <w:spacing w:line="440" w:lineRule="exact"/>
              <w:jc w:val="center"/>
              <w:rPr>
                <w:rFonts w:ascii="宋体" w:hAnsi="宋体"/>
                <w:color w:val="auto"/>
                <w:sz w:val="22"/>
                <w:szCs w:val="22"/>
                <w:highlight w:val="none"/>
              </w:rPr>
            </w:pPr>
          </w:p>
          <w:p>
            <w:pPr>
              <w:topLinePunct/>
              <w:spacing w:line="440" w:lineRule="exact"/>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r>
              <w:rPr>
                <w:rFonts w:hint="eastAsia" w:ascii="宋体" w:hAnsi="宋体"/>
                <w:color w:val="auto"/>
                <w:sz w:val="22"/>
                <w:szCs w:val="22"/>
                <w:highlight w:val="none"/>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olor w:val="auto"/>
                <w:sz w:val="22"/>
                <w:szCs w:val="22"/>
                <w:highlight w:val="none"/>
              </w:rPr>
            </w:pPr>
          </w:p>
        </w:tc>
      </w:tr>
    </w:tbl>
    <w:p>
      <w:pPr>
        <w:spacing w:line="400" w:lineRule="exact"/>
        <w:ind w:firstLine="480" w:firstLineChars="200"/>
        <w:rPr>
          <w:rFonts w:ascii="宋体" w:hAnsi="宋体"/>
          <w:color w:val="auto"/>
          <w:highlight w:val="none"/>
        </w:rPr>
      </w:pPr>
      <w:r>
        <w:rPr>
          <w:rFonts w:hint="eastAsia" w:ascii="宋体" w:hAnsi="宋体"/>
          <w:color w:val="auto"/>
          <w:highlight w:val="none"/>
        </w:rPr>
        <w:t>附：投标人有效的营业执照、资质证书、安全生产许可证及三类人员证书（和任命文件）、业绩证明材料等复印件。</w:t>
      </w:r>
    </w:p>
    <w:p>
      <w:pPr>
        <w:pStyle w:val="85"/>
        <w:rPr>
          <w:rFonts w:ascii="宋体" w:hAnsi="宋体" w:eastAsia="宋体"/>
          <w:color w:val="auto"/>
          <w:szCs w:val="23"/>
          <w:highlight w:val="none"/>
        </w:rPr>
      </w:pPr>
      <w:bookmarkStart w:id="159" w:name="_Toc144974877"/>
      <w:bookmarkStart w:id="160" w:name="_Toc152045809"/>
      <w:bookmarkStart w:id="161" w:name="_Toc245036713"/>
      <w:bookmarkStart w:id="162" w:name="_Toc16950"/>
      <w:bookmarkStart w:id="163" w:name="_Toc152042598"/>
      <w:r>
        <w:rPr>
          <w:rFonts w:hint="eastAsia" w:ascii="宋体" w:hAnsi="宋体" w:eastAsia="宋体"/>
          <w:color w:val="auto"/>
          <w:highlight w:val="none"/>
        </w:rPr>
        <w:br w:type="page"/>
      </w:r>
      <w:r>
        <w:rPr>
          <w:rFonts w:hint="eastAsia" w:ascii="宋体" w:hAnsi="宋体" w:eastAsia="宋体"/>
          <w:color w:val="auto"/>
          <w:highlight w:val="none"/>
        </w:rPr>
        <w:t>（二）近年财务状况表</w:t>
      </w:r>
      <w:bookmarkEnd w:id="159"/>
      <w:bookmarkEnd w:id="160"/>
      <w:bookmarkEnd w:id="161"/>
      <w:bookmarkEnd w:id="162"/>
      <w:bookmarkEnd w:id="163"/>
    </w:p>
    <w:p>
      <w:pPr>
        <w:spacing w:line="440" w:lineRule="exact"/>
        <w:rPr>
          <w:rFonts w:ascii="宋体" w:hAnsi="宋体"/>
          <w:color w:val="auto"/>
          <w:sz w:val="23"/>
          <w:szCs w:val="23"/>
          <w:highlight w:val="none"/>
        </w:rPr>
      </w:pPr>
    </w:p>
    <w:p>
      <w:pPr>
        <w:pStyle w:val="85"/>
        <w:rPr>
          <w:rFonts w:ascii="宋体" w:hAnsi="宋体" w:eastAsia="宋体"/>
          <w:color w:val="auto"/>
          <w:szCs w:val="23"/>
          <w:highlight w:val="none"/>
        </w:rPr>
      </w:pPr>
      <w:bookmarkStart w:id="164" w:name="_Toc31021"/>
      <w:bookmarkStart w:id="165" w:name="_Toc245036714"/>
      <w:bookmarkStart w:id="166" w:name="_Toc152045810"/>
      <w:bookmarkStart w:id="167" w:name="_Toc152042599"/>
      <w:bookmarkStart w:id="168" w:name="_Toc144974878"/>
      <w:r>
        <w:rPr>
          <w:rFonts w:hint="eastAsia" w:ascii="宋体" w:hAnsi="宋体" w:eastAsia="宋体"/>
          <w:color w:val="auto"/>
          <w:szCs w:val="23"/>
          <w:highlight w:val="none"/>
        </w:rPr>
        <w:t>（三）近年完成的类似项目情况表</w:t>
      </w:r>
      <w:bookmarkEnd w:id="164"/>
      <w:bookmarkEnd w:id="165"/>
      <w:bookmarkEnd w:id="166"/>
      <w:bookmarkEnd w:id="167"/>
      <w:bookmarkEnd w:id="168"/>
    </w:p>
    <w:p>
      <w:pPr>
        <w:spacing w:line="440" w:lineRule="exact"/>
        <w:jc w:val="center"/>
        <w:rPr>
          <w:rFonts w:ascii="宋体" w:hAnsi="宋体"/>
          <w:color w:val="auto"/>
          <w:sz w:val="23"/>
          <w:szCs w:val="23"/>
          <w:highlight w:val="none"/>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项目名称</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bookmarkStart w:id="169" w:name="_Toc13233"/>
            <w:r>
              <w:rPr>
                <w:rFonts w:hint="eastAsia" w:ascii="宋体" w:hAnsi="宋体"/>
                <w:color w:val="auto"/>
                <w:szCs w:val="21"/>
                <w:highlight w:val="none"/>
              </w:rPr>
              <w:t>项目所在地</w:t>
            </w:r>
            <w:bookmarkEnd w:id="169"/>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发包人名称</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bookmarkStart w:id="170" w:name="_Toc20896"/>
            <w:r>
              <w:rPr>
                <w:rFonts w:hint="eastAsia" w:ascii="宋体" w:hAnsi="宋体"/>
                <w:color w:val="auto"/>
                <w:szCs w:val="21"/>
                <w:highlight w:val="none"/>
              </w:rPr>
              <w:t>发包人地址</w:t>
            </w:r>
            <w:bookmarkEnd w:id="170"/>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发包人电话</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合同价格</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开工日期</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竣工日期</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bookmarkStart w:id="171" w:name="_Toc3155"/>
            <w:r>
              <w:rPr>
                <w:rFonts w:hint="eastAsia" w:ascii="宋体" w:hAnsi="宋体"/>
                <w:color w:val="auto"/>
                <w:szCs w:val="21"/>
                <w:highlight w:val="none"/>
              </w:rPr>
              <w:t>承担的工作</w:t>
            </w:r>
            <w:bookmarkEnd w:id="171"/>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工程质量</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项目经理</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技术负责人</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总监理工程师及电话</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项目描述</w:t>
            </w:r>
          </w:p>
        </w:tc>
        <w:tc>
          <w:tcPr>
            <w:tcW w:w="5927" w:type="dxa"/>
            <w:vAlign w:val="center"/>
          </w:tcPr>
          <w:p>
            <w:pPr>
              <w:topLinePunct/>
              <w:spacing w:line="44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备注</w:t>
            </w:r>
          </w:p>
        </w:tc>
        <w:tc>
          <w:tcPr>
            <w:tcW w:w="5927" w:type="dxa"/>
            <w:vAlign w:val="center"/>
          </w:tcPr>
          <w:p>
            <w:pPr>
              <w:topLinePunct/>
              <w:spacing w:line="440" w:lineRule="exact"/>
              <w:rPr>
                <w:rFonts w:ascii="宋体" w:hAnsi="宋体"/>
                <w:color w:val="auto"/>
                <w:szCs w:val="21"/>
                <w:highlight w:val="none"/>
              </w:rPr>
            </w:pPr>
          </w:p>
        </w:tc>
      </w:tr>
    </w:tbl>
    <w:p>
      <w:pPr>
        <w:pStyle w:val="85"/>
        <w:rPr>
          <w:rFonts w:ascii="宋体" w:hAnsi="宋体" w:eastAsia="宋体"/>
          <w:color w:val="auto"/>
          <w:szCs w:val="23"/>
          <w:highlight w:val="none"/>
        </w:rPr>
      </w:pPr>
      <w:bookmarkStart w:id="172" w:name="_Toc152042600"/>
      <w:bookmarkStart w:id="173" w:name="_Toc26600"/>
      <w:bookmarkStart w:id="174" w:name="_Toc144974879"/>
      <w:bookmarkStart w:id="175" w:name="_Toc152045811"/>
      <w:bookmarkStart w:id="176" w:name="_Toc245036715"/>
      <w:r>
        <w:rPr>
          <w:rFonts w:hint="eastAsia" w:ascii="宋体" w:hAnsi="宋体" w:eastAsia="宋体"/>
          <w:color w:val="auto"/>
          <w:szCs w:val="23"/>
          <w:highlight w:val="none"/>
        </w:rPr>
        <w:br w:type="page"/>
      </w:r>
      <w:r>
        <w:rPr>
          <w:rFonts w:hint="eastAsia" w:ascii="宋体" w:hAnsi="宋体" w:eastAsia="宋体"/>
          <w:color w:val="auto"/>
          <w:szCs w:val="23"/>
          <w:highlight w:val="none"/>
        </w:rPr>
        <w:t>（四）正在施工的和新承接的项目情况表</w:t>
      </w:r>
      <w:bookmarkEnd w:id="172"/>
      <w:bookmarkEnd w:id="173"/>
      <w:bookmarkEnd w:id="174"/>
      <w:bookmarkEnd w:id="175"/>
      <w:bookmarkEnd w:id="176"/>
    </w:p>
    <w:p>
      <w:pPr>
        <w:keepNext/>
        <w:keepLines/>
        <w:topLinePunct/>
        <w:spacing w:before="240" w:beforeLines="100" w:line="280" w:lineRule="exact"/>
        <w:outlineLvl w:val="2"/>
        <w:rPr>
          <w:rFonts w:ascii="宋体" w:hAnsi="宋体"/>
          <w:b/>
          <w:bCs/>
          <w:color w:val="auto"/>
          <w:szCs w:val="21"/>
          <w:highlight w:val="none"/>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bookmarkStart w:id="177" w:name="_Toc5773"/>
            <w:bookmarkStart w:id="178" w:name="_Toc144974880"/>
            <w:bookmarkStart w:id="179" w:name="_Toc152042601"/>
            <w:bookmarkStart w:id="180" w:name="_Toc152045812"/>
            <w:bookmarkStart w:id="181" w:name="_Toc245036716"/>
            <w:r>
              <w:rPr>
                <w:rFonts w:hint="eastAsia" w:ascii="宋体" w:hAnsi="宋体"/>
                <w:color w:val="auto"/>
                <w:szCs w:val="21"/>
                <w:highlight w:val="none"/>
              </w:rPr>
              <w:t>项目名称</w:t>
            </w:r>
            <w:bookmarkEnd w:id="177"/>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项目所在地</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发包人名称</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发包人地址</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发包人电话</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签约合同价</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开工日期</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计划竣工日期</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承担的工作</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工程质量</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项目经理</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技术负责人</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总监理工程师及电话</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项目描述</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color w:val="auto"/>
                <w:szCs w:val="21"/>
                <w:highlight w:val="none"/>
              </w:rPr>
            </w:pPr>
            <w:r>
              <w:rPr>
                <w:rFonts w:hint="eastAsia" w:ascii="宋体" w:hAnsi="宋体"/>
                <w:color w:val="auto"/>
                <w:szCs w:val="21"/>
                <w:highlight w:val="none"/>
              </w:rPr>
              <w:t>备注</w:t>
            </w:r>
          </w:p>
        </w:tc>
        <w:tc>
          <w:tcPr>
            <w:tcW w:w="6480" w:type="dxa"/>
            <w:vAlign w:val="center"/>
          </w:tcPr>
          <w:p>
            <w:pPr>
              <w:keepNext/>
              <w:keepLines/>
              <w:topLinePunct/>
              <w:spacing w:before="240" w:beforeLines="100" w:line="280" w:lineRule="exact"/>
              <w:outlineLvl w:val="2"/>
              <w:rPr>
                <w:rFonts w:ascii="宋体" w:hAnsi="宋体"/>
                <w:b/>
                <w:bCs/>
                <w:color w:val="auto"/>
                <w:szCs w:val="21"/>
                <w:highlight w:val="none"/>
              </w:rPr>
            </w:pPr>
          </w:p>
        </w:tc>
      </w:tr>
      <w:bookmarkEnd w:id="178"/>
      <w:bookmarkEnd w:id="179"/>
      <w:bookmarkEnd w:id="180"/>
      <w:bookmarkEnd w:id="181"/>
    </w:tbl>
    <w:p>
      <w:pPr>
        <w:spacing w:line="440" w:lineRule="exact"/>
        <w:rPr>
          <w:rFonts w:ascii="宋体" w:hAnsi="宋体"/>
          <w:color w:val="auto"/>
          <w:sz w:val="20"/>
          <w:szCs w:val="20"/>
          <w:highlight w:val="none"/>
        </w:rPr>
      </w:pPr>
    </w:p>
    <w:p>
      <w:pPr>
        <w:spacing w:line="440" w:lineRule="exact"/>
        <w:jc w:val="center"/>
        <w:rPr>
          <w:rFonts w:ascii="Calibri" w:hAnsi="Calibri" w:eastAsia="黑体" w:cs="Calibri"/>
          <w:color w:val="auto"/>
          <w:sz w:val="32"/>
          <w:szCs w:val="32"/>
          <w:highlight w:val="none"/>
        </w:rPr>
      </w:pPr>
      <w:bookmarkStart w:id="182" w:name="_Toc144974881"/>
      <w:bookmarkStart w:id="183" w:name="_Toc152042602"/>
      <w:bookmarkStart w:id="184" w:name="_Toc152045813"/>
      <w:bookmarkStart w:id="185" w:name="_Toc675"/>
      <w:bookmarkStart w:id="186" w:name="_Toc245036717"/>
      <w:r>
        <w:rPr>
          <w:rFonts w:hint="eastAsia" w:ascii="宋体" w:hAnsi="宋体" w:eastAsia="宋体"/>
          <w:color w:val="auto"/>
          <w:highlight w:val="none"/>
        </w:rPr>
        <w:br w:type="page"/>
      </w:r>
      <w:r>
        <w:rPr>
          <w:rFonts w:hint="eastAsia" w:ascii="Calibri" w:hAnsi="Calibri" w:eastAsia="黑体" w:cs="Calibri"/>
          <w:color w:val="auto"/>
          <w:sz w:val="32"/>
          <w:szCs w:val="32"/>
          <w:highlight w:val="none"/>
        </w:rPr>
        <w:t>八、</w:t>
      </w:r>
      <w:bookmarkStart w:id="187" w:name="_Toc21221"/>
      <w:bookmarkEnd w:id="182"/>
      <w:bookmarkEnd w:id="183"/>
      <w:bookmarkEnd w:id="184"/>
      <w:bookmarkEnd w:id="185"/>
      <w:bookmarkEnd w:id="186"/>
      <w:r>
        <w:rPr>
          <w:rFonts w:hint="eastAsia" w:ascii="Calibri" w:hAnsi="Calibri" w:eastAsia="黑体" w:cs="Calibri"/>
          <w:color w:val="auto"/>
          <w:sz w:val="32"/>
          <w:szCs w:val="32"/>
          <w:highlight w:val="none"/>
        </w:rPr>
        <w:t>投标人认为</w:t>
      </w:r>
      <w:r>
        <w:rPr>
          <w:rFonts w:ascii="Calibri" w:hAnsi="Calibri" w:eastAsia="黑体" w:cs="Calibri"/>
          <w:color w:val="auto"/>
          <w:sz w:val="32"/>
          <w:szCs w:val="32"/>
          <w:highlight w:val="none"/>
        </w:rPr>
        <w:t>应该提供的其他材料</w:t>
      </w:r>
    </w:p>
    <w:bookmarkEnd w:id="187"/>
    <w:p>
      <w:pPr>
        <w:overflowPunct w:val="0"/>
        <w:autoSpaceDE w:val="0"/>
        <w:autoSpaceDN w:val="0"/>
        <w:spacing w:line="440" w:lineRule="exact"/>
        <w:ind w:left="839" w:hanging="839"/>
        <w:jc w:val="center"/>
        <w:rPr>
          <w:rFonts w:ascii="宋体" w:hAnsi="宋体" w:cs="宋体"/>
          <w:b/>
          <w:color w:val="auto"/>
          <w:sz w:val="32"/>
          <w:szCs w:val="32"/>
          <w:highlight w:val="none"/>
        </w:rPr>
      </w:pPr>
    </w:p>
    <w:sectPr>
      <w:footerReference r:id="rId8"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86"/>
    <w:family w:val="auto"/>
    <w:pitch w:val="default"/>
    <w:sig w:usb0="E1002EFF" w:usb1="C000605B" w:usb2="00000029" w:usb3="00000000" w:csb0="200101FF" w:csb1="20280000"/>
  </w:font>
  <w:font w:name="Tms Rmn">
    <w:altName w:val="Segoe Print"/>
    <w:panose1 w:val="02020603040505020304"/>
    <w:charset w:val="00"/>
    <w:family w:val="auto"/>
    <w:pitch w:val="default"/>
    <w:sig w:usb0="00000000" w:usb1="00000000" w:usb2="00000000" w:usb3="00000000" w:csb0="00000001" w:csb1="0000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hakuyoxingshu7000">
    <w:altName w:val="宋体"/>
    <w:panose1 w:val="02000600000000000000"/>
    <w:charset w:val="86"/>
    <w:family w:val="auto"/>
    <w:pitch w:val="default"/>
    <w:sig w:usb0="00000000" w:usb1="00000000" w:usb2="0000003F" w:usb3="00000000" w:csb0="603F00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S?o｡ﾀ?">
    <w:altName w:val="MS Mincho"/>
    <w:panose1 w:val="00000000000000000000"/>
    <w:charset w:val="80"/>
    <w:family w:val="modern"/>
    <w:pitch w:val="default"/>
    <w:sig w:usb0="00000000" w:usb1="00000000" w:usb2="00000010" w:usb3="00000000" w:csb0="00020000" w:csb1="00000000"/>
  </w:font>
  <w:font w:name="Futura Bk">
    <w:altName w:val="Segoe UI"/>
    <w:panose1 w:val="00000000000000000000"/>
    <w:charset w:val="00"/>
    <w:family w:val="auto"/>
    <w:pitch w:val="default"/>
    <w:sig w:usb0="00000000" w:usb1="00000000" w:usb2="00000000" w:usb3="00000000" w:csb0="00000001" w:csb1="00000000"/>
  </w:font>
  <w:font w:name="??">
    <w:altName w:val="Constantia"/>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 w:name="Constantia">
    <w:panose1 w:val="02030602050306030303"/>
    <w:charset w:val="00"/>
    <w:family w:val="auto"/>
    <w:pitch w:val="default"/>
    <w:sig w:usb0="A00002EF" w:usb1="4000204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alibri">
    <w:panose1 w:val="020F0502020204030204"/>
    <w:charset w:val="86"/>
    <w:family w:val="swiss"/>
    <w:pitch w:val="default"/>
    <w:sig w:usb0="E00002FF" w:usb1="4000ACFF" w:usb2="00000001" w:usb3="00000000" w:csb0="2000019F" w:csb1="00000000"/>
  </w:font>
  <w:font w:name="长城行楷体">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MGDT">
    <w:altName w:val="Segoe UI Semilight"/>
    <w:panose1 w:val="02000400000000000000"/>
    <w:charset w:val="00"/>
    <w:family w:val="auto"/>
    <w:pitch w:val="default"/>
    <w:sig w:usb0="00000000" w:usb1="00000000" w:usb2="00000000" w:usb3="00000000" w:csb0="00000001" w:csb1="00000000"/>
  </w:font>
  <w:font w:name="方正楷体简体">
    <w:altName w:val="宋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方正隶书简体">
    <w:altName w:val="宋体"/>
    <w:panose1 w:val="00000000000000000000"/>
    <w:charset w:val="86"/>
    <w:family w:val="auto"/>
    <w:pitch w:val="default"/>
    <w:sig w:usb0="00000000" w:usb1="00000000" w:usb2="00000010" w:usb3="00000000" w:csb0="00040000" w:csb1="00000000"/>
  </w:font>
  <w:font w:name="方正水柱简体">
    <w:altName w:val="宋体"/>
    <w:panose1 w:val="00000000000000000000"/>
    <w:charset w:val="86"/>
    <w:family w:val="auto"/>
    <w:pitch w:val="default"/>
    <w:sig w:usb0="00000000" w:usb1="00000000" w:usb2="00000010" w:usb3="00000000" w:csb0="00040000" w:csb1="00000000"/>
  </w:font>
  <w:font w:name="Sim Sun+ 2">
    <w:altName w:val="宋体"/>
    <w:panose1 w:val="00000000000000000000"/>
    <w:charset w:val="86"/>
    <w:family w:val="swiss"/>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51 -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hint="eastAsia" w:ascii="宋体" w:hAnsi="宋体"/>
        <w:color w:val="000000"/>
        <w:szCs w:val="18"/>
      </w:rPr>
    </w:pPr>
    <w:r>
      <w:rPr>
        <w:rFonts w:hint="eastAsia" w:ascii="宋体" w:hAnsi="宋体"/>
        <w:color w:val="000000"/>
        <w:szCs w:val="18"/>
      </w:rPr>
      <w:t>杭州萧山国际机场</w:t>
    </w:r>
    <w:r>
      <w:rPr>
        <w:rFonts w:hint="eastAsia" w:ascii="宋体" w:hAnsi="宋体"/>
        <w:color w:val="000000"/>
        <w:szCs w:val="18"/>
        <w:lang w:val="en-US" w:eastAsia="zh-CN"/>
      </w:rPr>
      <w:t>T3中央空调主机房电磁式冷热量表安装</w:t>
    </w:r>
    <w:r>
      <w:rPr>
        <w:rFonts w:hint="eastAsia" w:ascii="宋体" w:hAnsi="宋体"/>
        <w:color w:val="000000"/>
        <w:szCs w:val="18"/>
      </w:rPr>
      <w:t>工程施工招标文件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
    <w:nsid w:val="FFFFFF89"/>
    <w:multiLevelType w:val="singleLevel"/>
    <w:tmpl w:val="FFFFFF89"/>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2">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287D0ABE"/>
    <w:multiLevelType w:val="multilevel"/>
    <w:tmpl w:val="287D0ABE"/>
    <w:lvl w:ilvl="0" w:tentative="0">
      <w:start w:val="1"/>
      <w:numFmt w:val="bullet"/>
      <w:lvlText w:val=""/>
      <w:lvlJc w:val="left"/>
      <w:pPr>
        <w:tabs>
          <w:tab w:val="left" w:pos="902"/>
        </w:tabs>
        <w:ind w:left="902" w:hanging="420"/>
      </w:pPr>
      <w:rPr>
        <w:rFonts w:hint="default" w:ascii="Wingdings" w:hAnsi="Wingdings"/>
      </w:rPr>
    </w:lvl>
    <w:lvl w:ilvl="1" w:tentative="0">
      <w:start w:val="2"/>
      <w:numFmt w:val="decimal"/>
      <w:lvlText w:val="%2）"/>
      <w:lvlJc w:val="left"/>
      <w:pPr>
        <w:tabs>
          <w:tab w:val="left" w:pos="1241"/>
        </w:tabs>
        <w:ind w:left="1241" w:hanging="360"/>
      </w:pPr>
      <w:rPr>
        <w:rFonts w:hint="eastAsia" w:ascii="宋体" w:hAnsi="宋体" w:eastAsia="宋体"/>
      </w:rPr>
    </w:lvl>
    <w:lvl w:ilvl="2" w:tentative="0">
      <w:start w:val="1"/>
      <w:numFmt w:val="bullet"/>
      <w:lvlText w:val=""/>
      <w:lvlJc w:val="left"/>
      <w:pPr>
        <w:tabs>
          <w:tab w:val="left" w:pos="1721"/>
        </w:tabs>
        <w:ind w:left="1721" w:hanging="420"/>
      </w:pPr>
      <w:rPr>
        <w:rFonts w:hint="default" w:ascii="Wingdings" w:hAnsi="Wingdings"/>
      </w:rPr>
    </w:lvl>
    <w:lvl w:ilvl="3" w:tentative="0">
      <w:start w:val="1"/>
      <w:numFmt w:val="bullet"/>
      <w:lvlText w:val=""/>
      <w:lvlJc w:val="left"/>
      <w:pPr>
        <w:tabs>
          <w:tab w:val="left" w:pos="2141"/>
        </w:tabs>
        <w:ind w:left="2141" w:hanging="420"/>
      </w:pPr>
      <w:rPr>
        <w:rFonts w:hint="default" w:ascii="Wingdings" w:hAnsi="Wingdings"/>
      </w:rPr>
    </w:lvl>
    <w:lvl w:ilvl="4" w:tentative="0">
      <w:start w:val="1"/>
      <w:numFmt w:val="bullet"/>
      <w:lvlText w:val=""/>
      <w:lvlJc w:val="left"/>
      <w:pPr>
        <w:tabs>
          <w:tab w:val="left" w:pos="2561"/>
        </w:tabs>
        <w:ind w:left="2561" w:hanging="420"/>
      </w:pPr>
      <w:rPr>
        <w:rFonts w:hint="default" w:ascii="Wingdings" w:hAnsi="Wingdings"/>
      </w:rPr>
    </w:lvl>
    <w:lvl w:ilvl="5" w:tentative="0">
      <w:start w:val="1"/>
      <w:numFmt w:val="bullet"/>
      <w:lvlText w:val=""/>
      <w:lvlJc w:val="left"/>
      <w:pPr>
        <w:tabs>
          <w:tab w:val="left" w:pos="2981"/>
        </w:tabs>
        <w:ind w:left="2981" w:hanging="420"/>
      </w:pPr>
      <w:rPr>
        <w:rFonts w:hint="default" w:ascii="Wingdings" w:hAnsi="Wingdings"/>
      </w:rPr>
    </w:lvl>
    <w:lvl w:ilvl="6" w:tentative="0">
      <w:start w:val="1"/>
      <w:numFmt w:val="bullet"/>
      <w:lvlText w:val=""/>
      <w:lvlJc w:val="left"/>
      <w:pPr>
        <w:tabs>
          <w:tab w:val="left" w:pos="3401"/>
        </w:tabs>
        <w:ind w:left="3401" w:hanging="420"/>
      </w:pPr>
      <w:rPr>
        <w:rFonts w:hint="default" w:ascii="Wingdings" w:hAnsi="Wingdings"/>
      </w:rPr>
    </w:lvl>
    <w:lvl w:ilvl="7" w:tentative="0">
      <w:start w:val="1"/>
      <w:numFmt w:val="bullet"/>
      <w:lvlText w:val=""/>
      <w:lvlJc w:val="left"/>
      <w:pPr>
        <w:tabs>
          <w:tab w:val="left" w:pos="3821"/>
        </w:tabs>
        <w:ind w:left="3821" w:hanging="420"/>
      </w:pPr>
      <w:rPr>
        <w:rFonts w:hint="default" w:ascii="Wingdings" w:hAnsi="Wingdings"/>
      </w:rPr>
    </w:lvl>
    <w:lvl w:ilvl="8" w:tentative="0">
      <w:start w:val="1"/>
      <w:numFmt w:val="bullet"/>
      <w:lvlText w:val=""/>
      <w:lvlJc w:val="left"/>
      <w:pPr>
        <w:tabs>
          <w:tab w:val="left" w:pos="4241"/>
        </w:tabs>
        <w:ind w:left="4241" w:hanging="420"/>
      </w:pPr>
      <w:rPr>
        <w:rFonts w:hint="default" w:ascii="Wingdings" w:hAnsi="Wingdings"/>
      </w:rPr>
    </w:lvl>
  </w:abstractNum>
  <w:abstractNum w:abstractNumId="4">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5">
    <w:nsid w:val="5C9F790B"/>
    <w:multiLevelType w:val="singleLevel"/>
    <w:tmpl w:val="5C9F790B"/>
    <w:lvl w:ilvl="0" w:tentative="0">
      <w:start w:val="4"/>
      <w:numFmt w:val="chineseCounting"/>
      <w:suff w:val="space"/>
      <w:lvlText w:val="第%1章"/>
      <w:lvlJc w:val="left"/>
    </w:lvl>
  </w:abstractNum>
  <w:abstractNum w:abstractNumId="6">
    <w:nsid w:val="5C9F7EDA"/>
    <w:multiLevelType w:val="singleLevel"/>
    <w:tmpl w:val="5C9F7EDA"/>
    <w:lvl w:ilvl="0" w:tentative="0">
      <w:start w:val="2"/>
      <w:numFmt w:val="chineseCounting"/>
      <w:suff w:val="nothing"/>
      <w:lvlText w:val="%1、"/>
      <w:lvlJc w:val="left"/>
    </w:lvl>
  </w:abstractNum>
  <w:abstractNum w:abstractNumId="7">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5"/>
      <w:lvlText w:val=""/>
      <w:lvlJc w:val="left"/>
      <w:pPr>
        <w:tabs>
          <w:tab w:val="left" w:pos="3780"/>
        </w:tabs>
        <w:ind w:left="3780" w:hanging="420"/>
      </w:pPr>
      <w:rPr>
        <w:rFonts w:hint="default" w:ascii="Wingdings" w:hAnsi="Wingdings"/>
      </w:r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3"/>
    <w:lvlOverride w:ilvl="1">
      <w:startOverride w:val="2"/>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15A87"/>
    <w:rsid w:val="000364CD"/>
    <w:rsid w:val="000548D5"/>
    <w:rsid w:val="00067938"/>
    <w:rsid w:val="00072BE7"/>
    <w:rsid w:val="00085498"/>
    <w:rsid w:val="0009401C"/>
    <w:rsid w:val="00126304"/>
    <w:rsid w:val="00163224"/>
    <w:rsid w:val="001A2C8A"/>
    <w:rsid w:val="001B74D1"/>
    <w:rsid w:val="001B7B85"/>
    <w:rsid w:val="001D16EF"/>
    <w:rsid w:val="001D4A33"/>
    <w:rsid w:val="001F5F11"/>
    <w:rsid w:val="00207FDB"/>
    <w:rsid w:val="00231DE4"/>
    <w:rsid w:val="00237E7F"/>
    <w:rsid w:val="00271DA4"/>
    <w:rsid w:val="00274CF1"/>
    <w:rsid w:val="00290CF4"/>
    <w:rsid w:val="002B50D5"/>
    <w:rsid w:val="003B6ABA"/>
    <w:rsid w:val="003B6DFB"/>
    <w:rsid w:val="003D616C"/>
    <w:rsid w:val="003E3DF1"/>
    <w:rsid w:val="00410084"/>
    <w:rsid w:val="0044307B"/>
    <w:rsid w:val="004F6A52"/>
    <w:rsid w:val="00543292"/>
    <w:rsid w:val="00555923"/>
    <w:rsid w:val="005A38DC"/>
    <w:rsid w:val="006100AB"/>
    <w:rsid w:val="006736B8"/>
    <w:rsid w:val="006C0B49"/>
    <w:rsid w:val="006D62FE"/>
    <w:rsid w:val="00736ACF"/>
    <w:rsid w:val="007E3F72"/>
    <w:rsid w:val="007F56C7"/>
    <w:rsid w:val="008147AA"/>
    <w:rsid w:val="008F5FC4"/>
    <w:rsid w:val="00947D56"/>
    <w:rsid w:val="009B7EAA"/>
    <w:rsid w:val="00A21C8B"/>
    <w:rsid w:val="00A3482D"/>
    <w:rsid w:val="00A55543"/>
    <w:rsid w:val="00A7715C"/>
    <w:rsid w:val="00A82892"/>
    <w:rsid w:val="00A92208"/>
    <w:rsid w:val="00A925E0"/>
    <w:rsid w:val="00BA5708"/>
    <w:rsid w:val="00C70CC3"/>
    <w:rsid w:val="00C93015"/>
    <w:rsid w:val="00D26F9D"/>
    <w:rsid w:val="00D328B7"/>
    <w:rsid w:val="00DD007E"/>
    <w:rsid w:val="00E5018D"/>
    <w:rsid w:val="00E74A00"/>
    <w:rsid w:val="00EB3514"/>
    <w:rsid w:val="00F12E55"/>
    <w:rsid w:val="00F8442C"/>
    <w:rsid w:val="00FB63E8"/>
    <w:rsid w:val="01D65452"/>
    <w:rsid w:val="035F22F2"/>
    <w:rsid w:val="06C332E9"/>
    <w:rsid w:val="07AB5076"/>
    <w:rsid w:val="07B901A4"/>
    <w:rsid w:val="0CF35AD8"/>
    <w:rsid w:val="11E1070B"/>
    <w:rsid w:val="12E16E72"/>
    <w:rsid w:val="12F50922"/>
    <w:rsid w:val="13937FC7"/>
    <w:rsid w:val="171F210F"/>
    <w:rsid w:val="175250EA"/>
    <w:rsid w:val="17DF3E52"/>
    <w:rsid w:val="18B86071"/>
    <w:rsid w:val="1939744E"/>
    <w:rsid w:val="19B21B0C"/>
    <w:rsid w:val="1AC83BAE"/>
    <w:rsid w:val="21766D21"/>
    <w:rsid w:val="21AA36AD"/>
    <w:rsid w:val="22EE2B3B"/>
    <w:rsid w:val="236F5461"/>
    <w:rsid w:val="239D6DE1"/>
    <w:rsid w:val="28146D41"/>
    <w:rsid w:val="28167D14"/>
    <w:rsid w:val="2A694C79"/>
    <w:rsid w:val="2B4E6F70"/>
    <w:rsid w:val="2D8C6A9F"/>
    <w:rsid w:val="2E9410C5"/>
    <w:rsid w:val="2F3D7AEB"/>
    <w:rsid w:val="2FB87811"/>
    <w:rsid w:val="351D148B"/>
    <w:rsid w:val="398976F0"/>
    <w:rsid w:val="3A4A589D"/>
    <w:rsid w:val="3EDD616D"/>
    <w:rsid w:val="3F751AA7"/>
    <w:rsid w:val="3F9B5517"/>
    <w:rsid w:val="44E70340"/>
    <w:rsid w:val="46930A58"/>
    <w:rsid w:val="4724694D"/>
    <w:rsid w:val="4E1D798E"/>
    <w:rsid w:val="51B263DA"/>
    <w:rsid w:val="51B87146"/>
    <w:rsid w:val="52710797"/>
    <w:rsid w:val="5CB55C9C"/>
    <w:rsid w:val="62D32F86"/>
    <w:rsid w:val="63213022"/>
    <w:rsid w:val="63555FB5"/>
    <w:rsid w:val="6558366B"/>
    <w:rsid w:val="69234ED7"/>
    <w:rsid w:val="6F297D5A"/>
    <w:rsid w:val="72667976"/>
    <w:rsid w:val="76C26DE5"/>
    <w:rsid w:val="76D320B2"/>
    <w:rsid w:val="771575C1"/>
    <w:rsid w:val="787F5AC5"/>
    <w:rsid w:val="7B9E33E4"/>
  </w:rsids>
  <m:mathPr>
    <m:lMargin m:val="0"/>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3">
    <w:name w:val="heading 2"/>
    <w:basedOn w:val="1"/>
    <w:next w:val="1"/>
    <w:link w:val="88"/>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4">
    <w:name w:val="heading 3"/>
    <w:basedOn w:val="1"/>
    <w:next w:val="1"/>
    <w:link w:val="89"/>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5">
    <w:name w:val="heading 4"/>
    <w:basedOn w:val="1"/>
    <w:next w:val="1"/>
    <w:link w:val="90"/>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rPr>
  </w:style>
  <w:style w:type="paragraph" w:styleId="9">
    <w:name w:val="heading 8"/>
    <w:basedOn w:val="1"/>
    <w:next w:val="1"/>
    <w:link w:val="94"/>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eastAsia="宋体" w:cs="Times New Roman"/>
      <w:sz w:val="21"/>
    </w:rPr>
  </w:style>
  <w:style w:type="paragraph" w:styleId="12">
    <w:name w:val="annotation subject"/>
    <w:basedOn w:val="13"/>
    <w:next w:val="13"/>
    <w:link w:val="123"/>
    <w:semiHidden/>
    <w:qFormat/>
    <w:uiPriority w:val="0"/>
    <w:rPr>
      <w:rFonts w:ascii="Times New Roman" w:hAnsi="Times New Roman" w:eastAsia="宋体" w:cs="Times New Roman"/>
      <w:b/>
      <w:bCs/>
      <w:kern w:val="0"/>
      <w:sz w:val="20"/>
    </w:rPr>
  </w:style>
  <w:style w:type="paragraph" w:styleId="13">
    <w:name w:val="annotation text"/>
    <w:basedOn w:val="1"/>
    <w:link w:val="128"/>
    <w:unhideWhenUsed/>
    <w:qFormat/>
    <w:uiPriority w:val="0"/>
    <w:pPr>
      <w:jc w:val="left"/>
    </w:pPr>
  </w:style>
  <w:style w:type="paragraph" w:styleId="14">
    <w:name w:val="toc 7"/>
    <w:basedOn w:val="1"/>
    <w:next w:val="1"/>
    <w:qFormat/>
    <w:uiPriority w:val="0"/>
    <w:pPr>
      <w:ind w:left="1260"/>
      <w:jc w:val="left"/>
    </w:pPr>
    <w:rPr>
      <w:rFonts w:ascii="Times New Roman" w:hAnsi="Times New Roman" w:eastAsia="宋体" w:cs="Times New Roman"/>
      <w:sz w:val="20"/>
      <w:szCs w:val="20"/>
    </w:rPr>
  </w:style>
  <w:style w:type="paragraph" w:styleId="15">
    <w:name w:val="Body Text First Indent"/>
    <w:basedOn w:val="16"/>
    <w:link w:val="118"/>
    <w:qFormat/>
    <w:uiPriority w:val="0"/>
    <w:pPr>
      <w:ind w:firstLine="420" w:firstLineChars="100"/>
    </w:pPr>
    <w:rPr>
      <w:rFonts w:ascii="Times New Roman" w:hAnsi="Times New Roman" w:eastAsia="宋体" w:cs="Times New Roman"/>
      <w:kern w:val="0"/>
      <w:sz w:val="20"/>
    </w:rPr>
  </w:style>
  <w:style w:type="paragraph" w:styleId="16">
    <w:name w:val="Body Text"/>
    <w:basedOn w:val="1"/>
    <w:link w:val="130"/>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eastAsia="宋体" w:cs="Times New Roman"/>
      <w:sz w:val="21"/>
    </w:rPr>
  </w:style>
  <w:style w:type="paragraph" w:styleId="18">
    <w:name w:val="Normal Indent"/>
    <w:basedOn w:val="1"/>
    <w:qFormat/>
    <w:uiPriority w:val="0"/>
    <w:pPr>
      <w:ind w:firstLine="420"/>
    </w:pPr>
    <w:rPr>
      <w:rFonts w:ascii="Times New Roman" w:hAnsi="Times New Roman" w:eastAsia="宋体"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eastAsia="宋体" w:cs="Times New Roman"/>
      <w:sz w:val="21"/>
    </w:rPr>
  </w:style>
  <w:style w:type="paragraph" w:styleId="21">
    <w:name w:val="List Bullet"/>
    <w:basedOn w:val="1"/>
    <w:qFormat/>
    <w:uiPriority w:val="0"/>
    <w:pPr>
      <w:numPr>
        <w:ilvl w:val="0"/>
        <w:numId w:val="2"/>
      </w:numPr>
    </w:pPr>
    <w:rPr>
      <w:rFonts w:ascii="Times New Roman" w:hAnsi="Times New Roman" w:eastAsia="宋体" w:cs="Times New Roman"/>
      <w:sz w:val="21"/>
    </w:rPr>
  </w:style>
  <w:style w:type="paragraph" w:styleId="22">
    <w:name w:val="Document Map"/>
    <w:basedOn w:val="1"/>
    <w:link w:val="99"/>
    <w:qFormat/>
    <w:uiPriority w:val="0"/>
    <w:pPr>
      <w:shd w:val="clear" w:color="auto" w:fill="000080"/>
    </w:pPr>
    <w:rPr>
      <w:rFonts w:ascii="Times New Roman" w:hAnsi="Times New Roman" w:eastAsia="宋体" w:cs="Times New Roman"/>
      <w:kern w:val="0"/>
      <w:sz w:val="20"/>
    </w:rPr>
  </w:style>
  <w:style w:type="paragraph" w:styleId="23">
    <w:name w:val="Body Text 3"/>
    <w:basedOn w:val="1"/>
    <w:link w:val="111"/>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4">
    <w:name w:val="Body Text Indent"/>
    <w:basedOn w:val="1"/>
    <w:link w:val="107"/>
    <w:qFormat/>
    <w:uiPriority w:val="0"/>
    <w:pPr>
      <w:ind w:firstLine="560" w:firstLineChars="200"/>
    </w:pPr>
    <w:rPr>
      <w:rFonts w:ascii="宋体" w:hAnsi="宋体" w:eastAsia="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eastAsia="宋体" w:cs="Times New Roman"/>
      <w:sz w:val="21"/>
    </w:rPr>
  </w:style>
  <w:style w:type="paragraph" w:styleId="26">
    <w:name w:val="List Continue"/>
    <w:basedOn w:val="1"/>
    <w:qFormat/>
    <w:uiPriority w:val="0"/>
    <w:pPr>
      <w:spacing w:after="120"/>
      <w:ind w:left="420" w:leftChars="200"/>
    </w:pPr>
    <w:rPr>
      <w:rFonts w:ascii="Times New Roman" w:hAnsi="Times New Roman" w:eastAsia="宋体" w:cs="Times New Roman"/>
      <w:sz w:val="21"/>
    </w:rPr>
  </w:style>
  <w:style w:type="paragraph" w:styleId="27">
    <w:name w:val="Block Text"/>
    <w:basedOn w:val="1"/>
    <w:qFormat/>
    <w:uiPriority w:val="0"/>
    <w:pPr>
      <w:spacing w:before="120" w:after="120" w:line="360" w:lineRule="auto"/>
      <w:ind w:left="525" w:right="202"/>
    </w:pPr>
    <w:rPr>
      <w:rFonts w:ascii="宋体" w:hAnsi="宋体" w:eastAsia="宋体" w:cs="Times New Roman"/>
      <w:spacing w:val="-4"/>
    </w:rPr>
  </w:style>
  <w:style w:type="paragraph" w:styleId="28">
    <w:name w:val="List Bullet 2"/>
    <w:basedOn w:val="1"/>
    <w:qFormat/>
    <w:uiPriority w:val="0"/>
    <w:pPr>
      <w:numPr>
        <w:ilvl w:val="0"/>
        <w:numId w:val="3"/>
      </w:numPr>
    </w:pPr>
    <w:rPr>
      <w:rFonts w:ascii="Times New Roman" w:hAnsi="Times New Roman" w:eastAsia="宋体" w:cs="Times New Roman"/>
      <w:sz w:val="21"/>
    </w:rPr>
  </w:style>
  <w:style w:type="paragraph" w:styleId="29">
    <w:name w:val="toc 5"/>
    <w:basedOn w:val="1"/>
    <w:next w:val="1"/>
    <w:qFormat/>
    <w:uiPriority w:val="0"/>
    <w:pPr>
      <w:ind w:left="840"/>
      <w:jc w:val="left"/>
    </w:pPr>
    <w:rPr>
      <w:rFonts w:ascii="Times New Roman" w:hAnsi="Times New Roman" w:eastAsia="宋体"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qFormat/>
    <w:uiPriority w:val="0"/>
    <w:rPr>
      <w:rFonts w:ascii="宋体" w:hAnsi="Courier New" w:eastAsia="宋体" w:cs="Times New Roman"/>
      <w:kern w:val="0"/>
      <w:sz w:val="20"/>
      <w:szCs w:val="21"/>
    </w:rPr>
  </w:style>
  <w:style w:type="paragraph" w:styleId="32">
    <w:name w:val="toc 8"/>
    <w:basedOn w:val="1"/>
    <w:next w:val="1"/>
    <w:qFormat/>
    <w:uiPriority w:val="0"/>
    <w:pPr>
      <w:ind w:left="1470"/>
      <w:jc w:val="left"/>
    </w:pPr>
    <w:rPr>
      <w:rFonts w:ascii="Times New Roman" w:hAnsi="Times New Roman" w:eastAsia="宋体" w:cs="Times New Roman"/>
      <w:sz w:val="20"/>
      <w:szCs w:val="20"/>
    </w:rPr>
  </w:style>
  <w:style w:type="paragraph" w:styleId="33">
    <w:name w:val="Date"/>
    <w:basedOn w:val="1"/>
    <w:next w:val="1"/>
    <w:link w:val="96"/>
    <w:qFormat/>
    <w:uiPriority w:val="0"/>
    <w:pPr>
      <w:ind w:left="100" w:leftChars="2500"/>
    </w:pPr>
    <w:rPr>
      <w:rFonts w:ascii="Times New Roman" w:hAnsi="Times New Roman" w:eastAsia="宋体" w:cs="Times New Roman"/>
      <w:kern w:val="0"/>
      <w:sz w:val="20"/>
    </w:rPr>
  </w:style>
  <w:style w:type="paragraph" w:styleId="34">
    <w:name w:val="Body Text Indent 2"/>
    <w:basedOn w:val="1"/>
    <w:link w:val="122"/>
    <w:qFormat/>
    <w:uiPriority w:val="0"/>
    <w:pPr>
      <w:spacing w:after="120" w:line="480" w:lineRule="auto"/>
      <w:ind w:left="420" w:leftChars="200"/>
    </w:pPr>
    <w:rPr>
      <w:rFonts w:ascii="Times New Roman" w:hAnsi="Times New Roman" w:eastAsia="宋体" w:cs="Times New Roman"/>
      <w:kern w:val="0"/>
      <w:sz w:val="20"/>
    </w:rPr>
  </w:style>
  <w:style w:type="paragraph" w:styleId="35">
    <w:name w:val="Balloon Text"/>
    <w:basedOn w:val="1"/>
    <w:link w:val="97"/>
    <w:semiHidden/>
    <w:qFormat/>
    <w:uiPriority w:val="0"/>
    <w:rPr>
      <w:rFonts w:ascii="Times New Roman" w:hAnsi="Times New Roman" w:eastAsia="宋体" w:cs="Times New Roman"/>
      <w:kern w:val="0"/>
      <w:sz w:val="18"/>
      <w:szCs w:val="18"/>
    </w:rPr>
  </w:style>
  <w:style w:type="paragraph" w:styleId="36">
    <w:name w:val="footer"/>
    <w:basedOn w:val="1"/>
    <w:link w:val="115"/>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7">
    <w:name w:val="Body Text First Indent 2"/>
    <w:basedOn w:val="24"/>
    <w:link w:val="106"/>
    <w:qFormat/>
    <w:uiPriority w:val="0"/>
    <w:pPr>
      <w:spacing w:after="120"/>
      <w:ind w:left="420" w:leftChars="200" w:firstLine="420"/>
    </w:pPr>
    <w:rPr>
      <w:szCs w:val="24"/>
    </w:rPr>
  </w:style>
  <w:style w:type="paragraph" w:styleId="38">
    <w:name w:val="header"/>
    <w:basedOn w:val="1"/>
    <w:link w:val="1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eastAsia="宋体" w:cs="Times New Roman"/>
      <w:sz w:val="21"/>
    </w:rPr>
  </w:style>
  <w:style w:type="paragraph" w:styleId="42">
    <w:name w:val="toc 6"/>
    <w:basedOn w:val="1"/>
    <w:next w:val="1"/>
    <w:qFormat/>
    <w:uiPriority w:val="0"/>
    <w:pPr>
      <w:ind w:left="1050"/>
      <w:jc w:val="left"/>
    </w:pPr>
    <w:rPr>
      <w:rFonts w:ascii="Times New Roman" w:hAnsi="Times New Roman" w:eastAsia="宋体" w:cs="Times New Roman"/>
      <w:sz w:val="20"/>
      <w:szCs w:val="20"/>
    </w:rPr>
  </w:style>
  <w:style w:type="paragraph" w:styleId="43">
    <w:name w:val="Body Text Indent 3"/>
    <w:basedOn w:val="1"/>
    <w:link w:val="117"/>
    <w:qFormat/>
    <w:uiPriority w:val="0"/>
    <w:pPr>
      <w:spacing w:after="120"/>
      <w:ind w:left="420" w:leftChars="200"/>
    </w:pPr>
    <w:rPr>
      <w:rFonts w:ascii="Times New Roman" w:hAnsi="Times New Roman" w:eastAsia="宋体"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eastAsia="宋体" w:cs="Times New Roman"/>
      <w:sz w:val="20"/>
      <w:szCs w:val="20"/>
    </w:rPr>
  </w:style>
  <w:style w:type="paragraph" w:styleId="46">
    <w:name w:val="Body Text 2"/>
    <w:basedOn w:val="1"/>
    <w:link w:val="98"/>
    <w:unhideWhenUsed/>
    <w:qFormat/>
    <w:uiPriority w:val="0"/>
    <w:pPr>
      <w:spacing w:after="120" w:line="480" w:lineRule="auto"/>
    </w:pPr>
    <w:rPr>
      <w:rFonts w:ascii="Times New Roman" w:hAnsi="Times New Roman" w:eastAsia="宋体" w:cs="Times New Roman"/>
      <w:kern w:val="0"/>
      <w:sz w:val="20"/>
    </w:rPr>
  </w:style>
  <w:style w:type="paragraph" w:styleId="47">
    <w:name w:val="List 4"/>
    <w:basedOn w:val="1"/>
    <w:qFormat/>
    <w:uiPriority w:val="0"/>
    <w:pPr>
      <w:ind w:left="100" w:leftChars="600" w:hanging="200" w:hangingChars="200"/>
    </w:pPr>
    <w:rPr>
      <w:rFonts w:ascii="Times New Roman" w:hAnsi="Times New Roman" w:eastAsia="宋体" w:cs="Times New Roman"/>
      <w:sz w:val="21"/>
    </w:rPr>
  </w:style>
  <w:style w:type="paragraph" w:styleId="48">
    <w:name w:val="List Continue 2"/>
    <w:basedOn w:val="1"/>
    <w:qFormat/>
    <w:uiPriority w:val="0"/>
    <w:pPr>
      <w:spacing w:after="120"/>
      <w:ind w:left="840" w:leftChars="400"/>
    </w:pPr>
    <w:rPr>
      <w:rFonts w:ascii="Times New Roman" w:hAnsi="Times New Roman" w:eastAsia="宋体"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eastAsia="宋体" w:cs="Times New Roman"/>
      <w:sz w:val="21"/>
      <w:szCs w:val="20"/>
    </w:rPr>
  </w:style>
  <w:style w:type="paragraph" w:styleId="51">
    <w:name w:val="Title"/>
    <w:basedOn w:val="1"/>
    <w:next w:val="1"/>
    <w:link w:val="124"/>
    <w:qFormat/>
    <w:uiPriority w:val="0"/>
    <w:pPr>
      <w:spacing w:before="60" w:after="60"/>
      <w:jc w:val="center"/>
      <w:outlineLvl w:val="0"/>
    </w:pPr>
    <w:rPr>
      <w:rFonts w:ascii="Cambria" w:hAnsi="Cambria" w:eastAsia="黑体" w:cs="Times New Roman"/>
      <w:b/>
      <w:bCs/>
      <w:kern w:val="0"/>
      <w:sz w:val="32"/>
      <w:szCs w:val="32"/>
    </w:rPr>
  </w:style>
  <w:style w:type="character" w:styleId="53">
    <w:name w:val="Strong"/>
    <w:qFormat/>
    <w:uiPriority w:val="0"/>
    <w:rPr>
      <w:b/>
      <w:bCs/>
    </w:rPr>
  </w:style>
  <w:style w:type="character" w:styleId="54">
    <w:name w:val="page number"/>
    <w:basedOn w:val="52"/>
    <w:qFormat/>
    <w:uiPriority w:val="0"/>
  </w:style>
  <w:style w:type="character" w:styleId="55">
    <w:name w:val="FollowedHyperlink"/>
    <w:unhideWhenUsed/>
    <w:qFormat/>
    <w:uiPriority w:val="99"/>
    <w:rPr>
      <w:color w:val="800080"/>
      <w:u w:val="single"/>
    </w:rPr>
  </w:style>
  <w:style w:type="character" w:styleId="56">
    <w:name w:val="Hyperlink"/>
    <w:qFormat/>
    <w:uiPriority w:val="99"/>
    <w:rPr>
      <w:color w:val="0000FF"/>
      <w:u w:val="single"/>
    </w:rPr>
  </w:style>
  <w:style w:type="character" w:styleId="57">
    <w:name w:val="annotation reference"/>
    <w:semiHidden/>
    <w:qFormat/>
    <w:uiPriority w:val="0"/>
    <w:rPr>
      <w:sz w:val="21"/>
      <w:szCs w:val="21"/>
    </w:rPr>
  </w:style>
  <w:style w:type="paragraph" w:customStyle="1" w:styleId="59">
    <w:name w:val="样式1"/>
    <w:basedOn w:val="5"/>
    <w:qFormat/>
    <w:uiPriority w:val="0"/>
    <w:pPr>
      <w:numPr>
        <w:ilvl w:val="0"/>
        <w:numId w:val="0"/>
      </w:numPr>
      <w:tabs>
        <w:tab w:val="left" w:pos="864"/>
      </w:tabs>
      <w:spacing w:before="120" w:after="120" w:line="360" w:lineRule="auto"/>
      <w:ind w:left="864" w:hanging="864"/>
    </w:pPr>
    <w:rPr>
      <w:b w:val="0"/>
      <w:bCs w:val="0"/>
    </w:rPr>
  </w:style>
  <w:style w:type="paragraph" w:customStyle="1" w:styleId="60">
    <w:name w:val="Char Char Char1 Char Char Char Char"/>
    <w:basedOn w:val="1"/>
    <w:qFormat/>
    <w:uiPriority w:val="0"/>
    <w:rPr>
      <w:rFonts w:ascii="Times New Roman" w:hAnsi="Times New Roman" w:eastAsia="宋体" w:cs="Times New Roman"/>
      <w:sz w:val="21"/>
    </w:rPr>
  </w:style>
  <w:style w:type="paragraph" w:customStyle="1" w:styleId="61">
    <w:name w:val="Char Char Char Char Char Char"/>
    <w:basedOn w:val="1"/>
    <w:qFormat/>
    <w:uiPriority w:val="0"/>
    <w:rPr>
      <w:rFonts w:ascii="Times New Roman" w:hAnsi="Times New Roman" w:eastAsia="宋体" w:cs="Times New Roman"/>
      <w:sz w:val="21"/>
    </w:rPr>
  </w:style>
  <w:style w:type="paragraph" w:customStyle="1" w:styleId="62">
    <w:name w:val="Char Char Char Char"/>
    <w:basedOn w:val="1"/>
    <w:qFormat/>
    <w:uiPriority w:val="0"/>
    <w:rPr>
      <w:rFonts w:ascii="Times New Roman" w:hAnsi="Times New Roman" w:eastAsia="宋体" w:cs="Times New Roman"/>
      <w:sz w:val="21"/>
    </w:rPr>
  </w:style>
  <w:style w:type="paragraph" w:customStyle="1" w:styleId="63">
    <w:name w:val="p0"/>
    <w:basedOn w:val="1"/>
    <w:qFormat/>
    <w:uiPriority w:val="0"/>
    <w:pPr>
      <w:widowControl/>
    </w:pPr>
    <w:rPr>
      <w:rFonts w:ascii="Times New Roman" w:hAnsi="Times New Roman" w:eastAsia="宋体" w:cs="Times New Roman"/>
      <w:kern w:val="0"/>
      <w:sz w:val="21"/>
      <w:szCs w:val="21"/>
    </w:rPr>
  </w:style>
  <w:style w:type="paragraph" w:customStyle="1" w:styleId="64">
    <w:name w:val="Legal 3"/>
    <w:basedOn w:val="65"/>
    <w:next w:val="65"/>
    <w:qFormat/>
    <w:uiPriority w:val="0"/>
    <w:pPr>
      <w:spacing w:after="120"/>
    </w:pPr>
    <w:rPr>
      <w:rFonts w:cs="Times New Roman"/>
      <w:color w:val="auto"/>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66">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67">
    <w:name w:val="图表标题"/>
    <w:basedOn w:val="1"/>
    <w:next w:val="16"/>
    <w:qFormat/>
    <w:uiPriority w:val="0"/>
    <w:rPr>
      <w:rFonts w:ascii="Times New Roman" w:hAnsi="Times New Roman" w:eastAsia="宋体" w:cs="Times New Roman"/>
      <w:sz w:val="30"/>
      <w:szCs w:val="20"/>
    </w:rPr>
  </w:style>
  <w:style w:type="paragraph" w:customStyle="1" w:styleId="68">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69">
    <w:name w:val="Char"/>
    <w:basedOn w:val="1"/>
    <w:qFormat/>
    <w:uiPriority w:val="0"/>
    <w:rPr>
      <w:rFonts w:ascii="仿宋_GB2312" w:hAnsi="Times New Roman" w:eastAsia="仿宋_GB2312" w:cs="Times New Roman"/>
      <w:b/>
      <w:sz w:val="32"/>
      <w:szCs w:val="32"/>
    </w:rPr>
  </w:style>
  <w:style w:type="paragraph" w:customStyle="1" w:styleId="70">
    <w:name w:val="Char4 Char Char Char"/>
    <w:basedOn w:val="22"/>
    <w:qFormat/>
    <w:uiPriority w:val="0"/>
    <w:rPr>
      <w:rFonts w:ascii="Tahoma" w:hAnsi="Tahoma"/>
      <w:sz w:val="24"/>
    </w:rPr>
  </w:style>
  <w:style w:type="paragraph" w:customStyle="1" w:styleId="71">
    <w:name w:val="表内文字"/>
    <w:basedOn w:val="1"/>
    <w:qFormat/>
    <w:uiPriority w:val="0"/>
    <w:pPr>
      <w:widowControl/>
      <w:ind w:firstLine="120" w:firstLineChars="50"/>
    </w:pPr>
    <w:rPr>
      <w:rFonts w:ascii="宋体" w:hAnsi="宋体" w:eastAsia="宋体" w:cs="Times New Roman"/>
      <w:szCs w:val="20"/>
    </w:rPr>
  </w:style>
  <w:style w:type="paragraph" w:customStyle="1" w:styleId="72">
    <w:name w:val="Char Char Char"/>
    <w:basedOn w:val="1"/>
    <w:qFormat/>
    <w:uiPriority w:val="0"/>
    <w:pPr>
      <w:ind w:firstLine="360" w:firstLineChars="150"/>
    </w:pPr>
    <w:rPr>
      <w:rFonts w:ascii="Tahoma" w:hAnsi="Tahoma" w:eastAsia="宋体" w:cs="Times New Roman"/>
      <w:szCs w:val="20"/>
    </w:rPr>
  </w:style>
  <w:style w:type="paragraph" w:customStyle="1" w:styleId="73">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74">
    <w:name w:val="legal 2"/>
    <w:basedOn w:val="65"/>
    <w:next w:val="65"/>
    <w:qFormat/>
    <w:uiPriority w:val="0"/>
    <w:pPr>
      <w:spacing w:after="120"/>
    </w:pPr>
    <w:rPr>
      <w:rFonts w:cs="Times New Roman"/>
      <w:color w:val="auto"/>
    </w:rPr>
  </w:style>
  <w:style w:type="paragraph" w:customStyle="1" w:styleId="75">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76">
    <w:name w:val="Legal 5"/>
    <w:basedOn w:val="65"/>
    <w:next w:val="65"/>
    <w:qFormat/>
    <w:uiPriority w:val="0"/>
    <w:pPr>
      <w:spacing w:after="120"/>
    </w:pPr>
    <w:rPr>
      <w:rFonts w:cs="Times New Roman"/>
      <w:color w:val="auto"/>
    </w:rPr>
  </w:style>
  <w:style w:type="paragraph" w:customStyle="1" w:styleId="7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Legal 4"/>
    <w:basedOn w:val="65"/>
    <w:next w:val="65"/>
    <w:qFormat/>
    <w:uiPriority w:val="0"/>
    <w:pPr>
      <w:spacing w:after="120"/>
    </w:pPr>
    <w:rPr>
      <w:rFonts w:cs="Times New Roman"/>
      <w:color w:val="auto"/>
    </w:rPr>
  </w:style>
  <w:style w:type="paragraph" w:customStyle="1" w:styleId="7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字3"/>
    <w:basedOn w:val="16"/>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81">
    <w:name w:val="1"/>
    <w:basedOn w:val="1"/>
    <w:qFormat/>
    <w:uiPriority w:val="0"/>
    <w:rPr>
      <w:rFonts w:ascii="仿宋_GB2312" w:hAnsi="Times New Roman" w:eastAsia="仿宋_GB2312" w:cs="Times New Roman"/>
      <w:b/>
      <w:sz w:val="32"/>
      <w:szCs w:val="32"/>
    </w:rPr>
  </w:style>
  <w:style w:type="paragraph" w:customStyle="1" w:styleId="82">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84">
    <w:name w:val="List Paragraph"/>
    <w:basedOn w:val="1"/>
    <w:qFormat/>
    <w:uiPriority w:val="34"/>
    <w:pPr>
      <w:ind w:firstLine="420" w:firstLineChars="200"/>
    </w:pPr>
  </w:style>
  <w:style w:type="paragraph" w:customStyle="1" w:styleId="85">
    <w:name w:val="样式 标题 3 + (中文) 黑体 小四 非加粗 段前: 7.8 磅 段后: 0 磅 行距: 固定值 20 磅"/>
    <w:basedOn w:val="4"/>
    <w:qFormat/>
    <w:uiPriority w:val="0"/>
    <w:pPr>
      <w:keepLines/>
      <w:numPr>
        <w:ilvl w:val="0"/>
        <w:numId w:val="0"/>
      </w:numPr>
      <w:spacing w:line="400" w:lineRule="exact"/>
    </w:pPr>
    <w:rPr>
      <w:rFonts w:ascii="Times New Roman" w:eastAsia="黑体" w:cs="宋体"/>
      <w:b w:val="0"/>
      <w:kern w:val="2"/>
      <w:sz w:val="24"/>
    </w:rPr>
  </w:style>
  <w:style w:type="paragraph" w:customStyle="1" w:styleId="8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87">
    <w:name w:val="标题 1 Char"/>
    <w:basedOn w:val="52"/>
    <w:link w:val="2"/>
    <w:qFormat/>
    <w:uiPriority w:val="0"/>
    <w:rPr>
      <w:rFonts w:ascii="Times New Roman" w:hAnsi="Times New Roman" w:eastAsia="宋体" w:cs="Times New Roman"/>
      <w:b/>
      <w:bCs/>
      <w:kern w:val="44"/>
      <w:sz w:val="30"/>
      <w:szCs w:val="44"/>
    </w:rPr>
  </w:style>
  <w:style w:type="character" w:customStyle="1" w:styleId="88">
    <w:name w:val="标题 2 Char"/>
    <w:basedOn w:val="52"/>
    <w:link w:val="3"/>
    <w:qFormat/>
    <w:uiPriority w:val="0"/>
    <w:rPr>
      <w:rFonts w:ascii="Arial" w:hAnsi="Arial" w:eastAsia="宋体" w:cs="Times New Roman"/>
      <w:b/>
      <w:bCs/>
      <w:kern w:val="0"/>
      <w:sz w:val="28"/>
      <w:szCs w:val="32"/>
    </w:rPr>
  </w:style>
  <w:style w:type="character" w:customStyle="1" w:styleId="89">
    <w:name w:val="标题 3 Char"/>
    <w:basedOn w:val="52"/>
    <w:link w:val="4"/>
    <w:qFormat/>
    <w:uiPriority w:val="0"/>
    <w:rPr>
      <w:rFonts w:ascii="宋体" w:hAnsi="Times New Roman" w:eastAsia="宋体" w:cs="Times New Roman"/>
      <w:b/>
      <w:kern w:val="0"/>
      <w:sz w:val="28"/>
      <w:szCs w:val="20"/>
    </w:rPr>
  </w:style>
  <w:style w:type="character" w:customStyle="1" w:styleId="90">
    <w:name w:val="标题 4 Char"/>
    <w:basedOn w:val="52"/>
    <w:link w:val="5"/>
    <w:qFormat/>
    <w:uiPriority w:val="0"/>
    <w:rPr>
      <w:rFonts w:ascii="Arial" w:hAnsi="Arial" w:eastAsia="黑体" w:cs="Times New Roman"/>
      <w:b/>
      <w:bCs/>
      <w:kern w:val="0"/>
      <w:sz w:val="28"/>
      <w:szCs w:val="28"/>
    </w:rPr>
  </w:style>
  <w:style w:type="character" w:customStyle="1" w:styleId="91">
    <w:name w:val="标题 5 Char"/>
    <w:basedOn w:val="52"/>
    <w:link w:val="6"/>
    <w:qFormat/>
    <w:uiPriority w:val="0"/>
    <w:rPr>
      <w:rFonts w:ascii="Times New Roman" w:hAnsi="Times New Roman" w:eastAsia="宋体" w:cs="Times New Roman"/>
      <w:b/>
      <w:bCs/>
      <w:kern w:val="0"/>
      <w:sz w:val="28"/>
      <w:szCs w:val="28"/>
    </w:rPr>
  </w:style>
  <w:style w:type="character" w:customStyle="1" w:styleId="92">
    <w:name w:val="标题 6 Char"/>
    <w:basedOn w:val="52"/>
    <w:link w:val="7"/>
    <w:qFormat/>
    <w:uiPriority w:val="0"/>
    <w:rPr>
      <w:rFonts w:ascii="Arial" w:hAnsi="Arial" w:eastAsia="黑体" w:cs="Times New Roman"/>
      <w:b/>
      <w:bCs/>
      <w:kern w:val="0"/>
    </w:rPr>
  </w:style>
  <w:style w:type="character" w:customStyle="1" w:styleId="93">
    <w:name w:val="标题 7 Char"/>
    <w:basedOn w:val="52"/>
    <w:link w:val="8"/>
    <w:qFormat/>
    <w:uiPriority w:val="0"/>
    <w:rPr>
      <w:rFonts w:ascii="Times New Roman" w:hAnsi="Times New Roman" w:eastAsia="宋体" w:cs="Times New Roman"/>
      <w:b/>
      <w:bCs/>
      <w:kern w:val="0"/>
    </w:rPr>
  </w:style>
  <w:style w:type="character" w:customStyle="1" w:styleId="94">
    <w:name w:val="标题 8 Char"/>
    <w:basedOn w:val="52"/>
    <w:link w:val="9"/>
    <w:qFormat/>
    <w:uiPriority w:val="0"/>
    <w:rPr>
      <w:rFonts w:ascii="Arial" w:hAnsi="Arial" w:eastAsia="黑体" w:cs="Times New Roman"/>
      <w:kern w:val="0"/>
    </w:rPr>
  </w:style>
  <w:style w:type="character" w:customStyle="1" w:styleId="95">
    <w:name w:val="标题 9 Char"/>
    <w:basedOn w:val="52"/>
    <w:link w:val="10"/>
    <w:qFormat/>
    <w:uiPriority w:val="0"/>
    <w:rPr>
      <w:rFonts w:ascii="Arial" w:hAnsi="Arial" w:eastAsia="黑体" w:cs="Times New Roman"/>
      <w:kern w:val="0"/>
      <w:sz w:val="20"/>
      <w:szCs w:val="21"/>
    </w:rPr>
  </w:style>
  <w:style w:type="character" w:customStyle="1" w:styleId="96">
    <w:name w:val="日期 Char"/>
    <w:link w:val="33"/>
    <w:qFormat/>
    <w:uiPriority w:val="0"/>
    <w:rPr>
      <w:rFonts w:ascii="Times New Roman" w:hAnsi="Times New Roman" w:eastAsia="宋体" w:cs="Times New Roman"/>
      <w:kern w:val="0"/>
      <w:sz w:val="20"/>
    </w:rPr>
  </w:style>
  <w:style w:type="character" w:customStyle="1" w:styleId="97">
    <w:name w:val="批注框文本 Char"/>
    <w:link w:val="35"/>
    <w:semiHidden/>
    <w:qFormat/>
    <w:uiPriority w:val="0"/>
    <w:rPr>
      <w:rFonts w:ascii="Times New Roman" w:hAnsi="Times New Roman" w:eastAsia="宋体" w:cs="Times New Roman"/>
      <w:kern w:val="0"/>
      <w:sz w:val="18"/>
      <w:szCs w:val="18"/>
    </w:rPr>
  </w:style>
  <w:style w:type="character" w:customStyle="1" w:styleId="98">
    <w:name w:val="正文文本 2 Char"/>
    <w:link w:val="46"/>
    <w:qFormat/>
    <w:uiPriority w:val="0"/>
    <w:rPr>
      <w:rFonts w:ascii="Times New Roman" w:hAnsi="Times New Roman" w:eastAsia="宋体" w:cs="Times New Roman"/>
      <w:kern w:val="0"/>
      <w:sz w:val="20"/>
    </w:rPr>
  </w:style>
  <w:style w:type="character" w:customStyle="1" w:styleId="99">
    <w:name w:val="文档结构图 Char"/>
    <w:link w:val="22"/>
    <w:qFormat/>
    <w:uiPriority w:val="0"/>
    <w:rPr>
      <w:rFonts w:ascii="Times New Roman" w:hAnsi="Times New Roman" w:eastAsia="宋体" w:cs="Times New Roman"/>
      <w:kern w:val="0"/>
      <w:sz w:val="20"/>
      <w:shd w:val="clear" w:color="auto" w:fill="000080"/>
    </w:rPr>
  </w:style>
  <w:style w:type="character" w:customStyle="1" w:styleId="100">
    <w:name w:val="font51"/>
    <w:qFormat/>
    <w:uiPriority w:val="0"/>
    <w:rPr>
      <w:rFonts w:hint="default" w:ascii="Times New Roman" w:hAnsi="Times New Roman" w:cs="Times New Roman"/>
      <w:b/>
      <w:color w:val="000000"/>
      <w:sz w:val="24"/>
      <w:szCs w:val="24"/>
      <w:u w:val="none"/>
    </w:rPr>
  </w:style>
  <w:style w:type="character" w:customStyle="1" w:styleId="101">
    <w:name w:val="Char Char"/>
    <w:qFormat/>
    <w:uiPriority w:val="0"/>
    <w:rPr>
      <w:rFonts w:ascii="宋体" w:hAnsi="Courier New" w:eastAsia="宋体" w:cs="Courier New"/>
      <w:kern w:val="2"/>
      <w:sz w:val="21"/>
      <w:szCs w:val="21"/>
      <w:lang w:val="en-US" w:eastAsia="zh-CN" w:bidi="ar-SA"/>
    </w:rPr>
  </w:style>
  <w:style w:type="character" w:customStyle="1" w:styleId="102">
    <w:name w:val="纯文本 Char"/>
    <w:link w:val="31"/>
    <w:qFormat/>
    <w:uiPriority w:val="0"/>
    <w:rPr>
      <w:rFonts w:ascii="宋体" w:hAnsi="Courier New" w:eastAsia="宋体" w:cs="Times New Roman"/>
      <w:kern w:val="0"/>
      <w:sz w:val="20"/>
      <w:szCs w:val="21"/>
    </w:rPr>
  </w:style>
  <w:style w:type="character" w:customStyle="1" w:styleId="103">
    <w:name w:val="注释文本字符"/>
    <w:semiHidden/>
    <w:qFormat/>
    <w:uiPriority w:val="0"/>
    <w:rPr>
      <w:rFonts w:ascii="Times New Roman" w:hAnsi="Times New Roman" w:eastAsia="宋体" w:cs="Times New Roman"/>
      <w:kern w:val="0"/>
      <w:sz w:val="20"/>
      <w:szCs w:val="24"/>
    </w:rPr>
  </w:style>
  <w:style w:type="character" w:customStyle="1" w:styleId="104">
    <w:name w:val="Char Char3"/>
    <w:qFormat/>
    <w:uiPriority w:val="0"/>
    <w:rPr>
      <w:rFonts w:eastAsia="宋体"/>
      <w:kern w:val="2"/>
      <w:sz w:val="18"/>
      <w:szCs w:val="18"/>
      <w:lang w:val="en-US" w:eastAsia="zh-CN" w:bidi="ar-SA"/>
    </w:rPr>
  </w:style>
  <w:style w:type="character" w:customStyle="1" w:styleId="105">
    <w:name w:val="font61"/>
    <w:qFormat/>
    <w:uiPriority w:val="0"/>
    <w:rPr>
      <w:rFonts w:hint="default" w:ascii="Times New Roman" w:hAnsi="Times New Roman" w:cs="Times New Roman"/>
      <w:color w:val="000000"/>
      <w:sz w:val="24"/>
      <w:szCs w:val="24"/>
      <w:u w:val="none"/>
    </w:rPr>
  </w:style>
  <w:style w:type="character" w:customStyle="1" w:styleId="106">
    <w:name w:val="正文首行缩进 2 Char"/>
    <w:link w:val="37"/>
    <w:qFormat/>
    <w:uiPriority w:val="0"/>
    <w:rPr>
      <w:rFonts w:ascii="宋体" w:hAnsi="宋体" w:eastAsia="宋体" w:cs="Times New Roman"/>
      <w:kern w:val="0"/>
      <w:sz w:val="28"/>
    </w:rPr>
  </w:style>
  <w:style w:type="character" w:customStyle="1" w:styleId="107">
    <w:name w:val="正文文本缩进 Char"/>
    <w:link w:val="24"/>
    <w:qFormat/>
    <w:uiPriority w:val="0"/>
    <w:rPr>
      <w:rFonts w:ascii="宋体" w:hAnsi="宋体" w:eastAsia="宋体" w:cs="Times New Roman"/>
      <w:kern w:val="0"/>
      <w:sz w:val="28"/>
      <w:szCs w:val="28"/>
    </w:rPr>
  </w:style>
  <w:style w:type="character" w:customStyle="1" w:styleId="108">
    <w:name w:val="font21"/>
    <w:qFormat/>
    <w:uiPriority w:val="0"/>
    <w:rPr>
      <w:rFonts w:hint="default" w:ascii="Times New Roman" w:hAnsi="Times New Roman" w:cs="Times New Roman"/>
      <w:color w:val="000000"/>
      <w:sz w:val="24"/>
      <w:szCs w:val="24"/>
      <w:u w:val="none"/>
      <w:vertAlign w:val="superscript"/>
    </w:rPr>
  </w:style>
  <w:style w:type="character" w:customStyle="1" w:styleId="109">
    <w:name w:val="font71"/>
    <w:qFormat/>
    <w:uiPriority w:val="0"/>
    <w:rPr>
      <w:rFonts w:hint="eastAsia" w:ascii="宋体" w:hAnsi="宋体" w:eastAsia="宋体" w:cs="宋体"/>
      <w:color w:val="000000"/>
      <w:sz w:val="24"/>
      <w:szCs w:val="24"/>
      <w:u w:val="none"/>
    </w:rPr>
  </w:style>
  <w:style w:type="character" w:customStyle="1" w:styleId="110">
    <w:name w:val="zbggmain style9"/>
    <w:basedOn w:val="52"/>
    <w:qFormat/>
    <w:uiPriority w:val="0"/>
  </w:style>
  <w:style w:type="character" w:customStyle="1" w:styleId="111">
    <w:name w:val="正文文本 3 Char"/>
    <w:link w:val="23"/>
    <w:qFormat/>
    <w:uiPriority w:val="0"/>
    <w:rPr>
      <w:rFonts w:ascii="Times New Roman" w:hAnsi="Times New Roman" w:eastAsia="宋体" w:cs="Times New Roman"/>
      <w:kern w:val="0"/>
      <w:sz w:val="16"/>
      <w:szCs w:val="16"/>
    </w:rPr>
  </w:style>
  <w:style w:type="character" w:customStyle="1" w:styleId="112">
    <w:name w:val="px1233"/>
    <w:basedOn w:val="52"/>
    <w:qFormat/>
    <w:uiPriority w:val="0"/>
  </w:style>
  <w:style w:type="character" w:customStyle="1" w:styleId="113">
    <w:name w:val="font11"/>
    <w:qFormat/>
    <w:uiPriority w:val="0"/>
    <w:rPr>
      <w:rFonts w:hint="default" w:ascii="Times New Roman" w:hAnsi="Times New Roman" w:cs="Times New Roman"/>
      <w:color w:val="000000"/>
      <w:sz w:val="21"/>
      <w:szCs w:val="21"/>
      <w:u w:val="none"/>
    </w:rPr>
  </w:style>
  <w:style w:type="character" w:customStyle="1" w:styleId="114">
    <w:name w:val="页眉 Char"/>
    <w:link w:val="38"/>
    <w:qFormat/>
    <w:uiPriority w:val="0"/>
    <w:rPr>
      <w:rFonts w:ascii="Times New Roman" w:hAnsi="Times New Roman" w:eastAsia="宋体" w:cs="Times New Roman"/>
      <w:kern w:val="0"/>
      <w:sz w:val="18"/>
      <w:szCs w:val="20"/>
    </w:rPr>
  </w:style>
  <w:style w:type="character" w:customStyle="1" w:styleId="115">
    <w:name w:val="页脚 Char"/>
    <w:link w:val="36"/>
    <w:qFormat/>
    <w:uiPriority w:val="99"/>
    <w:rPr>
      <w:rFonts w:ascii="Times New Roman" w:hAnsi="Times New Roman" w:eastAsia="宋体" w:cs="Times New Roman"/>
      <w:kern w:val="0"/>
      <w:sz w:val="18"/>
      <w:szCs w:val="20"/>
    </w:rPr>
  </w:style>
  <w:style w:type="character" w:customStyle="1" w:styleId="116">
    <w:name w:val="font41"/>
    <w:qFormat/>
    <w:uiPriority w:val="0"/>
    <w:rPr>
      <w:rFonts w:hint="eastAsia" w:ascii="宋体" w:hAnsi="宋体" w:eastAsia="宋体" w:cs="宋体"/>
      <w:b/>
      <w:color w:val="000000"/>
      <w:sz w:val="24"/>
      <w:szCs w:val="24"/>
      <w:u w:val="none"/>
    </w:rPr>
  </w:style>
  <w:style w:type="character" w:customStyle="1" w:styleId="117">
    <w:name w:val="正文文本缩进 3 Char"/>
    <w:link w:val="43"/>
    <w:qFormat/>
    <w:uiPriority w:val="0"/>
    <w:rPr>
      <w:rFonts w:ascii="Times New Roman" w:hAnsi="Times New Roman" w:eastAsia="宋体" w:cs="Times New Roman"/>
      <w:kern w:val="0"/>
      <w:sz w:val="16"/>
      <w:szCs w:val="16"/>
    </w:rPr>
  </w:style>
  <w:style w:type="character" w:customStyle="1" w:styleId="118">
    <w:name w:val="正文首行缩进 Char"/>
    <w:basedOn w:val="119"/>
    <w:link w:val="15"/>
    <w:qFormat/>
    <w:uiPriority w:val="0"/>
    <w:rPr>
      <w:rFonts w:ascii="Times New Roman" w:hAnsi="Times New Roman" w:eastAsia="宋体" w:cs="Times New Roman"/>
      <w:kern w:val="0"/>
      <w:sz w:val="20"/>
      <w:szCs w:val="24"/>
    </w:rPr>
  </w:style>
  <w:style w:type="character" w:customStyle="1" w:styleId="119">
    <w:name w:val="正文文本字符"/>
    <w:qFormat/>
    <w:uiPriority w:val="0"/>
    <w:rPr>
      <w:rFonts w:ascii="Times New Roman" w:hAnsi="Times New Roman" w:eastAsia="宋体" w:cs="Times New Roman"/>
      <w:kern w:val="0"/>
      <w:sz w:val="20"/>
      <w:szCs w:val="24"/>
    </w:rPr>
  </w:style>
  <w:style w:type="character" w:customStyle="1" w:styleId="120">
    <w:name w:val="Char Char2"/>
    <w:qFormat/>
    <w:uiPriority w:val="0"/>
    <w:rPr>
      <w:rFonts w:eastAsia="宋体"/>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rPr>
  </w:style>
  <w:style w:type="character" w:customStyle="1" w:styleId="122">
    <w:name w:val="正文文本缩进 2 Char"/>
    <w:link w:val="34"/>
    <w:qFormat/>
    <w:uiPriority w:val="0"/>
    <w:rPr>
      <w:rFonts w:ascii="Times New Roman" w:hAnsi="Times New Roman" w:eastAsia="宋体" w:cs="Times New Roman"/>
      <w:kern w:val="0"/>
      <w:sz w:val="20"/>
    </w:rPr>
  </w:style>
  <w:style w:type="character" w:customStyle="1" w:styleId="123">
    <w:name w:val="批注主题 Char"/>
    <w:link w:val="12"/>
    <w:semiHidden/>
    <w:qFormat/>
    <w:uiPriority w:val="0"/>
    <w:rPr>
      <w:rFonts w:ascii="Times New Roman" w:hAnsi="Times New Roman" w:eastAsia="宋体" w:cs="Times New Roman"/>
      <w:b/>
      <w:bCs/>
      <w:kern w:val="0"/>
      <w:sz w:val="20"/>
    </w:rPr>
  </w:style>
  <w:style w:type="character" w:customStyle="1" w:styleId="124">
    <w:name w:val="标题 Char"/>
    <w:link w:val="51"/>
    <w:qFormat/>
    <w:uiPriority w:val="0"/>
    <w:rPr>
      <w:rFonts w:ascii="Cambria" w:hAnsi="Cambria" w:eastAsia="黑体" w:cs="Times New Roman"/>
      <w:b/>
      <w:bCs/>
      <w:kern w:val="0"/>
      <w:sz w:val="32"/>
      <w:szCs w:val="32"/>
    </w:rPr>
  </w:style>
  <w:style w:type="character" w:customStyle="1" w:styleId="125">
    <w:name w:val="批注框文本字符1"/>
    <w:basedOn w:val="52"/>
    <w:semiHidden/>
    <w:qFormat/>
    <w:uiPriority w:val="99"/>
    <w:rPr>
      <w:rFonts w:ascii="Heiti SC Light" w:eastAsia="Heiti SC Light"/>
      <w:sz w:val="18"/>
      <w:szCs w:val="18"/>
    </w:rPr>
  </w:style>
  <w:style w:type="character" w:customStyle="1" w:styleId="126">
    <w:name w:val="日期字符1"/>
    <w:basedOn w:val="52"/>
    <w:semiHidden/>
    <w:qFormat/>
    <w:uiPriority w:val="99"/>
  </w:style>
  <w:style w:type="character" w:customStyle="1" w:styleId="127">
    <w:name w:val="纯文本字符1"/>
    <w:basedOn w:val="52"/>
    <w:semiHidden/>
    <w:qFormat/>
    <w:uiPriority w:val="99"/>
    <w:rPr>
      <w:rFonts w:ascii="宋体" w:hAnsi="Courier" w:eastAsia="宋体"/>
    </w:rPr>
  </w:style>
  <w:style w:type="character" w:customStyle="1" w:styleId="128">
    <w:name w:val="批注文字 Char"/>
    <w:basedOn w:val="52"/>
    <w:link w:val="13"/>
    <w:semiHidden/>
    <w:qFormat/>
    <w:uiPriority w:val="99"/>
  </w:style>
  <w:style w:type="character" w:customStyle="1" w:styleId="129">
    <w:name w:val="批注主题字符1"/>
    <w:basedOn w:val="128"/>
    <w:semiHidden/>
    <w:qFormat/>
    <w:uiPriority w:val="99"/>
    <w:rPr>
      <w:b/>
      <w:bCs/>
    </w:rPr>
  </w:style>
  <w:style w:type="character" w:customStyle="1" w:styleId="130">
    <w:name w:val="正文文本 Char"/>
    <w:basedOn w:val="52"/>
    <w:link w:val="16"/>
    <w:semiHidden/>
    <w:qFormat/>
    <w:uiPriority w:val="99"/>
  </w:style>
  <w:style w:type="character" w:customStyle="1" w:styleId="131">
    <w:name w:val="正文首行缩进字符1"/>
    <w:basedOn w:val="130"/>
    <w:semiHidden/>
    <w:qFormat/>
    <w:uiPriority w:val="99"/>
  </w:style>
  <w:style w:type="character" w:customStyle="1" w:styleId="132">
    <w:name w:val="正文文本缩进 3字符1"/>
    <w:basedOn w:val="52"/>
    <w:semiHidden/>
    <w:qFormat/>
    <w:uiPriority w:val="99"/>
    <w:rPr>
      <w:sz w:val="16"/>
      <w:szCs w:val="16"/>
    </w:rPr>
  </w:style>
  <w:style w:type="character" w:customStyle="1" w:styleId="133">
    <w:name w:val="文档结构图 字符1"/>
    <w:basedOn w:val="52"/>
    <w:semiHidden/>
    <w:qFormat/>
    <w:uiPriority w:val="99"/>
    <w:rPr>
      <w:rFonts w:ascii="Heiti SC Light" w:eastAsia="Heiti SC Light"/>
    </w:rPr>
  </w:style>
  <w:style w:type="character" w:customStyle="1" w:styleId="134">
    <w:name w:val="正文文本 3字符1"/>
    <w:basedOn w:val="52"/>
    <w:semiHidden/>
    <w:qFormat/>
    <w:uiPriority w:val="99"/>
    <w:rPr>
      <w:sz w:val="16"/>
      <w:szCs w:val="16"/>
    </w:rPr>
  </w:style>
  <w:style w:type="character" w:customStyle="1" w:styleId="135">
    <w:name w:val="正文文本缩进字符1"/>
    <w:basedOn w:val="52"/>
    <w:semiHidden/>
    <w:qFormat/>
    <w:uiPriority w:val="99"/>
  </w:style>
  <w:style w:type="character" w:customStyle="1" w:styleId="136">
    <w:name w:val="正文文本缩进 2字符1"/>
    <w:basedOn w:val="52"/>
    <w:semiHidden/>
    <w:qFormat/>
    <w:uiPriority w:val="99"/>
  </w:style>
  <w:style w:type="character" w:customStyle="1" w:styleId="137">
    <w:name w:val="页脚字符1"/>
    <w:basedOn w:val="52"/>
    <w:semiHidden/>
    <w:qFormat/>
    <w:uiPriority w:val="99"/>
    <w:rPr>
      <w:sz w:val="18"/>
      <w:szCs w:val="18"/>
    </w:rPr>
  </w:style>
  <w:style w:type="character" w:customStyle="1" w:styleId="138">
    <w:name w:val="正文首行缩进 2字符1"/>
    <w:basedOn w:val="135"/>
    <w:semiHidden/>
    <w:qFormat/>
    <w:uiPriority w:val="99"/>
  </w:style>
  <w:style w:type="character" w:customStyle="1" w:styleId="139">
    <w:name w:val="页眉字符1"/>
    <w:basedOn w:val="52"/>
    <w:semiHidden/>
    <w:qFormat/>
    <w:uiPriority w:val="99"/>
    <w:rPr>
      <w:sz w:val="18"/>
      <w:szCs w:val="18"/>
    </w:rPr>
  </w:style>
  <w:style w:type="character" w:customStyle="1" w:styleId="140">
    <w:name w:val="正文文本 2字符1"/>
    <w:basedOn w:val="52"/>
    <w:semiHidden/>
    <w:qFormat/>
    <w:uiPriority w:val="99"/>
  </w:style>
  <w:style w:type="character" w:customStyle="1" w:styleId="141">
    <w:name w:val="标题字符1"/>
    <w:basedOn w:val="52"/>
    <w:qFormat/>
    <w:uiPriority w:val="10"/>
    <w:rPr>
      <w:rFonts w:ascii="Calibri" w:hAnsi="Calibri" w:eastAsia="宋体" w:cs="黑体"/>
      <w:b/>
      <w:bCs/>
      <w:sz w:val="32"/>
      <w:szCs w:val="32"/>
    </w:rPr>
  </w:style>
  <w:style w:type="paragraph" w:customStyle="1" w:styleId="142">
    <w:name w:val="Table Paragraph"/>
    <w:basedOn w:val="1"/>
    <w:qFormat/>
    <w:uiPriority w:val="1"/>
    <w:pPr>
      <w:spacing w:before="171"/>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52</Pages>
  <Words>5157</Words>
  <Characters>29397</Characters>
  <Lines>244</Lines>
  <Paragraphs>68</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2016-05-18T00:13:00Z</dcterms:created>
  <dc:creator>y z</dc:creator>
  <cp:lastModifiedBy>贾思勰</cp:lastModifiedBy>
  <dcterms:modified xsi:type="dcterms:W3CDTF">2019-05-08T01:44:55Z</dcterms:modified>
  <dc:title>杭州萧山国际机场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