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cs="Times New Roman"/>
          <w:b/>
          <w:bCs/>
          <w:sz w:val="44"/>
          <w:szCs w:val="44"/>
        </w:rPr>
      </w:pPr>
      <w:r>
        <w:rPr>
          <w:rFonts w:hint="eastAsia" w:ascii="黑体" w:hAnsi="黑体" w:eastAsia="黑体" w:cs="黑体"/>
          <w:b/>
          <w:bCs/>
          <w:sz w:val="44"/>
          <w:szCs w:val="44"/>
        </w:rPr>
        <w:t>杭州萧山国际机场</w:t>
      </w:r>
    </w:p>
    <w:p>
      <w:pPr>
        <w:keepNext w:val="0"/>
        <w:keepLines w:val="0"/>
        <w:pageBreakBefore w:val="0"/>
        <w:widowControl w:val="0"/>
        <w:tabs>
          <w:tab w:val="left" w:pos="720"/>
        </w:tabs>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eastAsia="黑体" w:cs="Times New Roman"/>
          <w:b/>
          <w:bCs/>
          <w:spacing w:val="-6"/>
          <w:sz w:val="44"/>
          <w:szCs w:val="44"/>
        </w:rPr>
      </w:pPr>
      <w:r>
        <w:rPr>
          <w:rFonts w:hint="eastAsia" w:ascii="黑体" w:hAnsi="黑体" w:eastAsia="黑体" w:cs="黑体"/>
          <w:b/>
          <w:bCs/>
          <w:spacing w:val="-6"/>
          <w:sz w:val="44"/>
          <w:szCs w:val="44"/>
        </w:rPr>
        <w:t>员工集体宿</w:t>
      </w:r>
      <w:r>
        <w:rPr>
          <w:rFonts w:hint="eastAsia" w:eastAsia="黑体" w:cs="黑体"/>
          <w:b/>
          <w:bCs/>
          <w:spacing w:val="-6"/>
          <w:sz w:val="44"/>
          <w:szCs w:val="44"/>
        </w:rPr>
        <w:t>舍</w:t>
      </w:r>
      <w:r>
        <w:rPr>
          <w:rFonts w:eastAsia="黑体"/>
          <w:b/>
          <w:bCs/>
          <w:spacing w:val="-6"/>
          <w:sz w:val="44"/>
          <w:szCs w:val="44"/>
        </w:rPr>
        <w:t>1</w:t>
      </w:r>
      <w:r>
        <w:rPr>
          <w:rFonts w:hint="eastAsia" w:eastAsia="黑体" w:cs="黑体"/>
          <w:b/>
          <w:bCs/>
          <w:spacing w:val="-6"/>
          <w:sz w:val="44"/>
          <w:szCs w:val="44"/>
        </w:rPr>
        <w:t>号楼水电改造</w:t>
      </w:r>
      <w:r>
        <w:rPr>
          <w:rFonts w:ascii="黑体" w:hAnsi="黑体" w:eastAsia="黑体" w:cs="Times New Roman"/>
          <w:b/>
          <w:bCs/>
          <w:spacing w:val="-6"/>
          <w:sz w:val="44"/>
          <w:szCs w:val="44"/>
        </w:rPr>
        <w:t>采购安装</w:t>
      </w:r>
      <w:r>
        <w:rPr>
          <w:rFonts w:hint="eastAsia" w:eastAsia="黑体" w:cs="黑体"/>
          <w:b/>
          <w:bCs/>
          <w:spacing w:val="-6"/>
          <w:sz w:val="44"/>
          <w:szCs w:val="44"/>
        </w:rPr>
        <w:t>项目</w:t>
      </w:r>
    </w:p>
    <w:p>
      <w:pPr>
        <w:widowControl/>
        <w:autoSpaceDE w:val="0"/>
        <w:autoSpaceDN w:val="0"/>
        <w:jc w:val="center"/>
        <w:textAlignment w:val="bottom"/>
        <w:rPr>
          <w:rFonts w:hint="eastAsia" w:ascii="黑体" w:hAnsi="黑体" w:eastAsia="黑体"/>
          <w:b/>
          <w:sz w:val="44"/>
          <w:szCs w:val="44"/>
          <w:lang w:eastAsia="zh-CN"/>
        </w:rPr>
      </w:pPr>
      <w:r>
        <w:rPr>
          <w:rFonts w:hint="eastAsia" w:ascii="黑体" w:hAnsi="黑体" w:eastAsia="黑体"/>
          <w:b/>
          <w:sz w:val="44"/>
          <w:szCs w:val="44"/>
          <w:lang w:eastAsia="zh-CN"/>
        </w:rPr>
        <w:t>（重新招标）</w:t>
      </w: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ascii="黑体" w:hAnsi="黑体" w:eastAsia="黑体"/>
          <w:b/>
          <w:sz w:val="84"/>
          <w:szCs w:val="84"/>
        </w:rPr>
        <w:t>招 标 文 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eastAsia="zh-CN"/>
        </w:rPr>
        <w:t>五</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pacing w:line="560" w:lineRule="exact"/>
        <w:jc w:val="center"/>
        <w:rPr>
          <w:b/>
          <w:bCs/>
          <w:sz w:val="44"/>
          <w:szCs w:val="44"/>
        </w:rPr>
      </w:pPr>
      <w:r>
        <w:rPr>
          <w:b/>
          <w:bCs/>
          <w:sz w:val="44"/>
          <w:szCs w:val="44"/>
        </w:rPr>
        <w:br w:type="page"/>
      </w: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b/>
          <w:sz w:val="22"/>
          <w:szCs w:val="22"/>
        </w:rPr>
        <w:fldChar w:fldCharType="begin"/>
      </w:r>
      <w:r>
        <w:rPr>
          <w:rFonts w:hint="eastAsia" w:ascii="黑体" w:hAnsi="黑体" w:eastAsia="黑体"/>
          <w:b/>
          <w:sz w:val="22"/>
          <w:szCs w:val="22"/>
        </w:rPr>
        <w:instrText xml:space="preserve"> TOC \o "1-1" \h \z \u </w:instrText>
      </w:r>
      <w:r>
        <w:rPr>
          <w:rFonts w:hint="eastAsia" w:ascii="黑体" w:hAnsi="黑体" w:eastAsia="黑体"/>
          <w:b/>
          <w:sz w:val="22"/>
          <w:szCs w:val="22"/>
        </w:rPr>
        <w:fldChar w:fldCharType="separate"/>
      </w:r>
      <w:r>
        <w:rPr>
          <w:rFonts w:hint="eastAsia" w:ascii="黑体" w:hAnsi="黑体" w:eastAsia="黑体"/>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_Toc321925451 \h </w:instrText>
      </w:r>
      <w:r>
        <w:rPr>
          <w:rFonts w:hint="eastAsia" w:ascii="黑体" w:hAnsi="黑体" w:eastAsia="黑体"/>
          <w:sz w:val="22"/>
          <w:szCs w:val="22"/>
        </w:rPr>
        <w:fldChar w:fldCharType="separate"/>
      </w:r>
      <w:r>
        <w:rPr>
          <w:rFonts w:hint="eastAsia" w:ascii="黑体" w:hAnsi="黑体" w:eastAsia="黑体"/>
          <w:sz w:val="22"/>
          <w:szCs w:val="22"/>
        </w:rPr>
        <w:t>- 2 -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_Toc321925452 \h </w:instrText>
      </w:r>
      <w:r>
        <w:rPr>
          <w:rFonts w:hint="eastAsia" w:ascii="黑体" w:hAnsi="黑体" w:eastAsia="黑体"/>
          <w:sz w:val="22"/>
          <w:szCs w:val="22"/>
        </w:rPr>
        <w:fldChar w:fldCharType="separate"/>
      </w:r>
      <w:r>
        <w:rPr>
          <w:rFonts w:hint="eastAsia" w:ascii="黑体" w:hAnsi="黑体" w:eastAsia="黑体"/>
          <w:sz w:val="22"/>
          <w:szCs w:val="22"/>
        </w:rPr>
        <w:t>- 3 -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第三章  货物需求一览表及技术规格</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_Toc321925453 \h </w:instrText>
      </w:r>
      <w:r>
        <w:rPr>
          <w:rFonts w:hint="eastAsia" w:ascii="黑体" w:hAnsi="黑体" w:eastAsia="黑体"/>
          <w:sz w:val="22"/>
          <w:szCs w:val="22"/>
        </w:rPr>
        <w:fldChar w:fldCharType="separate"/>
      </w:r>
      <w:r>
        <w:rPr>
          <w:rFonts w:hint="eastAsia" w:ascii="黑体" w:hAnsi="黑体" w:eastAsia="黑体"/>
          <w:sz w:val="22"/>
          <w:szCs w:val="22"/>
        </w:rPr>
        <w:t>- 12 -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 xml:space="preserve">第四章  </w:t>
      </w:r>
      <w:r>
        <w:rPr>
          <w:rFonts w:ascii="黑体" w:hAnsi="黑体" w:eastAsia="黑体"/>
          <w:sz w:val="22"/>
          <w:szCs w:val="22"/>
        </w:rPr>
        <w:t>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_Toc321925454 \h </w:instrText>
      </w:r>
      <w:r>
        <w:rPr>
          <w:rFonts w:hint="eastAsia" w:ascii="黑体" w:hAnsi="黑体" w:eastAsia="黑体"/>
          <w:sz w:val="22"/>
          <w:szCs w:val="22"/>
        </w:rPr>
        <w:fldChar w:fldCharType="separate"/>
      </w:r>
      <w:r>
        <w:rPr>
          <w:rFonts w:hint="eastAsia" w:ascii="黑体" w:hAnsi="黑体" w:eastAsia="黑体"/>
          <w:sz w:val="22"/>
          <w:szCs w:val="22"/>
        </w:rPr>
        <w:t>- 13 -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_Toc321925456 \h </w:instrText>
      </w:r>
      <w:r>
        <w:rPr>
          <w:rFonts w:hint="eastAsia" w:ascii="黑体" w:hAnsi="黑体" w:eastAsia="黑体"/>
          <w:sz w:val="22"/>
          <w:szCs w:val="22"/>
        </w:rPr>
        <w:fldChar w:fldCharType="separate"/>
      </w:r>
      <w:r>
        <w:rPr>
          <w:rFonts w:hint="eastAsia" w:ascii="黑体" w:hAnsi="黑体" w:eastAsia="黑体"/>
          <w:sz w:val="22"/>
          <w:szCs w:val="22"/>
        </w:rPr>
        <w:t>- 18 -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_Toc321925457 \h </w:instrText>
      </w:r>
      <w:r>
        <w:rPr>
          <w:rFonts w:hint="eastAsia" w:ascii="黑体" w:hAnsi="黑体" w:eastAsia="黑体"/>
          <w:sz w:val="22"/>
          <w:szCs w:val="22"/>
        </w:rPr>
        <w:fldChar w:fldCharType="separate"/>
      </w:r>
      <w:r>
        <w:rPr>
          <w:rFonts w:hint="eastAsia" w:ascii="黑体" w:hAnsi="黑体" w:eastAsia="黑体"/>
          <w:sz w:val="22"/>
          <w:szCs w:val="22"/>
        </w:rPr>
        <w:t>- 21 -</w:t>
      </w:r>
      <w:r>
        <w:rPr>
          <w:rFonts w:hint="eastAsia" w:ascii="黑体" w:hAnsi="黑体" w:eastAsia="黑体"/>
          <w:sz w:val="22"/>
          <w:szCs w:val="22"/>
        </w:rPr>
        <w:fldChar w:fldCharType="end"/>
      </w:r>
    </w:p>
    <w:p>
      <w:pPr>
        <w:tabs>
          <w:tab w:val="right" w:leader="dot" w:pos="8364"/>
        </w:tabs>
        <w:spacing w:line="480" w:lineRule="auto"/>
        <w:rPr>
          <w:b/>
        </w:rPr>
      </w:pPr>
      <w:r>
        <w:rPr>
          <w:rFonts w:hint="eastAsia" w:ascii="黑体" w:hAnsi="黑体" w:eastAsia="黑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321925451"/>
      <w:r>
        <w:rPr>
          <w:rFonts w:hint="eastAsia"/>
        </w:rPr>
        <w:t>第一章 招标公告</w:t>
      </w:r>
      <w:bookmarkEnd w:id="0"/>
    </w:p>
    <w:p>
      <w:pPr>
        <w:widowControl/>
        <w:snapToGrid w:val="0"/>
        <w:spacing w:line="360" w:lineRule="exact"/>
        <w:jc w:val="left"/>
        <w:rPr>
          <w:rFonts w:cs="Arial" w:asciiTheme="minorEastAsia" w:hAnsiTheme="minorEastAsia"/>
          <w:b/>
          <w:bCs/>
          <w:kern w:val="0"/>
          <w:sz w:val="22"/>
          <w:szCs w:val="22"/>
        </w:rPr>
      </w:pPr>
    </w:p>
    <w:p>
      <w:pPr>
        <w:widowControl/>
        <w:snapToGrid w:val="0"/>
        <w:spacing w:line="360" w:lineRule="exact"/>
        <w:jc w:val="left"/>
        <w:rPr>
          <w:rFonts w:cs="Arial" w:asciiTheme="minorEastAsia" w:hAnsiTheme="minorEastAsia"/>
          <w:kern w:val="0"/>
          <w:sz w:val="22"/>
          <w:szCs w:val="22"/>
        </w:rPr>
      </w:pPr>
      <w:r>
        <w:rPr>
          <w:rFonts w:hint="eastAsia" w:cs="Arial" w:asciiTheme="minorEastAsia" w:hAnsiTheme="minorEastAsia"/>
          <w:b/>
          <w:bCs/>
          <w:kern w:val="0"/>
          <w:sz w:val="22"/>
          <w:szCs w:val="22"/>
        </w:rPr>
        <w:t>一、招标内容</w:t>
      </w:r>
    </w:p>
    <w:p>
      <w:pPr>
        <w:widowControl/>
        <w:adjustRightInd w:val="0"/>
        <w:snapToGrid w:val="0"/>
        <w:spacing w:line="340" w:lineRule="exact"/>
        <w:ind w:firstLine="440" w:firstLineChars="200"/>
        <w:rPr>
          <w:rStyle w:val="82"/>
          <w:rFonts w:cs="宋体" w:asciiTheme="minorEastAsia" w:hAnsiTheme="minorEastAsia"/>
          <w:kern w:val="0"/>
          <w:sz w:val="22"/>
          <w:szCs w:val="22"/>
        </w:rPr>
      </w:pPr>
      <w:r>
        <w:rPr>
          <w:rStyle w:val="82"/>
          <w:rFonts w:hint="eastAsia" w:cs="宋体" w:asciiTheme="minorEastAsia" w:hAnsiTheme="minorEastAsia"/>
          <w:kern w:val="0"/>
          <w:sz w:val="22"/>
          <w:szCs w:val="22"/>
        </w:rPr>
        <w:t>杭州萧山国际机场有限公司就杭州萧山国际机场集体宿舍</w:t>
      </w:r>
      <w:r>
        <w:rPr>
          <w:rStyle w:val="82"/>
          <w:rFonts w:cs="宋体" w:asciiTheme="minorEastAsia" w:hAnsiTheme="minorEastAsia"/>
          <w:sz w:val="22"/>
          <w:szCs w:val="22"/>
        </w:rPr>
        <w:t>1</w:t>
      </w:r>
      <w:r>
        <w:rPr>
          <w:rStyle w:val="82"/>
          <w:rFonts w:hint="eastAsia" w:cs="宋体" w:asciiTheme="minorEastAsia" w:hAnsiTheme="minorEastAsia"/>
          <w:sz w:val="22"/>
          <w:szCs w:val="22"/>
        </w:rPr>
        <w:t>号楼水电改造</w:t>
      </w:r>
      <w:r>
        <w:rPr>
          <w:rStyle w:val="82"/>
          <w:rFonts w:hint="eastAsia" w:cs="宋体" w:asciiTheme="minorEastAsia" w:hAnsiTheme="minorEastAsia"/>
          <w:kern w:val="0"/>
          <w:sz w:val="22"/>
          <w:szCs w:val="22"/>
        </w:rPr>
        <w:t>采购项目进行公开招标，欢迎符合资格要求的供应商参与投标。</w:t>
      </w:r>
    </w:p>
    <w:p>
      <w:pPr>
        <w:widowControl/>
        <w:adjustRightInd w:val="0"/>
        <w:snapToGrid w:val="0"/>
        <w:spacing w:line="340" w:lineRule="exact"/>
        <w:ind w:firstLine="440" w:firstLineChars="200"/>
        <w:rPr>
          <w:rStyle w:val="82"/>
          <w:rFonts w:cs="宋体" w:asciiTheme="minorEastAsia" w:hAnsiTheme="minorEastAsia"/>
          <w:sz w:val="22"/>
          <w:szCs w:val="22"/>
        </w:rPr>
      </w:pPr>
      <w:r>
        <w:rPr>
          <w:rStyle w:val="82"/>
          <w:rFonts w:hint="eastAsia" w:cs="宋体" w:asciiTheme="minorEastAsia" w:hAnsiTheme="minorEastAsia"/>
          <w:kern w:val="0"/>
          <w:sz w:val="22"/>
          <w:szCs w:val="22"/>
        </w:rPr>
        <w:t>招标货物名称、数量及主要技术规格</w:t>
      </w:r>
    </w:p>
    <w:p>
      <w:pPr>
        <w:widowControl/>
        <w:autoSpaceDE w:val="0"/>
        <w:autoSpaceDN w:val="0"/>
        <w:textAlignment w:val="bottom"/>
        <w:rPr>
          <w:rStyle w:val="57"/>
          <w:rFonts w:eastAsia="宋体"/>
        </w:rPr>
      </w:pPr>
      <w:r>
        <w:rPr>
          <w:rStyle w:val="57"/>
          <w:rFonts w:hint="eastAsia"/>
        </w:rPr>
        <w:t>详见第三章。</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二、投标人资格要求</w:t>
      </w:r>
      <w:r>
        <w:rPr>
          <w:rFonts w:cs="Arial" w:asciiTheme="minorEastAsia" w:hAnsiTheme="minorEastAsia"/>
          <w:b/>
          <w:bCs/>
          <w:kern w:val="0"/>
          <w:sz w:val="22"/>
          <w:szCs w:val="22"/>
        </w:rPr>
        <w:t> </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Style w:val="82"/>
          <w:rFonts w:hint="eastAsia" w:cs="宋体" w:asciiTheme="minorEastAsia" w:hAnsiTheme="minorEastAsia"/>
          <w:sz w:val="22"/>
          <w:szCs w:val="22"/>
        </w:rPr>
        <w:t>具有独立法人资格的制造商或代理商，注册资金不少于人民币</w:t>
      </w:r>
      <w:r>
        <w:rPr>
          <w:rStyle w:val="82"/>
          <w:rFonts w:hint="eastAsia" w:cs="宋体" w:asciiTheme="minorEastAsia" w:hAnsiTheme="minorEastAsia"/>
          <w:sz w:val="22"/>
          <w:szCs w:val="22"/>
          <w:u w:val="single"/>
        </w:rPr>
        <w:t xml:space="preserve">   200   </w:t>
      </w:r>
      <w:r>
        <w:rPr>
          <w:rStyle w:val="82"/>
          <w:rFonts w:hint="eastAsia" w:cs="宋体" w:asciiTheme="minorEastAsia" w:hAnsiTheme="minorEastAsia"/>
          <w:sz w:val="22"/>
          <w:szCs w:val="22"/>
        </w:rPr>
        <w:t>万元或等值外币(按投标截止日中国人民银行公布的汇率中间价换算)</w:t>
      </w:r>
      <w:r>
        <w:rPr>
          <w:rFonts w:hint="eastAsia" w:cs="Arial" w:asciiTheme="minorEastAsia" w:hAnsiTheme="minorEastAsia"/>
          <w:kern w:val="0"/>
          <w:sz w:val="22"/>
          <w:szCs w:val="22"/>
        </w:rPr>
        <w:t>。</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（2）能独立承担民事责任和履行合同能力，具有良好的商业信誉和健全的财务会计管理制度，有依法缴纳税收和社会保障资金的良好记录，在本次招标前三年内的经营活动中没有重大违法记录和不良记录。</w:t>
      </w:r>
      <w:r>
        <w:rPr>
          <w:rFonts w:hint="eastAsia" w:ascii="宋体" w:hAnsi="宋体" w:cs="Arial"/>
          <w:kern w:val="0"/>
          <w:sz w:val="22"/>
        </w:rPr>
        <w:t>（需提供承诺书，格式自拟）</w:t>
      </w:r>
    </w:p>
    <w:p>
      <w:pPr>
        <w:widowControl/>
        <w:adjustRightInd w:val="0"/>
        <w:snapToGrid w:val="0"/>
        <w:spacing w:line="340" w:lineRule="exact"/>
        <w:ind w:firstLine="440" w:firstLineChars="200"/>
        <w:rPr>
          <w:rFonts w:hint="eastAsia" w:cs="Arial" w:asciiTheme="minorEastAsia" w:hAnsiTheme="minorEastAsia"/>
          <w:kern w:val="0"/>
          <w:sz w:val="22"/>
          <w:szCs w:val="22"/>
        </w:rPr>
      </w:pPr>
      <w:r>
        <w:rPr>
          <w:rFonts w:hint="eastAsia" w:cs="Arial" w:asciiTheme="minorEastAsia" w:hAnsiTheme="minorEastAsia"/>
          <w:kern w:val="0"/>
          <w:sz w:val="22"/>
          <w:szCs w:val="22"/>
        </w:rPr>
        <w:t>（3）投标人</w:t>
      </w:r>
      <w:r>
        <w:rPr>
          <w:rFonts w:cs="Arial" w:asciiTheme="minorEastAsia" w:hAnsiTheme="minorEastAsia"/>
          <w:kern w:val="0"/>
          <w:sz w:val="22"/>
          <w:szCs w:val="22"/>
        </w:rPr>
        <w:t>具有一般纳税人</w:t>
      </w:r>
      <w:r>
        <w:rPr>
          <w:rFonts w:hint="eastAsia" w:cs="Arial" w:asciiTheme="minorEastAsia" w:hAnsiTheme="minorEastAsia"/>
          <w:kern w:val="0"/>
          <w:sz w:val="22"/>
          <w:szCs w:val="22"/>
        </w:rPr>
        <w:t>资格</w:t>
      </w:r>
      <w:r>
        <w:rPr>
          <w:rFonts w:cs="Arial" w:asciiTheme="minorEastAsia" w:hAnsiTheme="minorEastAsia"/>
          <w:kern w:val="0"/>
          <w:sz w:val="22"/>
          <w:szCs w:val="22"/>
        </w:rPr>
        <w:t>，可提供税率为</w:t>
      </w:r>
      <w:r>
        <w:rPr>
          <w:rFonts w:hint="eastAsia" w:cs="Arial" w:asciiTheme="minorEastAsia" w:hAnsiTheme="minorEastAsia"/>
          <w:kern w:val="0"/>
          <w:sz w:val="22"/>
          <w:szCs w:val="22"/>
        </w:rPr>
        <w:t>13</w:t>
      </w:r>
      <w:r>
        <w:rPr>
          <w:rFonts w:cs="Arial" w:asciiTheme="minorEastAsia" w:hAnsiTheme="minorEastAsia"/>
          <w:kern w:val="0"/>
          <w:sz w:val="22"/>
          <w:szCs w:val="22"/>
        </w:rPr>
        <w:t>%的增值税专用发票</w:t>
      </w:r>
      <w:r>
        <w:rPr>
          <w:rFonts w:hint="eastAsia" w:cs="Arial" w:asciiTheme="minorEastAsia" w:hAnsiTheme="minorEastAsia"/>
          <w:kern w:val="0"/>
          <w:sz w:val="22"/>
          <w:szCs w:val="22"/>
        </w:rPr>
        <w:t>。（需提供税务机关出具的一般纳税人资格认定相关证明材料复印件并加盖投标人公章作为证明材料，原件备查）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（4）</w:t>
      </w:r>
      <w:r>
        <w:rPr>
          <w:rFonts w:cs="Arial" w:asciiTheme="minorEastAsia" w:hAnsiTheme="minorEastAsia"/>
          <w:kern w:val="0"/>
          <w:sz w:val="22"/>
          <w:szCs w:val="22"/>
        </w:rPr>
        <w:t>本项目不接受联合</w:t>
      </w:r>
      <w:r>
        <w:rPr>
          <w:rFonts w:hint="eastAsia" w:cs="Arial" w:asciiTheme="minorEastAsia" w:hAnsiTheme="minorEastAsia"/>
          <w:kern w:val="0"/>
          <w:sz w:val="22"/>
          <w:szCs w:val="22"/>
        </w:rPr>
        <w:t>体</w:t>
      </w:r>
      <w:r>
        <w:rPr>
          <w:rFonts w:cs="Arial" w:asciiTheme="minorEastAsia" w:hAnsiTheme="minorEastAsia"/>
          <w:kern w:val="0"/>
          <w:sz w:val="22"/>
          <w:szCs w:val="22"/>
        </w:rPr>
        <w:t>投标</w:t>
      </w:r>
      <w:r>
        <w:rPr>
          <w:rFonts w:hint="eastAsia" w:cs="Arial" w:asciiTheme="minorEastAsia" w:hAnsiTheme="minorEastAsia"/>
          <w:kern w:val="0"/>
          <w:sz w:val="22"/>
          <w:szCs w:val="22"/>
        </w:rPr>
        <w:t>。</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三、招标文件获取</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凡符合资格条件并有投标意向的潜在投标人，请通过杭州萧</w:t>
      </w:r>
      <w:bookmarkStart w:id="91" w:name="_GoBack"/>
      <w:bookmarkEnd w:id="91"/>
      <w:r>
        <w:rPr>
          <w:rFonts w:hint="eastAsia" w:cs="Arial" w:asciiTheme="minorEastAsia" w:hAnsiTheme="minorEastAsia"/>
          <w:kern w:val="0"/>
          <w:sz w:val="22"/>
          <w:szCs w:val="22"/>
        </w:rPr>
        <w:t>山机场有限公司主页</w:t>
      </w:r>
      <w:r>
        <w:fldChar w:fldCharType="begin"/>
      </w:r>
      <w:r>
        <w:instrText xml:space="preserve"> HYPERLINK "http://www.hzairport.com/zbxx.aspx" </w:instrText>
      </w:r>
      <w:r>
        <w:fldChar w:fldCharType="separate"/>
      </w:r>
      <w:r>
        <w:rPr>
          <w:rFonts w:cs="Arial" w:asciiTheme="minorEastAsia" w:hAnsiTheme="minorEastAsia"/>
          <w:kern w:val="0"/>
          <w:sz w:val="22"/>
          <w:szCs w:val="22"/>
        </w:rPr>
        <w:t>http://www.hzairport.com/zbxx.aspx</w:t>
      </w:r>
      <w:r>
        <w:rPr>
          <w:rFonts w:cs="Arial" w:asciiTheme="minorEastAsia" w:hAnsiTheme="minorEastAsia"/>
          <w:kern w:val="0"/>
          <w:sz w:val="22"/>
          <w:szCs w:val="22"/>
        </w:rPr>
        <w:fldChar w:fldCharType="end"/>
      </w:r>
      <w:r>
        <w:rPr>
          <w:rFonts w:hint="eastAsia" w:cs="Arial" w:asciiTheme="minorEastAsia" w:hAnsiTheme="minorEastAsia"/>
          <w:kern w:val="0"/>
          <w:sz w:val="22"/>
          <w:szCs w:val="22"/>
        </w:rPr>
        <w:t>自行下载招标文件。</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招标文件下载</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四、投标文件的递交</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Fonts w:hint="eastAsia" w:ascii="宋体" w:hAnsi="宋体" w:cs="Arial"/>
          <w:kern w:val="0"/>
          <w:sz w:val="22"/>
        </w:rPr>
        <w:t>投标文件递交截止时间：</w:t>
      </w:r>
      <w:r>
        <w:rPr>
          <w:rFonts w:hint="eastAsia" w:ascii="宋体" w:hAnsi="宋体" w:cs="Arial"/>
          <w:kern w:val="0"/>
          <w:sz w:val="22"/>
          <w:lang w:eastAsia="zh-CN"/>
        </w:rPr>
        <w:t>2019年5月30日下午13时45分</w:t>
      </w:r>
      <w:r>
        <w:rPr>
          <w:rFonts w:hint="eastAsia" w:ascii="宋体" w:hAnsi="宋体" w:cs="Arial"/>
          <w:kern w:val="0"/>
          <w:sz w:val="22"/>
        </w:rPr>
        <w:t>（北京时间）。投标文件在封口处加盖公章，并派专人于</w:t>
      </w:r>
      <w:r>
        <w:rPr>
          <w:rFonts w:hint="eastAsia" w:ascii="宋体" w:hAnsi="宋体" w:cs="Arial"/>
          <w:kern w:val="0"/>
          <w:sz w:val="22"/>
          <w:lang w:eastAsia="zh-CN"/>
        </w:rPr>
        <w:t>2019年5月30日下午13时45分</w:t>
      </w:r>
      <w:r>
        <w:rPr>
          <w:rFonts w:hint="eastAsia" w:ascii="宋体" w:hAnsi="宋体" w:cs="Arial"/>
          <w:kern w:val="0"/>
          <w:sz w:val="22"/>
        </w:rPr>
        <w:t>（北京时间）前送至杭州萧山国际机场翔越路综合服务楼园区招标中心，逾期无效；若采用投递方式的，请于</w:t>
      </w:r>
      <w:r>
        <w:rPr>
          <w:rFonts w:hint="eastAsia" w:ascii="宋体" w:hAnsi="宋体" w:cs="Arial"/>
          <w:kern w:val="0"/>
          <w:sz w:val="22"/>
          <w:lang w:eastAsia="zh-CN"/>
        </w:rPr>
        <w:t>2019年5月30日下午13时45分</w:t>
      </w:r>
      <w:r>
        <w:rPr>
          <w:rFonts w:hint="eastAsia" w:ascii="宋体" w:hAnsi="宋体" w:cs="Arial"/>
          <w:kern w:val="0"/>
          <w:sz w:val="22"/>
        </w:rPr>
        <w:t>（北京时间）前投递至杭州萧山国际机场综合楼213室，逾期无效。</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w:t>
      </w:r>
      <w:r>
        <w:rPr>
          <w:rFonts w:hint="eastAsia" w:asciiTheme="minorEastAsia" w:hAnsiTheme="minorEastAsia"/>
          <w:sz w:val="22"/>
          <w:szCs w:val="22"/>
        </w:rPr>
        <w:t>逾期送达或者未送达指定地点的投标文件，招标人不予受理。</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五、发布公告的媒介</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本次招标公告在</w:t>
      </w:r>
      <w:r>
        <w:rPr>
          <w:rFonts w:hint="eastAsia" w:cs="Arial" w:asciiTheme="minorEastAsia" w:hAnsiTheme="minorEastAsia"/>
          <w:b/>
          <w:kern w:val="0"/>
          <w:sz w:val="22"/>
          <w:szCs w:val="22"/>
        </w:rPr>
        <w:t>中国采购与招标网和杭州萧山机场有限公司</w:t>
      </w:r>
      <w:r>
        <w:rPr>
          <w:rFonts w:hint="eastAsia" w:cs="Arial" w:asciiTheme="minorEastAsia" w:hAnsiTheme="minorEastAsia"/>
          <w:kern w:val="0"/>
          <w:sz w:val="22"/>
          <w:szCs w:val="22"/>
        </w:rPr>
        <w:t>主页上发布</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asciiTheme="minorEastAsia" w:hAnsiTheme="minorEastAsia"/>
          <w:sz w:val="22"/>
          <w:szCs w:val="22"/>
        </w:rPr>
        <w:t>中国采购与招标网</w:t>
      </w:r>
      <w:r>
        <w:rPr>
          <w:rFonts w:asciiTheme="minorEastAsia" w:hAnsiTheme="minorEastAsia"/>
          <w:sz w:val="22"/>
          <w:szCs w:val="22"/>
        </w:rPr>
        <w:t xml:space="preserve">  </w:t>
      </w:r>
      <w:r>
        <w:fldChar w:fldCharType="begin"/>
      </w:r>
      <w:r>
        <w:instrText xml:space="preserve"> HYPERLINK "http://www.chinabidding.com.cn" </w:instrText>
      </w:r>
      <w:r>
        <w:fldChar w:fldCharType="separate"/>
      </w:r>
      <w:r>
        <w:rPr>
          <w:rFonts w:asciiTheme="minorEastAsia" w:hAnsiTheme="minorEastAsia"/>
          <w:sz w:val="22"/>
          <w:szCs w:val="22"/>
        </w:rPr>
        <w:t>http://www.chinabidding.com.cn</w:t>
      </w:r>
      <w:r>
        <w:rPr>
          <w:rFonts w:asciiTheme="minorEastAsia" w:hAnsiTheme="minorEastAsia"/>
          <w:sz w:val="22"/>
          <w:szCs w:val="22"/>
        </w:rPr>
        <w:fldChar w:fldCharType="end"/>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杭州萧山机场有限公司主页http://www.hzairport.com</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六、联系方式</w:t>
      </w:r>
    </w:p>
    <w:p>
      <w:pPr>
        <w:widowControl/>
        <w:adjustRightInd w:val="0"/>
        <w:snapToGrid w:val="0"/>
        <w:spacing w:line="340" w:lineRule="exact"/>
        <w:ind w:firstLine="440" w:firstLineChars="200"/>
        <w:rPr>
          <w:rFonts w:asciiTheme="minorEastAsia" w:hAnsiTheme="minorEastAsia"/>
          <w:sz w:val="22"/>
          <w:szCs w:val="22"/>
        </w:rPr>
      </w:pPr>
      <w:r>
        <w:rPr>
          <w:rFonts w:hint="eastAsia" w:asciiTheme="minorEastAsia" w:hAnsiTheme="minorEastAsia"/>
          <w:sz w:val="22"/>
          <w:szCs w:val="22"/>
        </w:rPr>
        <w:t>投标联系人：贾思勰        联系电话： 0571-8666</w:t>
      </w:r>
      <w:r>
        <w:rPr>
          <w:rFonts w:asciiTheme="minorEastAsia" w:hAnsiTheme="minorEastAsia"/>
          <w:sz w:val="22"/>
          <w:szCs w:val="22"/>
        </w:rPr>
        <w:t>2723</w:t>
      </w:r>
    </w:p>
    <w:p>
      <w:pPr>
        <w:widowControl/>
        <w:adjustRightInd w:val="0"/>
        <w:snapToGrid w:val="0"/>
        <w:spacing w:line="340" w:lineRule="exact"/>
        <w:ind w:firstLine="440" w:firstLineChars="200"/>
        <w:rPr>
          <w:rFonts w:asciiTheme="minorEastAsia" w:hAnsiTheme="minorEastAsia"/>
          <w:sz w:val="22"/>
          <w:szCs w:val="22"/>
        </w:rPr>
      </w:pPr>
      <w:r>
        <w:rPr>
          <w:rFonts w:hint="eastAsia" w:asciiTheme="minorEastAsia" w:hAnsiTheme="minorEastAsia"/>
          <w:sz w:val="22"/>
          <w:szCs w:val="22"/>
        </w:rPr>
        <w:t xml:space="preserve">招标监督联系人：阮周长  </w:t>
      </w:r>
      <w:r>
        <w:rPr>
          <w:rFonts w:hint="eastAsia" w:asciiTheme="minorEastAsia" w:hAnsiTheme="minorEastAsia"/>
          <w:sz w:val="22"/>
          <w:szCs w:val="22"/>
          <w:lang w:val="en-US" w:eastAsia="zh-CN"/>
        </w:rPr>
        <w:t xml:space="preserve">   </w:t>
      </w:r>
      <w:r>
        <w:rPr>
          <w:rFonts w:hint="eastAsia" w:asciiTheme="minorEastAsia" w:hAnsiTheme="minorEastAsia"/>
          <w:sz w:val="22"/>
          <w:szCs w:val="22"/>
        </w:rPr>
        <w:t>联系电话：0571-86662133</w:t>
      </w:r>
    </w:p>
    <w:p>
      <w:pPr>
        <w:pStyle w:val="51"/>
      </w:pPr>
      <w:r>
        <w:rPr>
          <w:rFonts w:asciiTheme="minorEastAsia" w:hAnsiTheme="minorEastAsia"/>
          <w:bCs w:val="0"/>
          <w:sz w:val="22"/>
          <w:szCs w:val="22"/>
        </w:rPr>
        <w:br w:type="page"/>
      </w:r>
      <w:bookmarkStart w:id="1" w:name="_Toc321925452"/>
      <w:r>
        <w:t>第</w:t>
      </w:r>
      <w:r>
        <w:rPr>
          <w:rFonts w:hint="eastAsia"/>
        </w:rPr>
        <w:t>二</w:t>
      </w:r>
      <w:r>
        <w:t>章  投标</w:t>
      </w:r>
      <w:r>
        <w:rPr>
          <w:rFonts w:hint="eastAsia"/>
        </w:rPr>
        <w:t>人须知</w:t>
      </w:r>
      <w:bookmarkEnd w:id="1"/>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宋体"/>
                <w:kern w:val="0"/>
                <w:sz w:val="22"/>
                <w:szCs w:val="22"/>
              </w:rPr>
              <w:t>杭州萧山国际机场集体宿舍</w:t>
            </w:r>
            <w:r>
              <w:rPr>
                <w:rFonts w:ascii="宋体" w:hAnsi="宋体" w:cs="宋体"/>
                <w:sz w:val="22"/>
                <w:szCs w:val="22"/>
              </w:rPr>
              <w:t>1</w:t>
            </w:r>
            <w:r>
              <w:rPr>
                <w:rFonts w:hint="eastAsia" w:ascii="宋体" w:hAnsi="宋体" w:cs="宋体"/>
                <w:sz w:val="22"/>
                <w:szCs w:val="22"/>
              </w:rPr>
              <w:t>号楼水电改造</w:t>
            </w:r>
            <w:r>
              <w:rPr>
                <w:rFonts w:hint="eastAsia" w:ascii="宋体" w:hAnsi="宋体" w:cs="宋体"/>
                <w:kern w:val="0"/>
                <w:sz w:val="22"/>
                <w:szCs w:val="22"/>
              </w:rPr>
              <w:t>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交货</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82"/>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见招标公告，具体要求详见</w:t>
            </w:r>
            <w:r>
              <w:rPr>
                <w:rFonts w:ascii="宋体" w:hAnsi="宋体" w:cs="Calibri"/>
                <w:kern w:val="0"/>
                <w:sz w:val="22"/>
              </w:rPr>
              <w:t>第</w:t>
            </w:r>
            <w:r>
              <w:rPr>
                <w:rFonts w:hint="eastAsia" w:ascii="宋体" w:hAnsi="宋体" w:cs="Calibri"/>
                <w:kern w:val="0"/>
                <w:sz w:val="22"/>
              </w:rPr>
              <w:t>三</w:t>
            </w:r>
            <w:r>
              <w:rPr>
                <w:rFonts w:ascii="宋体" w:hAnsi="宋体" w:cs="Calibri"/>
                <w:kern w:val="0"/>
                <w:sz w:val="22"/>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详见招标公告</w:t>
            </w:r>
            <w:r>
              <w:rPr>
                <w:rFonts w:hint="eastAsia" w:cs="Calibri" w:asciiTheme="minorEastAsia" w:hAnsiTheme="minorEastAsia"/>
                <w:kern w:val="0"/>
                <w:sz w:val="22"/>
              </w:rPr>
              <w:t>“</w:t>
            </w:r>
            <w:r>
              <w:rPr>
                <w:rFonts w:hint="eastAsia" w:cs="黑体" w:asciiTheme="minorEastAsia" w:hAnsiTheme="minorEastAsia"/>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供货期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 xml:space="preserve"> 60   </w:t>
            </w:r>
            <w:r>
              <w:rPr>
                <w:rFonts w:hint="eastAsia"/>
                <w:sz w:val="22"/>
              </w:rPr>
              <w:t>日历天</w:t>
            </w:r>
            <w:r>
              <w:rPr>
                <w:rFonts w:hint="eastAsia" w:ascii="宋体" w:hAnsi="宋体" w:cs="Calibri"/>
                <w:kern w:val="0"/>
                <w:sz w:val="22"/>
              </w:rPr>
              <w:t>内。</w:t>
            </w:r>
          </w:p>
          <w:p>
            <w:pPr>
              <w:autoSpaceDE w:val="0"/>
              <w:autoSpaceDN w:val="0"/>
              <w:adjustRightInd w:val="0"/>
              <w:snapToGrid w:val="0"/>
              <w:rPr>
                <w:rFonts w:ascii="宋体" w:hAnsi="宋体" w:cs="Calibri"/>
                <w:kern w:val="0"/>
                <w:sz w:val="22"/>
              </w:rPr>
            </w:pPr>
            <w:r>
              <w:rPr>
                <w:rFonts w:hint="eastAsia" w:ascii="宋体" w:hAnsi="宋体" w:cs="Calibri"/>
                <w:kern w:val="0"/>
                <w:sz w:val="22"/>
              </w:rPr>
              <w:t>投标人须在投标文件中提供最快交货时间和详细的供货计划。投标人可根据自身经验、技术水平及管理能力自报竞争性</w:t>
            </w:r>
            <w:r>
              <w:rPr>
                <w:rFonts w:ascii="宋体" w:hAnsi="宋体" w:cs="Calibri"/>
                <w:kern w:val="0"/>
                <w:sz w:val="22"/>
              </w:rPr>
              <w:t>供货期</w:t>
            </w:r>
            <w:r>
              <w:rPr>
                <w:rFonts w:hint="eastAsia" w:ascii="宋体" w:hAnsi="宋体" w:cs="Calibri"/>
                <w:kern w:val="0"/>
                <w:sz w:val="22"/>
              </w:rPr>
              <w:t>，但不得超过招标人明确的计划</w:t>
            </w:r>
            <w:r>
              <w:rPr>
                <w:rFonts w:ascii="宋体" w:hAnsi="宋体" w:cs="Calibri"/>
                <w:kern w:val="0"/>
                <w:sz w:val="22"/>
              </w:rPr>
              <w:t>供货期</w:t>
            </w:r>
            <w:r>
              <w:rPr>
                <w:rFonts w:hint="eastAsia" w:ascii="宋体" w:hAnsi="宋体" w:cs="Calibri"/>
                <w:kern w:val="0"/>
                <w:sz w:val="22"/>
              </w:rPr>
              <w:t>。一旦中标，该</w:t>
            </w:r>
            <w:r>
              <w:rPr>
                <w:rFonts w:ascii="宋体" w:hAnsi="宋体" w:cs="Calibri"/>
                <w:kern w:val="0"/>
                <w:sz w:val="22"/>
              </w:rPr>
              <w:t>供货期</w:t>
            </w:r>
            <w:r>
              <w:rPr>
                <w:rFonts w:hint="eastAsia" w:ascii="宋体" w:hAnsi="宋体" w:cs="Calibri"/>
                <w:kern w:val="0"/>
                <w:sz w:val="22"/>
              </w:rPr>
              <w:t>即为合同</w:t>
            </w:r>
            <w:r>
              <w:rPr>
                <w:rFonts w:ascii="宋体" w:hAnsi="宋体" w:cs="Calibri"/>
                <w:kern w:val="0"/>
                <w:sz w:val="22"/>
              </w:rPr>
              <w:t>供货期</w:t>
            </w:r>
            <w:r>
              <w:rPr>
                <w:rFonts w:hint="eastAsia" w:ascii="宋体" w:hAnsi="宋体" w:cs="Calibri"/>
                <w:kern w:val="0"/>
                <w:sz w:val="22"/>
              </w:rPr>
              <w:t>。整个项目</w:t>
            </w:r>
            <w:r>
              <w:rPr>
                <w:rFonts w:ascii="宋体" w:hAnsi="宋体" w:cs="Calibri"/>
                <w:kern w:val="0"/>
                <w:sz w:val="22"/>
              </w:rPr>
              <w:t>供货期</w:t>
            </w:r>
            <w:r>
              <w:rPr>
                <w:rFonts w:hint="eastAsia" w:ascii="宋体" w:hAnsi="宋体" w:cs="Calibri"/>
                <w:kern w:val="0"/>
                <w:sz w:val="22"/>
              </w:rPr>
              <w:t>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hint="eastAsia" w:cs="Calibri" w:asciiTheme="minorEastAsia" w:hAnsiTheme="minorEastAsia"/>
                <w:kern w:val="0"/>
                <w:sz w:val="22"/>
              </w:rPr>
              <w:t>质量要求</w:t>
            </w:r>
          </w:p>
        </w:tc>
        <w:tc>
          <w:tcPr>
            <w:tcW w:w="6487" w:type="dxa"/>
            <w:vAlign w:val="center"/>
          </w:tcPr>
          <w:p>
            <w:pPr>
              <w:rPr>
                <w:rFonts w:asciiTheme="minorEastAsia" w:hAnsiTheme="minorEastAsia"/>
                <w:color w:val="000000"/>
                <w:sz w:val="22"/>
              </w:rPr>
            </w:pPr>
            <w:r>
              <w:rPr>
                <w:rFonts w:hint="eastAsia" w:asciiTheme="minorEastAsia" w:hAnsiTheme="minorEastAsia"/>
                <w:iCs/>
                <w:sz w:val="22"/>
              </w:rPr>
              <w:t>符</w:t>
            </w:r>
            <w:r>
              <w:rPr>
                <w:rFonts w:hint="eastAsia" w:asciiTheme="minorEastAsia" w:hAnsiTheme="minorEastAsia"/>
                <w:sz w:val="22"/>
              </w:rPr>
              <w:t>合国家现行</w:t>
            </w:r>
            <w:r>
              <w:rPr>
                <w:rFonts w:hint="eastAsia" w:asciiTheme="minorEastAsia" w:hAnsiTheme="minorEastAsia"/>
                <w:sz w:val="22"/>
                <w:u w:val="single"/>
              </w:rPr>
              <w:t xml:space="preserve">   质量  </w:t>
            </w:r>
            <w:r>
              <w:rPr>
                <w:rFonts w:hint="eastAsia" w:asciiTheme="minorEastAsia" w:hAnsiTheme="minorEastAsia"/>
                <w:sz w:val="22"/>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9</w:t>
            </w:r>
            <w:r>
              <w:rPr>
                <w:rFonts w:cs="Calibri" w:asciiTheme="minorEastAsia" w:hAnsiTheme="minorEastAsia"/>
                <w:kern w:val="0"/>
                <w:sz w:val="22"/>
              </w:rPr>
              <w:t>.1</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踏勘现场</w:t>
            </w:r>
          </w:p>
        </w:tc>
        <w:tc>
          <w:tcPr>
            <w:tcW w:w="6487" w:type="dxa"/>
            <w:vAlign w:val="center"/>
          </w:tcPr>
          <w:p>
            <w:pPr>
              <w:autoSpaceDE w:val="0"/>
              <w:autoSpaceDN w:val="0"/>
              <w:adjustRightInd w:val="0"/>
              <w:snapToGrid w:val="0"/>
              <w:rPr>
                <w:rFonts w:ascii="宋体" w:cs="Times New Roman"/>
                <w:kern w:val="0"/>
                <w:sz w:val="22"/>
                <w:szCs w:val="22"/>
              </w:rPr>
            </w:pPr>
            <w:r>
              <w:rPr>
                <w:rFonts w:hint="eastAsia" w:ascii="宋体" w:hAnsi="宋体" w:cs="宋体"/>
                <w:kern w:val="0"/>
                <w:sz w:val="22"/>
                <w:szCs w:val="22"/>
              </w:rPr>
              <w:t>□不组织</w:t>
            </w:r>
          </w:p>
          <w:p>
            <w:pPr>
              <w:autoSpaceDE w:val="0"/>
              <w:autoSpaceDN w:val="0"/>
              <w:adjustRightInd w:val="0"/>
              <w:snapToGrid w:val="0"/>
              <w:rPr>
                <w:rFonts w:ascii="宋体" w:cs="Times New Roman"/>
                <w:kern w:val="0"/>
                <w:sz w:val="22"/>
                <w:szCs w:val="22"/>
              </w:rPr>
            </w:pPr>
            <w:r>
              <w:rPr>
                <w:rFonts w:hint="eastAsia" w:ascii="宋体" w:hAnsi="Wingdings" w:cs="Times New Roman"/>
                <w:kern w:val="0"/>
                <w:sz w:val="22"/>
                <w:szCs w:val="22"/>
              </w:rPr>
              <w:sym w:font="Wingdings" w:char="F0FE"/>
            </w:r>
            <w:r>
              <w:rPr>
                <w:rFonts w:hint="eastAsia" w:ascii="宋体" w:hAnsi="宋体" w:cs="宋体"/>
                <w:kern w:val="0"/>
                <w:sz w:val="22"/>
                <w:szCs w:val="22"/>
              </w:rPr>
              <w:t>组织，踏勘时间：</w:t>
            </w:r>
            <w:r>
              <w:rPr>
                <w:rFonts w:ascii="宋体" w:hAnsi="宋体" w:cs="宋体"/>
                <w:kern w:val="0"/>
                <w:sz w:val="22"/>
                <w:szCs w:val="22"/>
              </w:rPr>
              <w:t>2019</w:t>
            </w:r>
            <w:r>
              <w:rPr>
                <w:rFonts w:hint="eastAsia" w:ascii="宋体" w:hAnsi="宋体" w:cs="宋体"/>
                <w:kern w:val="0"/>
                <w:sz w:val="22"/>
                <w:szCs w:val="22"/>
              </w:rPr>
              <w:t>年</w:t>
            </w:r>
            <w:r>
              <w:rPr>
                <w:rFonts w:hint="eastAsia" w:ascii="宋体" w:hAnsi="宋体" w:cs="宋体"/>
                <w:kern w:val="0"/>
                <w:sz w:val="22"/>
                <w:szCs w:val="22"/>
                <w:lang w:val="en-US" w:eastAsia="zh-CN"/>
              </w:rPr>
              <w:t>5</w:t>
            </w:r>
            <w:r>
              <w:rPr>
                <w:rFonts w:hint="eastAsia" w:ascii="宋体" w:hAnsi="宋体" w:cs="宋体"/>
                <w:kern w:val="0"/>
                <w:sz w:val="22"/>
                <w:szCs w:val="22"/>
              </w:rPr>
              <w:t>月</w:t>
            </w:r>
            <w:r>
              <w:rPr>
                <w:rFonts w:hint="eastAsia" w:ascii="宋体" w:hAnsi="宋体" w:cs="宋体"/>
                <w:kern w:val="0"/>
                <w:sz w:val="22"/>
                <w:szCs w:val="22"/>
                <w:lang w:val="en-US" w:eastAsia="zh-CN"/>
              </w:rPr>
              <w:t>23</w:t>
            </w:r>
            <w:r>
              <w:rPr>
                <w:rFonts w:hint="eastAsia" w:ascii="宋体" w:hAnsi="宋体" w:cs="宋体"/>
                <w:kern w:val="0"/>
                <w:sz w:val="22"/>
                <w:szCs w:val="22"/>
              </w:rPr>
              <w:t>日</w:t>
            </w:r>
            <w:r>
              <w:rPr>
                <w:rFonts w:ascii="宋体" w:hAnsi="宋体" w:cs="宋体"/>
                <w:kern w:val="0"/>
                <w:sz w:val="22"/>
                <w:szCs w:val="22"/>
              </w:rPr>
              <w:t>09</w:t>
            </w:r>
            <w:r>
              <w:rPr>
                <w:rFonts w:hint="eastAsia" w:ascii="宋体" w:hAnsi="宋体" w:cs="宋体"/>
                <w:kern w:val="0"/>
                <w:sz w:val="22"/>
                <w:szCs w:val="22"/>
              </w:rPr>
              <w:t>：</w:t>
            </w:r>
            <w:r>
              <w:rPr>
                <w:rFonts w:ascii="宋体" w:hAnsi="宋体" w:cs="宋体"/>
                <w:kern w:val="0"/>
                <w:sz w:val="22"/>
                <w:szCs w:val="22"/>
              </w:rPr>
              <w:t>30</w:t>
            </w:r>
          </w:p>
          <w:p>
            <w:pPr>
              <w:autoSpaceDE w:val="0"/>
              <w:autoSpaceDN w:val="0"/>
              <w:adjustRightInd w:val="0"/>
              <w:snapToGrid w:val="0"/>
              <w:rPr>
                <w:rFonts w:ascii="宋体" w:cs="Times New Roman"/>
                <w:kern w:val="0"/>
                <w:sz w:val="22"/>
                <w:szCs w:val="22"/>
              </w:rPr>
            </w:pPr>
            <w:r>
              <w:rPr>
                <w:rFonts w:hint="eastAsia" w:ascii="宋体" w:hAnsi="宋体" w:cs="宋体"/>
                <w:kern w:val="0"/>
                <w:sz w:val="22"/>
                <w:szCs w:val="22"/>
              </w:rPr>
              <w:t>踏勘集中地点：</w:t>
            </w:r>
            <w:r>
              <w:rPr>
                <w:rFonts w:hint="eastAsia" w:ascii="宋体" w:hAnsi="宋体" w:cs="Arial"/>
                <w:kern w:val="0"/>
                <w:sz w:val="22"/>
              </w:rPr>
              <w:t>杭州萧山国际机场翔越路综合服务楼园区招标中心</w:t>
            </w:r>
          </w:p>
          <w:p>
            <w:pPr>
              <w:widowControl/>
              <w:adjustRightInd w:val="0"/>
              <w:snapToGrid w:val="0"/>
              <w:spacing w:line="340" w:lineRule="exact"/>
              <w:rPr>
                <w:rFonts w:ascii="宋体" w:cs="Times New Roman"/>
                <w:sz w:val="22"/>
                <w:szCs w:val="22"/>
              </w:rPr>
            </w:pPr>
            <w:r>
              <w:rPr>
                <w:rFonts w:hint="eastAsia" w:ascii="宋体" w:hAnsi="宋体" w:cs="宋体"/>
                <w:sz w:val="22"/>
                <w:szCs w:val="22"/>
              </w:rPr>
              <w:t>联系人：贾思勰</w:t>
            </w:r>
            <w:r>
              <w:rPr>
                <w:rFonts w:ascii="宋体" w:hAnsi="宋体" w:cs="宋体"/>
                <w:sz w:val="22"/>
                <w:szCs w:val="22"/>
              </w:rPr>
              <w:t xml:space="preserve"> </w:t>
            </w:r>
            <w:r>
              <w:rPr>
                <w:rFonts w:hint="eastAsia" w:ascii="宋体" w:hAnsi="宋体" w:cs="宋体"/>
                <w:sz w:val="22"/>
                <w:szCs w:val="22"/>
              </w:rPr>
              <w:t>联系电话：</w:t>
            </w:r>
            <w:r>
              <w:rPr>
                <w:rFonts w:ascii="宋体" w:hAnsi="宋体" w:cs="宋体"/>
                <w:sz w:val="22"/>
                <w:szCs w:val="22"/>
              </w:rPr>
              <w:t>0571-86662723</w:t>
            </w:r>
          </w:p>
          <w:p>
            <w:pPr>
              <w:autoSpaceDE w:val="0"/>
              <w:autoSpaceDN w:val="0"/>
              <w:adjustRightInd w:val="0"/>
              <w:snapToGrid w:val="0"/>
              <w:rPr>
                <w:rFonts w:cs="Calibri" w:asciiTheme="minorEastAsia" w:hAnsiTheme="minorEastAsia"/>
                <w:kern w:val="0"/>
                <w:sz w:val="22"/>
              </w:rPr>
            </w:pPr>
            <w:r>
              <w:rPr>
                <w:rFonts w:hint="eastAsia" w:ascii="宋体" w:hAnsi="宋体" w:cs="宋体"/>
                <w:sz w:val="22"/>
                <w:szCs w:val="22"/>
              </w:rPr>
              <w:t>（</w:t>
            </w:r>
            <w:r>
              <w:rPr>
                <w:rFonts w:hint="eastAsia" w:ascii="宋体" w:hAnsi="宋体" w:cs="宋体"/>
                <w:b/>
                <w:bCs/>
                <w:sz w:val="22"/>
                <w:szCs w:val="22"/>
              </w:rPr>
              <w:t>由于未参加现场踏勘引起的报价失误等责任由投标人自负</w:t>
            </w:r>
            <w:r>
              <w:rPr>
                <w:rFonts w:hint="eastAsia" w:ascii="宋体" w:hAnsi="宋体" w:cs="宋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10</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投标预备会</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不召开</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□召开，召开时间：</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201</w:t>
            </w:r>
            <w:r>
              <w:rPr>
                <w:rFonts w:hint="eastAsia" w:cs="Calibri" w:asciiTheme="minorEastAsia" w:hAnsiTheme="minorEastAsia"/>
                <w:kern w:val="0"/>
                <w:sz w:val="22"/>
              </w:rPr>
              <w:t>9</w:t>
            </w:r>
            <w:r>
              <w:rPr>
                <w:rFonts w:cs="Calibri" w:asciiTheme="minorEastAsia" w:hAnsiTheme="minorEastAsia"/>
                <w:kern w:val="0"/>
                <w:sz w:val="22"/>
              </w:rPr>
              <w:t>年</w:t>
            </w:r>
            <w:r>
              <w:rPr>
                <w:rFonts w:hint="eastAsia" w:cs="Calibri" w:asciiTheme="minorEastAsia" w:hAnsiTheme="minorEastAsia"/>
                <w:kern w:val="0"/>
                <w:sz w:val="22"/>
                <w:lang w:val="en-US" w:eastAsia="zh-CN"/>
              </w:rPr>
              <w:t>5</w:t>
            </w:r>
            <w:r>
              <w:rPr>
                <w:rFonts w:cs="Calibri" w:asciiTheme="minorEastAsia" w:hAnsiTheme="minorEastAsia"/>
                <w:kern w:val="0"/>
                <w:sz w:val="22"/>
              </w:rPr>
              <w:t>月</w:t>
            </w:r>
            <w:r>
              <w:rPr>
                <w:rFonts w:hint="eastAsia" w:cs="Calibri" w:asciiTheme="minorEastAsia" w:hAnsiTheme="minorEastAsia"/>
                <w:kern w:val="0"/>
                <w:sz w:val="22"/>
                <w:lang w:val="en-US" w:eastAsia="zh-CN"/>
              </w:rPr>
              <w:t>23</w:t>
            </w:r>
            <w:r>
              <w:rPr>
                <w:rFonts w:cs="Calibri" w:asciiTheme="minorEastAsia" w:hAnsiTheme="minorEastAsia"/>
                <w:kern w:val="0"/>
                <w:sz w:val="22"/>
              </w:rPr>
              <w:t>日11：30前，</w:t>
            </w:r>
            <w:r>
              <w:rPr>
                <w:rFonts w:hint="eastAsia" w:ascii="宋体" w:hAnsi="宋体" w:cs="Calibri"/>
                <w:kern w:val="0"/>
                <w:sz w:val="22"/>
              </w:rPr>
              <w:t>以书面加盖公章的形式通过E-mail或传真提交给招标人（投标联系人:贾思勰，电话0571-8666</w:t>
            </w:r>
            <w:r>
              <w:rPr>
                <w:rFonts w:ascii="宋体" w:hAnsi="宋体" w:cs="Calibri"/>
                <w:kern w:val="0"/>
                <w:sz w:val="22"/>
              </w:rPr>
              <w:t>2723</w:t>
            </w:r>
            <w:r>
              <w:rPr>
                <w:rFonts w:hint="eastAsia" w:ascii="宋体" w:hAnsi="宋体" w:cs="Calibri"/>
                <w:kern w:val="0"/>
                <w:sz w:val="22"/>
              </w:rPr>
              <w:t>；传真：0571-86662736；电子邮箱：zbzx@hzairport.com）投标人必须在规定时间前提出对招标文件的疑问，否则招标人有权拒绝接收和拒绝回答未在截止时间前提出的疑问。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hint="eastAsia" w:cs="Calibri" w:asciiTheme="minorEastAsia" w:hAnsiTheme="minorEastAsia" w:eastAsiaTheme="minorEastAsia"/>
                <w:b/>
                <w:kern w:val="0"/>
                <w:sz w:val="22"/>
                <w:lang w:eastAsia="zh-CN"/>
              </w:rPr>
            </w:pPr>
            <w:r>
              <w:rPr>
                <w:rFonts w:hint="eastAsia" w:cs="Calibri" w:asciiTheme="minorEastAsia" w:hAnsiTheme="minorEastAsia"/>
                <w:b/>
                <w:kern w:val="0"/>
                <w:sz w:val="22"/>
                <w:lang w:eastAsia="zh-CN"/>
              </w:rPr>
              <w:t>2019年5月30日下午13时45分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b/>
                <w:kern w:val="0"/>
                <w:sz w:val="22"/>
              </w:rPr>
              <w:t>投标文件封面（或扉页）、投标函以及各类报价表</w:t>
            </w:r>
            <w:r>
              <w:rPr>
                <w:rFonts w:cs="Calibri" w:asciiTheme="minorEastAsia" w:hAnsiTheme="minorEastAsia"/>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招标人的地址：</w:t>
            </w:r>
            <w:r>
              <w:rPr>
                <w:rFonts w:hint="eastAsia" w:asciiTheme="minorEastAsia" w:hAnsiTheme="minorEastAsia"/>
                <w:sz w:val="22"/>
                <w:u w:val="single"/>
              </w:rPr>
              <w:t>杭州萧山国际机场内</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招标人名称：</w:t>
            </w:r>
            <w:r>
              <w:rPr>
                <w:rFonts w:cs="Calibri" w:asciiTheme="minorEastAsia" w:hAnsiTheme="minorEastAsia"/>
                <w:kern w:val="0"/>
                <w:sz w:val="22"/>
                <w:u w:val="single"/>
              </w:rPr>
              <w:t>杭州萧山国际机场有限公司</w:t>
            </w:r>
          </w:p>
          <w:p>
            <w:pPr>
              <w:autoSpaceDE w:val="0"/>
              <w:autoSpaceDN w:val="0"/>
              <w:adjustRightInd w:val="0"/>
              <w:snapToGrid w:val="0"/>
              <w:rPr>
                <w:rFonts w:cs="Calibri" w:asciiTheme="minorEastAsia" w:hAnsiTheme="minorEastAsia"/>
                <w:kern w:val="0"/>
                <w:sz w:val="22"/>
              </w:rPr>
            </w:pPr>
            <w:r>
              <w:rPr>
                <w:rFonts w:hint="eastAsia" w:cs="宋体" w:asciiTheme="minorEastAsia" w:hAnsiTheme="minorEastAsia"/>
                <w:sz w:val="22"/>
              </w:rPr>
              <w:t>项目名称：</w:t>
            </w:r>
            <w:r>
              <w:rPr>
                <w:rFonts w:hint="eastAsia" w:ascii="宋体" w:hAnsi="宋体" w:cs="宋体"/>
                <w:color w:val="000000"/>
              </w:rPr>
              <w:t>杭州萧山国际机场员工集体宿舍</w:t>
            </w:r>
            <w:r>
              <w:rPr>
                <w:rFonts w:ascii="宋体" w:hAnsi="宋体" w:cs="宋体"/>
                <w:color w:val="000000"/>
              </w:rPr>
              <w:t>1</w:t>
            </w:r>
            <w:r>
              <w:rPr>
                <w:rFonts w:hint="eastAsia" w:ascii="宋体" w:hAnsi="宋体" w:cs="宋体"/>
                <w:color w:val="000000"/>
              </w:rPr>
              <w:t>号楼水电改造采购安装项目</w:t>
            </w:r>
            <w:r>
              <w:rPr>
                <w:rFonts w:hint="eastAsia" w:cs="宋体" w:asciiTheme="minorEastAsia" w:hAnsiTheme="minorEastAsia"/>
                <w:sz w:val="22"/>
              </w:rPr>
              <w:t>投标文件</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在</w:t>
            </w:r>
            <w:r>
              <w:rPr>
                <w:rFonts w:cs="Calibri" w:asciiTheme="minorEastAsia" w:hAnsiTheme="minorEastAsia"/>
                <w:kern w:val="0"/>
                <w:sz w:val="22"/>
                <w:u w:val="single"/>
              </w:rPr>
              <w:t xml:space="preserve"> </w:t>
            </w:r>
            <w:r>
              <w:rPr>
                <w:rFonts w:hint="eastAsia" w:cs="Calibri" w:asciiTheme="minorEastAsia" w:hAnsiTheme="minorEastAsia"/>
                <w:kern w:val="0"/>
                <w:sz w:val="22"/>
                <w:u w:val="single"/>
                <w:lang w:eastAsia="zh-CN"/>
              </w:rPr>
              <w:t>2019年5月30日下午13时45分</w:t>
            </w:r>
            <w:r>
              <w:rPr>
                <w:rFonts w:cs="Calibri" w:asciiTheme="minorEastAsia" w:hAnsiTheme="minorEastAsia"/>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cs="Calibri" w:asciiTheme="minorEastAsia" w:hAnsiTheme="minorEastAsia"/>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cs="Calibri" w:asciiTheme="minorEastAsia" w:hAnsiTheme="minorEastAsia" w:eastAsiaTheme="minorEastAsia"/>
                <w:sz w:val="22"/>
                <w:szCs w:val="22"/>
              </w:rPr>
            </w:pPr>
            <w:r>
              <w:rPr>
                <w:rFonts w:cs="Calibri" w:asciiTheme="minorEastAsia" w:hAnsiTheme="minorEastAsia" w:eastAsiaTheme="minorEastAsia"/>
                <w:sz w:val="22"/>
                <w:szCs w:val="22"/>
              </w:rPr>
              <w:t>其他</w:t>
            </w:r>
          </w:p>
        </w:tc>
        <w:tc>
          <w:tcPr>
            <w:tcW w:w="6487" w:type="dxa"/>
            <w:shd w:val="clear" w:color="auto" w:fill="FFFFFF"/>
            <w:vAlign w:val="center"/>
          </w:tcPr>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2" w:name="_Toc26216"/>
    </w:p>
    <w:p>
      <w:pPr>
        <w:autoSpaceDE w:val="0"/>
        <w:autoSpaceDN w:val="0"/>
        <w:adjustRightInd w:val="0"/>
        <w:snapToGrid w:val="0"/>
        <w:spacing w:line="360" w:lineRule="exact"/>
        <w:rPr>
          <w:rFonts w:cs="Calibri" w:asciiTheme="minorEastAsia" w:hAnsiTheme="minorEastAsia"/>
          <w:b/>
          <w:bCs/>
          <w:kern w:val="0"/>
          <w:sz w:val="22"/>
        </w:rPr>
      </w:pPr>
      <w:r>
        <w:rPr>
          <w:b/>
        </w:rPr>
        <w:br w:type="page"/>
      </w:r>
      <w:bookmarkEnd w:id="2"/>
      <w:r>
        <w:rPr>
          <w:rFonts w:cs="Calibri" w:asciiTheme="minorEastAsia" w:hAnsiTheme="minorEastAsia"/>
          <w:b/>
          <w:bCs/>
          <w:kern w:val="0"/>
          <w:sz w:val="22"/>
        </w:rPr>
        <w:t>1.</w:t>
      </w:r>
      <w:r>
        <w:rPr>
          <w:rFonts w:hint="eastAsia" w:cs="Calibri" w:asciiTheme="minorEastAsia" w:hAnsiTheme="minorEastAsia"/>
          <w:b/>
          <w:bCs/>
          <w:kern w:val="0"/>
          <w:sz w:val="22"/>
        </w:rPr>
        <w:t xml:space="preserve"> </w:t>
      </w:r>
      <w:r>
        <w:rPr>
          <w:rFonts w:cs="Calibri" w:asciiTheme="minorEastAsia" w:hAnsiTheme="minorEastAsia"/>
          <w:b/>
          <w:bCs/>
          <w:kern w:val="0"/>
          <w:sz w:val="22"/>
        </w:rPr>
        <w:t>总则</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1.1 项目概况</w:t>
      </w:r>
    </w:p>
    <w:p>
      <w:pPr>
        <w:adjustRightInd w:val="0"/>
        <w:snapToGrid w:val="0"/>
        <w:spacing w:line="360" w:lineRule="exact"/>
        <w:ind w:firstLine="440"/>
        <w:rPr>
          <w:rFonts w:cs="Calibri" w:asciiTheme="minorEastAsia" w:hAnsiTheme="minorEastAsia"/>
          <w:color w:val="000000"/>
          <w:kern w:val="0"/>
          <w:sz w:val="22"/>
        </w:rPr>
      </w:pPr>
      <w:r>
        <w:rPr>
          <w:rFonts w:cs="Calibri" w:asciiTheme="minorEastAsia" w:hAnsi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1.1.2项目</w:t>
      </w:r>
      <w:r>
        <w:rPr>
          <w:rFonts w:hint="eastAsia" w:cs="Calibri" w:asciiTheme="minorEastAsia" w:hAnsiTheme="minorEastAsia"/>
          <w:color w:val="000000"/>
          <w:kern w:val="0"/>
          <w:sz w:val="22"/>
        </w:rPr>
        <w:t>交货</w:t>
      </w:r>
      <w:r>
        <w:rPr>
          <w:rFonts w:cs="Calibri" w:asciiTheme="minorEastAsia" w:hAnsiTheme="minorEastAsia"/>
          <w:color w:val="000000"/>
          <w:kern w:val="0"/>
          <w:sz w:val="22"/>
        </w:rPr>
        <w:t>地点见投标人须知前附表</w:t>
      </w:r>
      <w:r>
        <w:rPr>
          <w:rFonts w:cs="Calibri" w:asciiTheme="minorEastAsia" w:hAnsiTheme="minorEastAsia"/>
          <w:color w:val="000000"/>
          <w:sz w:val="22"/>
        </w:rPr>
        <w:t>。</w:t>
      </w:r>
    </w:p>
    <w:p>
      <w:pPr>
        <w:autoSpaceDE w:val="0"/>
        <w:autoSpaceDN w:val="0"/>
        <w:adjustRightInd w:val="0"/>
        <w:snapToGrid w:val="0"/>
        <w:spacing w:line="360" w:lineRule="exact"/>
        <w:rPr>
          <w:rFonts w:cs="Calibri" w:asciiTheme="minorEastAsia" w:hAnsiTheme="minorEastAsia"/>
          <w:b/>
          <w:bCs/>
          <w:kern w:val="0"/>
          <w:sz w:val="22"/>
        </w:rPr>
      </w:pPr>
      <w:bookmarkStart w:id="3" w:name="_Toc9136"/>
      <w:r>
        <w:rPr>
          <w:rFonts w:cs="Calibri" w:asciiTheme="minorEastAsia" w:hAnsiTheme="minorEastAsia"/>
          <w:b/>
          <w:bCs/>
          <w:kern w:val="0"/>
          <w:sz w:val="22"/>
        </w:rPr>
        <w:t>1.</w:t>
      </w:r>
      <w:r>
        <w:rPr>
          <w:rFonts w:hint="eastAsia" w:cs="Calibri" w:asciiTheme="minorEastAsia" w:hAnsiTheme="minorEastAsia"/>
          <w:b/>
          <w:bCs/>
          <w:kern w:val="0"/>
          <w:sz w:val="22"/>
        </w:rPr>
        <w:t>2</w:t>
      </w:r>
      <w:r>
        <w:rPr>
          <w:rFonts w:cs="Calibri" w:asciiTheme="minorEastAsia" w:hAnsiTheme="minorEastAsia"/>
          <w:b/>
          <w:bCs/>
          <w:kern w:val="0"/>
          <w:sz w:val="22"/>
        </w:rPr>
        <w:t xml:space="preserve"> 资金来源</w:t>
      </w:r>
      <w:bookmarkEnd w:id="3"/>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4" w:name="_Toc10673"/>
      <w:r>
        <w:rPr>
          <w:rFonts w:cs="Calibri" w:asciiTheme="minorEastAsia" w:hAnsiTheme="minorEastAsia"/>
          <w:b/>
          <w:bCs/>
          <w:kern w:val="0"/>
          <w:sz w:val="22"/>
        </w:rPr>
        <w:t>1.</w:t>
      </w:r>
      <w:r>
        <w:rPr>
          <w:rFonts w:hint="eastAsia" w:cs="Calibri" w:asciiTheme="minorEastAsia" w:hAnsiTheme="minorEastAsia"/>
          <w:b/>
          <w:bCs/>
          <w:kern w:val="0"/>
          <w:sz w:val="22"/>
        </w:rPr>
        <w:t>3</w:t>
      </w:r>
      <w:r>
        <w:rPr>
          <w:rFonts w:cs="Calibri" w:asciiTheme="minorEastAsia" w:hAnsiTheme="minorEastAsia"/>
          <w:b/>
          <w:bCs/>
          <w:kern w:val="0"/>
          <w:sz w:val="22"/>
        </w:rPr>
        <w:t xml:space="preserve"> 招标</w:t>
      </w:r>
      <w:bookmarkEnd w:id="4"/>
      <w:r>
        <w:rPr>
          <w:rFonts w:hint="eastAsia" w:cs="Calibri" w:asciiTheme="minorEastAsia" w:hAnsiTheme="minorEastAsia"/>
          <w:b/>
          <w:bCs/>
          <w:kern w:val="0"/>
          <w:sz w:val="22"/>
        </w:rPr>
        <w:t>内容</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5" w:name="_Toc718"/>
      <w:r>
        <w:rPr>
          <w:rFonts w:cs="Calibri" w:asciiTheme="minorEastAsia" w:hAnsiTheme="minorEastAsia"/>
          <w:b/>
          <w:bCs/>
          <w:kern w:val="0"/>
          <w:sz w:val="22"/>
        </w:rPr>
        <w:t>1.</w:t>
      </w:r>
      <w:r>
        <w:rPr>
          <w:rFonts w:hint="eastAsia" w:cs="Calibri" w:asciiTheme="minorEastAsia" w:hAnsiTheme="minorEastAsia"/>
          <w:b/>
          <w:bCs/>
          <w:kern w:val="0"/>
          <w:sz w:val="22"/>
        </w:rPr>
        <w:t>4</w:t>
      </w:r>
      <w:r>
        <w:rPr>
          <w:rFonts w:cs="Calibri" w:asciiTheme="minorEastAsia" w:hAnsiTheme="minorEastAsia"/>
          <w:b/>
          <w:bCs/>
          <w:kern w:val="0"/>
          <w:sz w:val="22"/>
        </w:rPr>
        <w:t xml:space="preserve"> 招标方式</w:t>
      </w:r>
      <w:bookmarkEnd w:id="5"/>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6" w:name="_Toc9161"/>
      <w:r>
        <w:rPr>
          <w:rFonts w:cs="Calibri" w:asciiTheme="minorEastAsia" w:hAnsiTheme="minorEastAsia"/>
          <w:b/>
          <w:bCs/>
          <w:kern w:val="0"/>
          <w:sz w:val="22"/>
        </w:rPr>
        <w:t>1.</w:t>
      </w:r>
      <w:r>
        <w:rPr>
          <w:rFonts w:hint="eastAsia" w:cs="Calibri" w:asciiTheme="minorEastAsia" w:hAnsiTheme="minorEastAsia"/>
          <w:b/>
          <w:bCs/>
          <w:kern w:val="0"/>
          <w:sz w:val="22"/>
        </w:rPr>
        <w:t xml:space="preserve">5 </w:t>
      </w:r>
      <w:r>
        <w:rPr>
          <w:rFonts w:cs="Calibri" w:asciiTheme="minorEastAsia" w:hAnsiTheme="minorEastAsia"/>
          <w:b/>
          <w:bCs/>
          <w:kern w:val="0"/>
          <w:sz w:val="22"/>
        </w:rPr>
        <w:t>资格审查</w:t>
      </w:r>
      <w:bookmarkEnd w:id="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7" w:name="_Toc13012"/>
      <w:r>
        <w:rPr>
          <w:rFonts w:cs="Calibri" w:asciiTheme="minorEastAsia" w:hAnsiTheme="minorEastAsia"/>
          <w:b/>
          <w:bCs/>
          <w:kern w:val="0"/>
          <w:sz w:val="22"/>
        </w:rPr>
        <w:t>1.</w:t>
      </w:r>
      <w:r>
        <w:rPr>
          <w:rFonts w:hint="eastAsia" w:cs="Calibri" w:asciiTheme="minorEastAsia" w:hAnsiTheme="minorEastAsia"/>
          <w:b/>
          <w:bCs/>
          <w:kern w:val="0"/>
          <w:sz w:val="22"/>
        </w:rPr>
        <w:t>6</w:t>
      </w:r>
      <w:r>
        <w:rPr>
          <w:rFonts w:cs="Calibri" w:asciiTheme="minorEastAsia" w:hAnsiTheme="minorEastAsia"/>
          <w:b/>
          <w:bCs/>
          <w:kern w:val="0"/>
          <w:sz w:val="22"/>
        </w:rPr>
        <w:t xml:space="preserve"> 投标人资质条件、能力和信誉</w:t>
      </w:r>
      <w:bookmarkEnd w:id="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8" w:name="_Toc2796"/>
      <w:r>
        <w:rPr>
          <w:rFonts w:cs="Calibri" w:asciiTheme="minorEastAsia" w:hAnsiTheme="minorEastAsia"/>
          <w:b/>
          <w:bCs/>
          <w:kern w:val="0"/>
          <w:sz w:val="22"/>
        </w:rPr>
        <w:t>1.</w:t>
      </w:r>
      <w:r>
        <w:rPr>
          <w:rFonts w:hint="eastAsia" w:cs="Calibri" w:asciiTheme="minorEastAsia" w:hAnsiTheme="minorEastAsia"/>
          <w:b/>
          <w:bCs/>
          <w:kern w:val="0"/>
          <w:sz w:val="22"/>
        </w:rPr>
        <w:t>7</w:t>
      </w:r>
      <w:r>
        <w:rPr>
          <w:rFonts w:cs="Calibri" w:asciiTheme="minorEastAsia" w:hAnsiTheme="minorEastAsia"/>
          <w:b/>
          <w:bCs/>
          <w:kern w:val="0"/>
          <w:sz w:val="22"/>
        </w:rPr>
        <w:t xml:space="preserve"> </w:t>
      </w:r>
      <w:r>
        <w:rPr>
          <w:rFonts w:hint="eastAsia" w:cs="Calibri" w:asciiTheme="minorEastAsia" w:hAnsiTheme="minorEastAsia"/>
          <w:b/>
          <w:bCs/>
          <w:kern w:val="0"/>
          <w:sz w:val="22"/>
        </w:rPr>
        <w:t>供货</w:t>
      </w:r>
      <w:r>
        <w:rPr>
          <w:rFonts w:cs="Calibri" w:asciiTheme="minorEastAsia" w:hAnsiTheme="minorEastAsia"/>
          <w:b/>
          <w:bCs/>
          <w:kern w:val="0"/>
          <w:sz w:val="22"/>
        </w:rPr>
        <w:t>期</w:t>
      </w:r>
      <w:bookmarkEnd w:id="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hint="eastAsia" w:cs="Calibri" w:asciiTheme="minorEastAsia" w:hAnsiTheme="minorEastAsia"/>
          <w:b/>
          <w:bCs/>
          <w:kern w:val="0"/>
          <w:sz w:val="22"/>
        </w:rPr>
        <w:t>1.8 质量要求</w:t>
      </w:r>
    </w:p>
    <w:p>
      <w:pPr>
        <w:adjustRightInd w:val="0"/>
        <w:snapToGrid w:val="0"/>
        <w:spacing w:line="360" w:lineRule="exact"/>
        <w:ind w:firstLine="440"/>
        <w:rPr>
          <w:rFonts w:cs="Calibri" w:asciiTheme="minorEastAsia" w:hAnsiTheme="minorEastAsia"/>
          <w:color w:val="000000"/>
          <w:sz w:val="22"/>
        </w:rPr>
      </w:pPr>
      <w:bookmarkStart w:id="9" w:name="_Toc13907"/>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w:t>
      </w:r>
      <w:r>
        <w:rPr>
          <w:rFonts w:hint="eastAsia" w:cs="Calibri" w:asciiTheme="minorEastAsia" w:hAnsiTheme="minorEastAsia"/>
          <w:b/>
          <w:bCs/>
          <w:kern w:val="0"/>
          <w:sz w:val="22"/>
        </w:rPr>
        <w:t>9</w:t>
      </w:r>
      <w:r>
        <w:rPr>
          <w:rFonts w:cs="Calibri" w:asciiTheme="minorEastAsia" w:hAnsiTheme="minorEastAsia"/>
          <w:b/>
          <w:bCs/>
          <w:kern w:val="0"/>
          <w:sz w:val="22"/>
        </w:rPr>
        <w:t xml:space="preserve"> 踏勘现场</w:t>
      </w:r>
      <w:bookmarkEnd w:id="9"/>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sz w:val="22"/>
        </w:rPr>
        <w:t>1.</w:t>
      </w:r>
      <w:r>
        <w:rPr>
          <w:rFonts w:hint="eastAsia" w:cs="Calibri" w:asciiTheme="minorEastAsia" w:hAnsiTheme="minorEastAsia"/>
          <w:sz w:val="22"/>
        </w:rPr>
        <w:t>9</w:t>
      </w:r>
      <w:r>
        <w:rPr>
          <w:rFonts w:cs="Calibri" w:asciiTheme="minorEastAsia" w:hAnsiTheme="minorEastAsia"/>
          <w:sz w:val="22"/>
        </w:rPr>
        <w:t>.1</w:t>
      </w:r>
      <w:r>
        <w:rPr>
          <w:rFonts w:cs="Calibri" w:asciiTheme="minorEastAsia" w:hAnsiTheme="minorEastAsia"/>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.2 投标人踏勘现场发生的费用自理。</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.3 投标人自行负责在踏勘现场中所发生的人员伤亡和财产损失。</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b/>
          <w:bCs/>
          <w:kern w:val="0"/>
          <w:sz w:val="22"/>
        </w:rPr>
      </w:pPr>
      <w:bookmarkStart w:id="10" w:name="_Toc4199"/>
      <w:r>
        <w:rPr>
          <w:rFonts w:cs="Calibri" w:asciiTheme="minorEastAsia" w:hAnsiTheme="minorEastAsia"/>
          <w:b/>
          <w:bCs/>
          <w:kern w:val="0"/>
          <w:sz w:val="22"/>
        </w:rPr>
        <w:t>1.</w:t>
      </w:r>
      <w:r>
        <w:rPr>
          <w:rFonts w:hint="eastAsia" w:cs="Calibri" w:asciiTheme="minorEastAsia" w:hAnsiTheme="minorEastAsia"/>
          <w:b/>
          <w:bCs/>
          <w:kern w:val="0"/>
          <w:sz w:val="22"/>
        </w:rPr>
        <w:t>10</w:t>
      </w:r>
      <w:r>
        <w:rPr>
          <w:rFonts w:cs="Calibri" w:asciiTheme="minorEastAsia" w:hAnsiTheme="minorEastAsia"/>
          <w:b/>
          <w:bCs/>
          <w:kern w:val="0"/>
          <w:sz w:val="22"/>
        </w:rPr>
        <w:t xml:space="preserve"> 投标预备会</w:t>
      </w:r>
      <w:bookmarkEnd w:id="1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11" w:name="_Toc4584"/>
      <w:r>
        <w:rPr>
          <w:rFonts w:cs="Calibri" w:asciiTheme="minorEastAsia" w:hAnsiTheme="minorEastAsia"/>
          <w:b/>
          <w:bCs/>
          <w:kern w:val="0"/>
          <w:sz w:val="22"/>
        </w:rPr>
        <w:t>1.1</w:t>
      </w:r>
      <w:r>
        <w:rPr>
          <w:rFonts w:hint="eastAsia" w:cs="Calibri" w:asciiTheme="minorEastAsia" w:hAnsiTheme="minorEastAsia"/>
          <w:b/>
          <w:bCs/>
          <w:kern w:val="0"/>
          <w:sz w:val="22"/>
        </w:rPr>
        <w:t>1</w:t>
      </w:r>
      <w:r>
        <w:rPr>
          <w:rFonts w:cs="Calibri" w:asciiTheme="minorEastAsia" w:hAnsiTheme="minorEastAsia"/>
          <w:b/>
          <w:bCs/>
          <w:kern w:val="0"/>
          <w:sz w:val="22"/>
        </w:rPr>
        <w:t xml:space="preserve"> 分包</w:t>
      </w:r>
      <w:bookmarkEnd w:id="1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本项目</w:t>
      </w:r>
      <w:r>
        <w:rPr>
          <w:rFonts w:hint="eastAsia" w:cs="Calibri" w:asciiTheme="minorEastAsia" w:hAnsiTheme="minorEastAsia"/>
          <w:color w:val="000000"/>
          <w:sz w:val="22"/>
        </w:rPr>
        <w:t>涉及到其它专业的部分分项工作</w:t>
      </w:r>
      <w:r>
        <w:rPr>
          <w:rFonts w:cs="Calibri" w:asciiTheme="minorEastAsia" w:hAnsiTheme="minorEastAsia"/>
          <w:color w:val="000000"/>
          <w:sz w:val="22"/>
        </w:rPr>
        <w:t>允许分包。</w:t>
      </w:r>
    </w:p>
    <w:p>
      <w:pPr>
        <w:autoSpaceDE w:val="0"/>
        <w:autoSpaceDN w:val="0"/>
        <w:adjustRightInd w:val="0"/>
        <w:snapToGrid w:val="0"/>
        <w:spacing w:line="360" w:lineRule="exact"/>
        <w:rPr>
          <w:rFonts w:cs="Calibri" w:asciiTheme="minorEastAsia" w:hAnsiTheme="minorEastAsia"/>
          <w:b/>
          <w:bCs/>
          <w:kern w:val="0"/>
          <w:sz w:val="22"/>
        </w:rPr>
      </w:pPr>
      <w:bookmarkStart w:id="12" w:name="_Toc3996"/>
      <w:r>
        <w:rPr>
          <w:rFonts w:cs="Calibri" w:asciiTheme="minorEastAsia" w:hAnsiTheme="minorEastAsia"/>
          <w:b/>
          <w:bCs/>
          <w:kern w:val="0"/>
          <w:sz w:val="22"/>
        </w:rPr>
        <w:t>1.1</w:t>
      </w:r>
      <w:r>
        <w:rPr>
          <w:rFonts w:hint="eastAsia" w:cs="Calibri" w:asciiTheme="minorEastAsia" w:hAnsiTheme="minorEastAsia"/>
          <w:b/>
          <w:bCs/>
          <w:kern w:val="0"/>
          <w:sz w:val="22"/>
        </w:rPr>
        <w:t>2</w:t>
      </w:r>
      <w:r>
        <w:rPr>
          <w:rFonts w:cs="Calibri" w:asciiTheme="minorEastAsia" w:hAnsiTheme="minorEastAsia"/>
          <w:b/>
          <w:bCs/>
          <w:kern w:val="0"/>
          <w:sz w:val="22"/>
        </w:rPr>
        <w:t xml:space="preserve"> 投标费用</w:t>
      </w:r>
      <w:bookmarkEnd w:id="12"/>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b/>
          <w:bCs/>
          <w:kern w:val="0"/>
          <w:sz w:val="22"/>
        </w:rPr>
      </w:pPr>
      <w:bookmarkStart w:id="13" w:name="_Toc143421657"/>
      <w:bookmarkStart w:id="14" w:name="_Toc15241"/>
      <w:r>
        <w:rPr>
          <w:rFonts w:cs="Calibri" w:asciiTheme="minorEastAsia" w:hAnsiTheme="minorEastAsia"/>
          <w:b/>
          <w:bCs/>
          <w:kern w:val="0"/>
          <w:sz w:val="22"/>
        </w:rPr>
        <w:t>2.招标文件</w:t>
      </w:r>
      <w:bookmarkEnd w:id="13"/>
      <w:bookmarkEnd w:id="14"/>
    </w:p>
    <w:p>
      <w:pPr>
        <w:autoSpaceDE w:val="0"/>
        <w:autoSpaceDN w:val="0"/>
        <w:adjustRightInd w:val="0"/>
        <w:snapToGrid w:val="0"/>
        <w:spacing w:line="360" w:lineRule="exact"/>
        <w:rPr>
          <w:rFonts w:cs="Calibri" w:asciiTheme="minorEastAsia" w:hAnsiTheme="minorEastAsia"/>
          <w:b/>
          <w:bCs/>
          <w:kern w:val="0"/>
          <w:sz w:val="22"/>
        </w:rPr>
      </w:pPr>
      <w:bookmarkStart w:id="15" w:name="_Toc1426"/>
      <w:r>
        <w:rPr>
          <w:rFonts w:cs="Calibri" w:asciiTheme="minorEastAsia" w:hAnsiTheme="minorEastAsia"/>
          <w:b/>
          <w:bCs/>
          <w:kern w:val="0"/>
          <w:sz w:val="22"/>
        </w:rPr>
        <w:t>2.1 招标文件的组成</w:t>
      </w:r>
      <w:bookmarkEnd w:id="15"/>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rPr>
          <w:rFonts w:ascii="宋体" w:hAnsi="宋体" w:cs="Calibri"/>
          <w:kern w:val="0"/>
          <w:sz w:val="22"/>
        </w:rPr>
      </w:pPr>
      <w:r>
        <w:rPr>
          <w:rFonts w:ascii="宋体" w:hAnsi="宋体" w:cs="Calibri"/>
          <w:kern w:val="0"/>
          <w:sz w:val="22"/>
        </w:rPr>
        <w:t>（3）货物需求一览表及技术规格</w:t>
      </w:r>
    </w:p>
    <w:p>
      <w:pPr>
        <w:adjustRightInd w:val="0"/>
        <w:snapToGrid w:val="0"/>
        <w:spacing w:line="360" w:lineRule="exact"/>
        <w:ind w:firstLine="440"/>
        <w:rPr>
          <w:rFonts w:ascii="宋体" w:hAnsi="宋体" w:cs="Calibri"/>
          <w:kern w:val="0"/>
          <w:sz w:val="22"/>
        </w:rPr>
      </w:pPr>
      <w:r>
        <w:rPr>
          <w:rFonts w:ascii="宋体" w:hAnsi="宋体" w:cs="Calibri"/>
          <w:kern w:val="0"/>
          <w:sz w:val="22"/>
        </w:rPr>
        <w:t>（4）合同条款</w:t>
      </w:r>
    </w:p>
    <w:p>
      <w:pPr>
        <w:adjustRightInd w:val="0"/>
        <w:snapToGrid w:val="0"/>
        <w:spacing w:line="360" w:lineRule="exact"/>
        <w:ind w:firstLine="440"/>
        <w:rPr>
          <w:rFonts w:ascii="宋体" w:hAnsi="宋体" w:cs="Calibri"/>
          <w:kern w:val="0"/>
          <w:sz w:val="22"/>
        </w:rPr>
      </w:pPr>
      <w:r>
        <w:rPr>
          <w:rFonts w:ascii="宋体" w:hAnsi="宋体" w:cs="Calibri"/>
          <w:kern w:val="0"/>
          <w:sz w:val="22"/>
        </w:rPr>
        <w:t>（5）评标办法</w:t>
      </w:r>
      <w:r>
        <w:rPr>
          <w:rFonts w:hint="eastAsia" w:ascii="宋体" w:hAnsi="宋体" w:cs="Calibri"/>
          <w:kern w:val="0"/>
          <w:sz w:val="22"/>
        </w:rPr>
        <w:t>及标准</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b/>
          <w:bCs/>
          <w:kern w:val="0"/>
          <w:sz w:val="22"/>
        </w:rPr>
      </w:pPr>
      <w:bookmarkStart w:id="16" w:name="_Toc18230"/>
      <w:r>
        <w:rPr>
          <w:rFonts w:cs="Calibri" w:asciiTheme="minorEastAsia" w:hAnsiTheme="minorEastAsia"/>
          <w:b/>
          <w:bCs/>
          <w:kern w:val="0"/>
          <w:sz w:val="22"/>
        </w:rPr>
        <w:t>2.2 招标文件的澄清</w:t>
      </w:r>
      <w:bookmarkEnd w:id="1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ascii="Calibri" w:hAnsi="Calibri" w:cs="Calibri"/>
          <w:color w:val="000000"/>
          <w:sz w:val="21"/>
          <w:szCs w:val="21"/>
        </w:rPr>
        <w:t>招标人将视情况采用补充公告的方式予以澄清。</w:t>
      </w:r>
    </w:p>
    <w:p>
      <w:pPr>
        <w:autoSpaceDE w:val="0"/>
        <w:autoSpaceDN w:val="0"/>
        <w:adjustRightInd w:val="0"/>
        <w:snapToGrid w:val="0"/>
        <w:spacing w:line="360" w:lineRule="exact"/>
        <w:rPr>
          <w:rFonts w:cs="Calibri" w:asciiTheme="minorEastAsia" w:hAnsiTheme="minorEastAsia"/>
          <w:b/>
          <w:bCs/>
          <w:kern w:val="0"/>
          <w:sz w:val="22"/>
        </w:rPr>
      </w:pPr>
      <w:bookmarkStart w:id="17" w:name="_Toc18303"/>
      <w:r>
        <w:rPr>
          <w:rFonts w:cs="Calibri" w:asciiTheme="minorEastAsia" w:hAnsiTheme="minorEastAsia"/>
          <w:b/>
          <w:bCs/>
          <w:kern w:val="0"/>
          <w:sz w:val="22"/>
        </w:rPr>
        <w:t>2.3 招标文件的修改</w:t>
      </w:r>
      <w:bookmarkEnd w:id="1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kern w:val="0"/>
          <w:sz w:val="22"/>
        </w:rPr>
      </w:pPr>
      <w:bookmarkStart w:id="18" w:name="_Toc143421658"/>
      <w:bookmarkStart w:id="19" w:name="_Toc18870"/>
      <w:r>
        <w:rPr>
          <w:rFonts w:ascii="宋体" w:hAnsi="宋体" w:cs="Calibri"/>
          <w:b/>
          <w:bCs/>
          <w:kern w:val="0"/>
          <w:sz w:val="22"/>
        </w:rPr>
        <w:t>3.投标文件</w:t>
      </w:r>
      <w:bookmarkEnd w:id="18"/>
      <w:bookmarkEnd w:id="19"/>
    </w:p>
    <w:p>
      <w:pPr>
        <w:autoSpaceDE w:val="0"/>
        <w:autoSpaceDN w:val="0"/>
        <w:adjustRightInd w:val="0"/>
        <w:snapToGrid w:val="0"/>
        <w:spacing w:line="360" w:lineRule="exact"/>
        <w:rPr>
          <w:rFonts w:ascii="宋体" w:hAnsi="宋体" w:cs="Calibri"/>
          <w:b/>
          <w:bCs/>
          <w:kern w:val="0"/>
          <w:sz w:val="22"/>
        </w:rPr>
      </w:pPr>
      <w:bookmarkStart w:id="20" w:name="_Toc461"/>
      <w:r>
        <w:rPr>
          <w:rFonts w:ascii="宋体" w:hAnsi="宋体" w:cs="Calibri"/>
          <w:b/>
          <w:bCs/>
          <w:kern w:val="0"/>
          <w:sz w:val="22"/>
        </w:rPr>
        <w:t>3.1 投标文件的语言和计量单位</w:t>
      </w:r>
      <w:bookmarkEnd w:id="20"/>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“销售</w:t>
      </w:r>
      <w:r>
        <w:rPr>
          <w:rFonts w:hint="eastAsia" w:ascii="宋体" w:hAnsi="宋体" w:cs="Calibri"/>
          <w:kern w:val="0"/>
          <w:sz w:val="22"/>
        </w:rPr>
        <w:t>（供货）</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1" w:name="_Toc1411"/>
      <w:r>
        <w:rPr>
          <w:rFonts w:ascii="宋体" w:hAnsi="宋体" w:cs="Calibri"/>
          <w:b/>
          <w:bCs/>
          <w:kern w:val="0"/>
          <w:sz w:val="22"/>
        </w:rPr>
        <w:t>3.2 投标文件的组成</w:t>
      </w:r>
      <w:bookmarkEnd w:id="21"/>
    </w:p>
    <w:p>
      <w:pPr>
        <w:adjustRightInd w:val="0"/>
        <w:snapToGrid w:val="0"/>
        <w:spacing w:line="360" w:lineRule="exact"/>
        <w:ind w:firstLine="440"/>
        <w:rPr>
          <w:rFonts w:ascii="宋体" w:hAnsi="宋体" w:cs="Calibri"/>
          <w:sz w:val="22"/>
        </w:rPr>
      </w:pPr>
      <w:bookmarkStart w:id="22" w:name="_Toc32225"/>
      <w:r>
        <w:rPr>
          <w:rFonts w:ascii="宋体" w:hAnsi="宋体" w:cs="Calibri"/>
          <w:sz w:val="22"/>
        </w:rPr>
        <w:t>3.2.1投标函；</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2</w:t>
      </w:r>
      <w:r>
        <w:rPr>
          <w:rFonts w:cs="Calibri" w:asciiTheme="minorEastAsia" w:hAnsiTheme="minorEastAsia"/>
          <w:color w:val="000000"/>
          <w:sz w:val="22"/>
        </w:rPr>
        <w:t>法定代表人资格证明书；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3</w:t>
      </w:r>
      <w:r>
        <w:rPr>
          <w:rFonts w:cs="Calibri" w:asciiTheme="minorEastAsia" w:hAnsiTheme="minorEastAsia"/>
          <w:color w:val="000000"/>
          <w:sz w:val="22"/>
        </w:rPr>
        <w:t>授权委托书；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4</w:t>
      </w:r>
      <w:r>
        <w:rPr>
          <w:rFonts w:cs="Calibri" w:asciiTheme="minorEastAsia" w:hAnsiTheme="minorEastAsia"/>
          <w:color w:val="000000"/>
          <w:sz w:val="22"/>
        </w:rPr>
        <w:t xml:space="preserve"> 投标报价表；</w:t>
      </w:r>
    </w:p>
    <w:p>
      <w:pPr>
        <w:adjustRightInd w:val="0"/>
        <w:snapToGrid w:val="0"/>
        <w:spacing w:line="360" w:lineRule="exact"/>
        <w:ind w:firstLine="440"/>
        <w:rPr>
          <w:rFonts w:ascii="宋体" w:hAnsi="宋体" w:cs="Calibri"/>
          <w:sz w:val="22"/>
        </w:rPr>
      </w:pPr>
      <w:r>
        <w:rPr>
          <w:rFonts w:ascii="宋体" w:hAnsi="宋体" w:cs="Calibri"/>
          <w:sz w:val="22"/>
        </w:rPr>
        <w:t>3.2.5投标人资格证明文件：</w:t>
      </w:r>
    </w:p>
    <w:p>
      <w:pPr>
        <w:adjustRightInd w:val="0"/>
        <w:snapToGrid w:val="0"/>
        <w:spacing w:line="360" w:lineRule="exact"/>
        <w:ind w:firstLine="440"/>
        <w:rPr>
          <w:rFonts w:ascii="宋体" w:hAnsi="宋体" w:cs="Calibri"/>
          <w:sz w:val="22"/>
        </w:rPr>
      </w:pPr>
      <w:r>
        <w:rPr>
          <w:rFonts w:ascii="宋体" w:hAnsi="宋体" w:cs="Calibri"/>
          <w:sz w:val="22"/>
        </w:rPr>
        <w:t>（1）</w:t>
      </w:r>
      <w:r>
        <w:rPr>
          <w:rFonts w:cs="Calibri" w:asciiTheme="minorEastAsia" w:hAnsiTheme="minorEastAsia"/>
          <w:color w:val="000000"/>
          <w:sz w:val="22"/>
        </w:rPr>
        <w:t>投标人一般情况</w:t>
      </w:r>
      <w:r>
        <w:rPr>
          <w:rFonts w:hint="eastAsia" w:cs="Calibri" w:asciiTheme="minorEastAsia" w:hAnsiTheme="minorEastAsia"/>
          <w:color w:val="000000"/>
          <w:sz w:val="22"/>
        </w:rPr>
        <w:t>及</w:t>
      </w:r>
      <w:r>
        <w:rPr>
          <w:rFonts w:cs="Calibri" w:asciiTheme="minorEastAsia" w:hAnsiTheme="minorEastAsia"/>
          <w:color w:val="000000"/>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360" w:lineRule="exact"/>
        <w:ind w:firstLine="440"/>
        <w:rPr>
          <w:rFonts w:ascii="宋体" w:hAnsi="宋体" w:cs="Arial"/>
          <w:kern w:val="0"/>
          <w:sz w:val="22"/>
        </w:rPr>
      </w:pPr>
      <w:r>
        <w:rPr>
          <w:rFonts w:hint="eastAsia" w:ascii="宋体" w:hAnsi="宋体" w:cs="Calibri"/>
          <w:sz w:val="22"/>
        </w:rPr>
        <w:t>（2）</w:t>
      </w:r>
      <w:r>
        <w:rPr>
          <w:rFonts w:hint="eastAsia" w:ascii="宋体" w:hAnsi="宋体" w:cs="宋体"/>
          <w:sz w:val="22"/>
        </w:rPr>
        <w:t>制造商资格声明</w:t>
      </w:r>
      <w:r>
        <w:rPr>
          <w:rFonts w:hint="eastAsia" w:ascii="宋体" w:hAnsi="宋体" w:cs="Arial"/>
          <w:kern w:val="0"/>
          <w:sz w:val="22"/>
        </w:rPr>
        <w:t>。</w:t>
      </w:r>
    </w:p>
    <w:p>
      <w:pPr>
        <w:adjustRightInd w:val="0"/>
        <w:snapToGrid w:val="0"/>
        <w:spacing w:line="360" w:lineRule="exact"/>
        <w:ind w:firstLine="440"/>
        <w:rPr>
          <w:rFonts w:ascii="宋体" w:hAnsi="宋体" w:cs="Arial"/>
          <w:kern w:val="0"/>
          <w:sz w:val="22"/>
        </w:rPr>
      </w:pPr>
      <w:r>
        <w:rPr>
          <w:rFonts w:hint="eastAsia" w:ascii="宋体" w:hAnsi="宋体" w:cs="Arial"/>
          <w:kern w:val="0"/>
          <w:sz w:val="22"/>
        </w:rPr>
        <w:t>（3）</w:t>
      </w:r>
      <w:r>
        <w:rPr>
          <w:rFonts w:ascii="宋体" w:hAnsi="宋体" w:cs="Calibri"/>
          <w:color w:val="000000"/>
          <w:sz w:val="22"/>
          <w:szCs w:val="22"/>
        </w:rPr>
        <w:t>设备制造商的授权书</w:t>
      </w:r>
      <w:r>
        <w:rPr>
          <w:rFonts w:hint="eastAsia" w:ascii="宋体" w:hAnsi="宋体" w:cs="Calibri"/>
          <w:color w:val="000000"/>
          <w:sz w:val="22"/>
          <w:szCs w:val="22"/>
        </w:rPr>
        <w:t>（代理商投标时提供）</w:t>
      </w:r>
    </w:p>
    <w:p>
      <w:pPr>
        <w:adjustRightInd w:val="0"/>
        <w:snapToGrid w:val="0"/>
        <w:spacing w:line="360" w:lineRule="exact"/>
        <w:ind w:firstLine="440"/>
        <w:rPr>
          <w:rFonts w:ascii="宋体" w:hAnsi="宋体" w:cs="Calibri"/>
          <w:sz w:val="22"/>
        </w:rPr>
      </w:pPr>
      <w:r>
        <w:rPr>
          <w:rFonts w:hint="eastAsia" w:ascii="宋体" w:hAnsi="宋体" w:cs="Arial"/>
          <w:kern w:val="0"/>
          <w:sz w:val="22"/>
        </w:rPr>
        <w:t>（4）</w:t>
      </w:r>
      <w:r>
        <w:rPr>
          <w:rFonts w:hint="eastAsia" w:ascii="宋体" w:hAnsi="宋体" w:cs="Calibri"/>
          <w:sz w:val="22"/>
        </w:rPr>
        <w:t>投标产品近三年的销售业绩一览表（附业绩的合同）。</w:t>
      </w:r>
    </w:p>
    <w:p>
      <w:pPr>
        <w:adjustRightInd w:val="0"/>
        <w:snapToGrid w:val="0"/>
        <w:spacing w:line="360" w:lineRule="exact"/>
        <w:ind w:firstLine="440"/>
        <w:rPr>
          <w:rFonts w:ascii="宋体" w:hAnsi="宋体" w:cs="宋体"/>
          <w:sz w:val="22"/>
        </w:rPr>
      </w:pPr>
      <w:r>
        <w:rPr>
          <w:rFonts w:ascii="宋体" w:hAnsi="宋体" w:cs="Calibri"/>
          <w:sz w:val="22"/>
        </w:rPr>
        <w:t>3.2.6</w:t>
      </w:r>
      <w:r>
        <w:rPr>
          <w:rFonts w:hint="eastAsia" w:ascii="宋体" w:hAnsi="宋体" w:cs="宋体"/>
          <w:sz w:val="22"/>
        </w:rPr>
        <w:t>技术规格偏离表；</w:t>
      </w:r>
    </w:p>
    <w:p>
      <w:pPr>
        <w:adjustRightInd w:val="0"/>
        <w:snapToGrid w:val="0"/>
        <w:spacing w:line="360" w:lineRule="exact"/>
        <w:ind w:firstLine="440"/>
        <w:rPr>
          <w:rFonts w:ascii="宋体" w:hAnsi="宋体" w:cs="Calibri"/>
          <w:sz w:val="22"/>
        </w:rPr>
      </w:pPr>
      <w:r>
        <w:rPr>
          <w:rFonts w:hint="eastAsia" w:ascii="宋体" w:hAnsi="宋体" w:cs="宋体"/>
          <w:sz w:val="22"/>
        </w:rPr>
        <w:t>3.2.7 商务条款响应偏离表；</w:t>
      </w:r>
    </w:p>
    <w:p>
      <w:pPr>
        <w:adjustRightInd w:val="0"/>
        <w:snapToGrid w:val="0"/>
        <w:spacing w:line="360" w:lineRule="exact"/>
        <w:ind w:firstLine="440"/>
        <w:rPr>
          <w:rFonts w:ascii="宋体" w:hAnsi="宋体" w:cs="宋体"/>
          <w:sz w:val="22"/>
        </w:rPr>
      </w:pPr>
      <w:r>
        <w:rPr>
          <w:rFonts w:hint="eastAsia" w:ascii="宋体" w:hAnsi="宋体" w:cs="宋体"/>
          <w:sz w:val="22"/>
        </w:rPr>
        <w:t>3.2.8系统设备供货范围（包括设备数量、型号规格、产地、品牌），进口零部件详细清单（需说明产地、品牌）；</w:t>
      </w:r>
    </w:p>
    <w:p>
      <w:pPr>
        <w:adjustRightInd w:val="0"/>
        <w:snapToGrid w:val="0"/>
        <w:spacing w:line="360" w:lineRule="exact"/>
        <w:ind w:firstLine="440"/>
        <w:rPr>
          <w:rFonts w:ascii="宋体" w:hAnsi="宋体" w:cs="宋体"/>
          <w:sz w:val="22"/>
        </w:rPr>
      </w:pPr>
      <w:r>
        <w:rPr>
          <w:rFonts w:hint="eastAsia" w:ascii="宋体" w:hAnsi="宋体" w:cs="宋体"/>
          <w:sz w:val="22"/>
        </w:rPr>
        <w:t>3.2.9技术参数、结构及性能特点等产品技术规格书；</w:t>
      </w:r>
    </w:p>
    <w:p>
      <w:pPr>
        <w:adjustRightInd w:val="0"/>
        <w:snapToGrid w:val="0"/>
        <w:spacing w:line="360" w:lineRule="exact"/>
        <w:ind w:firstLine="440"/>
        <w:rPr>
          <w:rFonts w:ascii="宋体" w:hAnsi="宋体" w:cs="宋体"/>
          <w:sz w:val="22"/>
        </w:rPr>
      </w:pPr>
      <w:r>
        <w:rPr>
          <w:rFonts w:hint="eastAsia" w:ascii="宋体" w:hAnsi="宋体" w:cs="宋体"/>
          <w:sz w:val="22"/>
        </w:rPr>
        <w:t>3.2.10主要原材料及部件性能和生产厂家；</w:t>
      </w:r>
    </w:p>
    <w:p>
      <w:pPr>
        <w:adjustRightInd w:val="0"/>
        <w:snapToGrid w:val="0"/>
        <w:spacing w:line="360" w:lineRule="exact"/>
        <w:ind w:firstLine="440"/>
        <w:rPr>
          <w:rFonts w:ascii="宋体" w:hAnsi="宋体" w:cs="宋体"/>
          <w:sz w:val="22"/>
        </w:rPr>
      </w:pPr>
      <w:r>
        <w:rPr>
          <w:rFonts w:hint="eastAsia" w:ascii="宋体" w:hAnsi="宋体" w:cs="宋体"/>
          <w:sz w:val="22"/>
        </w:rPr>
        <w:t>3.2.11产品制造、安装、验收标准和验收方法；</w:t>
      </w:r>
    </w:p>
    <w:p>
      <w:pPr>
        <w:adjustRightInd w:val="0"/>
        <w:snapToGrid w:val="0"/>
        <w:spacing w:line="360" w:lineRule="exact"/>
        <w:ind w:firstLine="440"/>
        <w:rPr>
          <w:rFonts w:ascii="宋体" w:hAnsi="宋体" w:cs="宋体"/>
          <w:sz w:val="22"/>
        </w:rPr>
      </w:pPr>
      <w:r>
        <w:rPr>
          <w:rFonts w:hint="eastAsia" w:ascii="宋体" w:hAnsi="宋体" w:cs="宋体"/>
          <w:sz w:val="22"/>
        </w:rPr>
        <w:t>3.2.12现场指导、调试；</w:t>
      </w:r>
    </w:p>
    <w:p>
      <w:pPr>
        <w:adjustRightInd w:val="0"/>
        <w:snapToGrid w:val="0"/>
        <w:spacing w:line="360" w:lineRule="exact"/>
        <w:ind w:firstLine="440"/>
        <w:rPr>
          <w:rFonts w:ascii="宋体" w:hAnsi="宋体" w:cs="宋体"/>
          <w:sz w:val="22"/>
        </w:rPr>
      </w:pPr>
      <w:r>
        <w:rPr>
          <w:rFonts w:hint="eastAsia" w:ascii="宋体" w:hAnsi="宋体" w:cs="宋体"/>
          <w:sz w:val="22"/>
        </w:rPr>
        <w:t>3.2.13</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360" w:lineRule="exact"/>
        <w:ind w:firstLine="440"/>
        <w:rPr>
          <w:rFonts w:ascii="宋体" w:hAnsi="宋体" w:cs="宋体"/>
          <w:sz w:val="22"/>
        </w:rPr>
      </w:pPr>
      <w:r>
        <w:rPr>
          <w:rFonts w:hint="eastAsia" w:ascii="宋体" w:hAnsi="宋体" w:cs="宋体"/>
          <w:sz w:val="22"/>
        </w:rPr>
        <w:t>3.2.14提供详细的培训计划，包括培训内容、培训时间、培训人数等；</w:t>
      </w:r>
    </w:p>
    <w:p>
      <w:pPr>
        <w:adjustRightInd w:val="0"/>
        <w:snapToGrid w:val="0"/>
        <w:spacing w:line="360" w:lineRule="exact"/>
        <w:ind w:firstLine="440"/>
        <w:rPr>
          <w:rFonts w:ascii="宋体" w:hAnsi="宋体" w:cs="宋体"/>
          <w:sz w:val="22"/>
        </w:rPr>
      </w:pPr>
      <w:r>
        <w:rPr>
          <w:rFonts w:hint="eastAsia" w:ascii="宋体" w:hAnsi="宋体" w:cs="宋体"/>
          <w:sz w:val="22"/>
        </w:rPr>
        <w:t>3.2.15关于质量保证期的说明；</w:t>
      </w:r>
    </w:p>
    <w:p>
      <w:pPr>
        <w:adjustRightInd w:val="0"/>
        <w:snapToGrid w:val="0"/>
        <w:spacing w:line="360" w:lineRule="exact"/>
        <w:ind w:firstLine="440"/>
        <w:rPr>
          <w:rFonts w:ascii="宋体" w:hAnsi="宋体" w:cs="宋体"/>
          <w:sz w:val="22"/>
        </w:rPr>
      </w:pPr>
      <w:r>
        <w:rPr>
          <w:rFonts w:hint="eastAsia" w:ascii="宋体" w:hAnsi="宋体" w:cs="宋体"/>
          <w:sz w:val="22"/>
        </w:rPr>
        <w:t>3.2.16优惠条件：投标人承诺给予用户的其他优惠条款，包括付款条件、培训服务、质量保证期等方面的优惠；</w:t>
      </w:r>
    </w:p>
    <w:p>
      <w:pPr>
        <w:adjustRightInd w:val="0"/>
        <w:snapToGrid w:val="0"/>
        <w:spacing w:line="360" w:lineRule="exact"/>
        <w:ind w:firstLine="440"/>
        <w:rPr>
          <w:rFonts w:ascii="宋体" w:hAnsi="宋体" w:cs="宋体"/>
          <w:sz w:val="22"/>
        </w:rPr>
      </w:pPr>
      <w:r>
        <w:rPr>
          <w:rFonts w:hint="eastAsia" w:ascii="宋体" w:hAnsi="宋体" w:cs="宋体"/>
          <w:sz w:val="22"/>
        </w:rPr>
        <w:t>3.2.17</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2"/>
    </w:p>
    <w:p>
      <w:pPr>
        <w:adjustRightInd w:val="0"/>
        <w:snapToGrid w:val="0"/>
        <w:spacing w:line="360" w:lineRule="exact"/>
        <w:ind w:firstLine="440"/>
        <w:rPr>
          <w:rFonts w:ascii="宋体" w:hAnsi="宋体" w:cs="Calibri"/>
          <w:sz w:val="22"/>
        </w:rPr>
      </w:pPr>
      <w:bookmarkStart w:id="23" w:name="_Toc13307"/>
      <w:r>
        <w:rPr>
          <w:rFonts w:ascii="宋体" w:hAnsi="宋体" w:cs="Calibri"/>
          <w:sz w:val="22"/>
        </w:rPr>
        <w:t>3.3.1</w:t>
      </w:r>
      <w:r>
        <w:rPr>
          <w:rFonts w:hint="eastAsia" w:ascii="宋体" w:hAnsi="宋体" w:cs="宋体"/>
          <w:sz w:val="22"/>
        </w:rPr>
        <w:t>投标人递交的投标函及投标报价表中的投标总价必须一致。</w:t>
      </w:r>
      <w:r>
        <w:rPr>
          <w:rFonts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w:t>
      </w:r>
      <w:r>
        <w:rPr>
          <w:rFonts w:hint="eastAsia" w:ascii="宋体" w:hAnsi="宋体" w:cs="Calibri"/>
          <w:sz w:val="22"/>
        </w:rPr>
        <w:t>2</w:t>
      </w:r>
      <w:r>
        <w:rPr>
          <w:rFonts w:hint="eastAsia" w:ascii="宋体" w:hAnsi="宋体" w:cs="宋体"/>
          <w:sz w:val="22"/>
        </w:rPr>
        <w:t>投标人所报投标总价应为投标人为完成本项目所发生的一切费用（包含并不限于货物</w:t>
      </w:r>
      <w:r>
        <w:rPr>
          <w:rFonts w:ascii="宋体" w:hAnsi="宋体" w:cs="宋体"/>
          <w:sz w:val="22"/>
        </w:rPr>
        <w:t>的</w:t>
      </w:r>
      <w:r>
        <w:rPr>
          <w:rFonts w:hint="eastAsia" w:ascii="宋体" w:hAnsi="宋体" w:cs="宋体"/>
          <w:sz w:val="22"/>
        </w:rPr>
        <w:t>供货、运输（包括送至招标人指定地点卸车）、包装费、保险费、税费、验收、技术培训及售后服务等）</w:t>
      </w:r>
      <w:r>
        <w:rPr>
          <w:rFonts w:ascii="宋体" w:hAnsi="宋体" w:cs="宋体"/>
          <w:sz w:val="22"/>
        </w:rPr>
        <w:t>，包括</w:t>
      </w:r>
      <w:r>
        <w:rPr>
          <w:rFonts w:hint="eastAsia" w:ascii="宋体" w:hAnsi="宋体" w:cs="宋体"/>
          <w:sz w:val="22"/>
        </w:rPr>
        <w:t>货物供货</w:t>
      </w:r>
      <w:r>
        <w:rPr>
          <w:rFonts w:ascii="宋体" w:hAnsi="宋体" w:cs="宋体"/>
          <w:sz w:val="22"/>
        </w:rPr>
        <w:t>及相关服务等全过程产生的所有成本和费用以及一切税费</w:t>
      </w:r>
      <w:r>
        <w:rPr>
          <w:rFonts w:ascii="宋体" w:hAnsi="宋体" w:cs="Calibri"/>
          <w:sz w:val="22"/>
        </w:rPr>
        <w:t>；</w:t>
      </w:r>
      <w:r>
        <w:rPr>
          <w:rFonts w:ascii="宋体" w:hAnsi="宋体" w:cs="宋体"/>
          <w:bCs/>
          <w:sz w:val="22"/>
        </w:rPr>
        <w:t xml:space="preserve"> </w:t>
      </w:r>
    </w:p>
    <w:p>
      <w:pPr>
        <w:adjustRightInd w:val="0"/>
        <w:snapToGrid w:val="0"/>
        <w:spacing w:line="360" w:lineRule="exact"/>
        <w:ind w:firstLine="440"/>
        <w:rPr>
          <w:rFonts w:ascii="宋体" w:hAnsi="宋体" w:cs="宋体"/>
          <w:sz w:val="22"/>
        </w:rPr>
      </w:pPr>
      <w:r>
        <w:rPr>
          <w:rFonts w:ascii="宋体" w:hAnsi="宋体" w:cs="Calibri"/>
          <w:sz w:val="22"/>
        </w:rPr>
        <w:t>3.3.</w:t>
      </w:r>
      <w:r>
        <w:rPr>
          <w:rFonts w:hint="eastAsia" w:ascii="宋体" w:hAnsi="宋体" w:cs="Calibri"/>
          <w:sz w:val="22"/>
        </w:rPr>
        <w:t>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5投标人(如中标)在投标文件中提供的货物清单和报价将是签订合同的唯一依据，其报价在本次投标有效期内不能发生改变（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6投标人对每种货物只允许有一个报价。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7招标人不接受任何折扣优惠报价，不接受任何赠送和选择性报价。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sz w:val="22"/>
        </w:rPr>
      </w:pPr>
      <w:r>
        <w:rPr>
          <w:rFonts w:hint="eastAsia" w:ascii="宋体" w:hAnsi="宋体" w:cs="Calibri"/>
          <w:sz w:val="22"/>
        </w:rPr>
        <w:t>3.3.9其它须在报价中考虑的因素：</w:t>
      </w:r>
    </w:p>
    <w:p>
      <w:pPr>
        <w:adjustRightInd w:val="0"/>
        <w:snapToGrid w:val="0"/>
        <w:spacing w:line="360" w:lineRule="exact"/>
        <w:ind w:firstLine="440"/>
        <w:rPr>
          <w:rFonts w:ascii="宋体" w:hAnsi="宋体" w:cs="Calibri"/>
          <w:sz w:val="22"/>
        </w:rPr>
      </w:pPr>
      <w:r>
        <w:rPr>
          <w:rFonts w:hint="eastAsia" w:ascii="宋体" w:hAnsi="宋体" w:cs="Calibri"/>
          <w:sz w:val="22"/>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sz w:val="22"/>
        </w:rPr>
      </w:pPr>
      <w:r>
        <w:rPr>
          <w:rFonts w:hint="eastAsia" w:ascii="宋体" w:hAnsi="宋体" w:cs="Calibri"/>
          <w:sz w:val="22"/>
        </w:rPr>
        <w:t>（2）交付验收前产品的保护费由投标人自行考虑并计入总价。</w:t>
      </w:r>
    </w:p>
    <w:p>
      <w:pPr>
        <w:adjustRightInd w:val="0"/>
        <w:snapToGrid w:val="0"/>
        <w:spacing w:line="360" w:lineRule="exact"/>
        <w:ind w:firstLine="440"/>
        <w:rPr>
          <w:rFonts w:ascii="宋体" w:hAnsi="宋体" w:cs="Calibri"/>
          <w:sz w:val="22"/>
        </w:rPr>
      </w:pPr>
      <w:r>
        <w:rPr>
          <w:rFonts w:hint="eastAsia" w:ascii="宋体" w:hAnsi="宋体" w:cs="Calibri"/>
          <w:sz w:val="22"/>
        </w:rPr>
        <w:t>（3）投标人安装过程中需自行负责现场人员生命、财产安全，自行解决与现场人员的劳务关系纠纷，可能产生的费用计入投标总价。</w:t>
      </w:r>
    </w:p>
    <w:p>
      <w:pPr>
        <w:adjustRightInd w:val="0"/>
        <w:snapToGrid w:val="0"/>
        <w:spacing w:line="360" w:lineRule="exact"/>
        <w:ind w:firstLine="440"/>
        <w:rPr>
          <w:rFonts w:ascii="宋体" w:hAnsi="宋体" w:cs="Calibri"/>
          <w:sz w:val="22"/>
        </w:rPr>
      </w:pPr>
      <w:r>
        <w:rPr>
          <w:rFonts w:hint="eastAsia" w:ascii="宋体" w:hAnsi="宋体" w:cs="Calibri"/>
          <w:sz w:val="22"/>
        </w:rPr>
        <w:t>3.3.10</w:t>
      </w:r>
      <w:r>
        <w:rPr>
          <w:rFonts w:hint="eastAsia" w:cs="Calibri" w:asciiTheme="minorEastAsia" w:hAnsiTheme="minor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3"/>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4" w:name="_Toc30464"/>
      <w:r>
        <w:rPr>
          <w:rFonts w:ascii="宋体" w:hAnsi="宋体" w:cs="Calibri"/>
          <w:b/>
          <w:bCs/>
          <w:kern w:val="0"/>
          <w:sz w:val="22"/>
        </w:rPr>
        <w:t>3.5 投标保证金</w:t>
      </w:r>
      <w:bookmarkEnd w:id="24"/>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3.5.2招标人与中标人签订合同书后5个工作日内，应当向未中标的投标人和中标人</w:t>
      </w:r>
      <w:r>
        <w:rPr>
          <w:rFonts w:hint="eastAsia" w:ascii="宋体" w:hAnsi="宋体" w:cs="Calibri"/>
          <w:kern w:val="0"/>
          <w:sz w:val="22"/>
        </w:rPr>
        <w:t>无息</w:t>
      </w:r>
      <w:r>
        <w:rPr>
          <w:rFonts w:ascii="宋体" w:hAnsi="宋体" w:cs="Calibri"/>
          <w:kern w:val="0"/>
          <w:sz w:val="22"/>
        </w:rPr>
        <w:t>退还投标保证金。</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cs="Calibri" w:asciiTheme="minorEastAsia" w:hAnsiTheme="minorEastAsia"/>
          <w:color w:val="000000"/>
          <w:kern w:val="0"/>
          <w:sz w:val="22"/>
        </w:rPr>
        <w:t>中标人在收到中标通知书后，</w:t>
      </w:r>
      <w:r>
        <w:rPr>
          <w:rFonts w:cs="Calibri" w:asciiTheme="minorEastAsia" w:hAnsiTheme="minor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5" w:name="_Toc29989"/>
      <w:r>
        <w:rPr>
          <w:rFonts w:ascii="宋体" w:hAnsi="宋体" w:cs="Calibri"/>
          <w:b/>
          <w:bCs/>
          <w:kern w:val="0"/>
          <w:sz w:val="22"/>
        </w:rPr>
        <w:t>3.6 投标文件的编制</w:t>
      </w:r>
      <w:bookmarkEnd w:id="25"/>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供货期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供货期</w:t>
      </w:r>
      <w:r>
        <w:rPr>
          <w:rFonts w:ascii="宋体" w:hAnsi="宋体" w:cs="Calibri"/>
          <w:kern w:val="0"/>
          <w:sz w:val="22"/>
        </w:rPr>
        <w:t>、投标有效期、招标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6" w:name="_Toc143421659"/>
    </w:p>
    <w:p>
      <w:pPr>
        <w:autoSpaceDE w:val="0"/>
        <w:autoSpaceDN w:val="0"/>
        <w:adjustRightInd w:val="0"/>
        <w:snapToGrid w:val="0"/>
        <w:spacing w:line="360" w:lineRule="exact"/>
        <w:rPr>
          <w:rFonts w:ascii="宋体" w:hAnsi="宋体" w:cs="Calibri"/>
          <w:b/>
          <w:bCs/>
          <w:kern w:val="0"/>
          <w:sz w:val="22"/>
        </w:rPr>
      </w:pPr>
      <w:bookmarkStart w:id="27" w:name="_Toc32652"/>
      <w:r>
        <w:rPr>
          <w:rFonts w:ascii="宋体" w:hAnsi="宋体" w:cs="Calibri"/>
          <w:b/>
          <w:bCs/>
          <w:kern w:val="0"/>
          <w:sz w:val="22"/>
        </w:rPr>
        <w:t>4.投标</w:t>
      </w:r>
      <w:bookmarkEnd w:id="26"/>
      <w:bookmarkEnd w:id="27"/>
    </w:p>
    <w:p>
      <w:pPr>
        <w:autoSpaceDE w:val="0"/>
        <w:autoSpaceDN w:val="0"/>
        <w:adjustRightInd w:val="0"/>
        <w:snapToGrid w:val="0"/>
        <w:spacing w:line="360" w:lineRule="exact"/>
        <w:rPr>
          <w:rFonts w:ascii="宋体" w:hAnsi="宋体" w:cs="Calibri"/>
          <w:b/>
          <w:bCs/>
          <w:kern w:val="0"/>
          <w:sz w:val="22"/>
        </w:rPr>
      </w:pPr>
      <w:bookmarkStart w:id="28" w:name="_Toc649"/>
      <w:r>
        <w:rPr>
          <w:rFonts w:ascii="宋体" w:hAnsi="宋体" w:cs="Calibri"/>
          <w:b/>
          <w:bCs/>
          <w:kern w:val="0"/>
          <w:sz w:val="22"/>
        </w:rPr>
        <w:t>4.1 投标文件的密封和标识</w:t>
      </w:r>
      <w:bookmarkEnd w:id="28"/>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9" w:name="_Toc16616"/>
      <w:r>
        <w:rPr>
          <w:rFonts w:ascii="宋体" w:hAnsi="宋体" w:cs="Calibri"/>
          <w:b/>
          <w:bCs/>
          <w:kern w:val="0"/>
          <w:sz w:val="22"/>
        </w:rPr>
        <w:t xml:space="preserve">4.2 投标文件的递交 </w:t>
      </w:r>
      <w:bookmarkEnd w:id="29"/>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0" w:name="_Toc26099"/>
      <w:r>
        <w:rPr>
          <w:rFonts w:ascii="宋体" w:hAnsi="宋体" w:cs="Calibri"/>
          <w:b/>
          <w:bCs/>
          <w:kern w:val="0"/>
          <w:sz w:val="22"/>
        </w:rPr>
        <w:t>4.3 投标文件的修改和撤回</w:t>
      </w:r>
      <w:bookmarkEnd w:id="30"/>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1" w:name="_Toc29641"/>
      <w:r>
        <w:rPr>
          <w:rFonts w:ascii="宋体" w:hAnsi="宋体" w:cs="Calibri"/>
          <w:b/>
          <w:bCs/>
          <w:kern w:val="0"/>
          <w:sz w:val="22"/>
        </w:rPr>
        <w:t>5.开标</w:t>
      </w:r>
      <w:bookmarkEnd w:id="31"/>
    </w:p>
    <w:p>
      <w:pPr>
        <w:autoSpaceDE w:val="0"/>
        <w:autoSpaceDN w:val="0"/>
        <w:adjustRightInd w:val="0"/>
        <w:snapToGrid w:val="0"/>
        <w:spacing w:line="360" w:lineRule="exact"/>
        <w:rPr>
          <w:rFonts w:ascii="宋体" w:hAnsi="宋体" w:cs="Calibri"/>
          <w:b/>
          <w:bCs/>
          <w:kern w:val="0"/>
          <w:sz w:val="22"/>
        </w:rPr>
      </w:pPr>
      <w:bookmarkStart w:id="32" w:name="_Toc15123"/>
      <w:r>
        <w:rPr>
          <w:rFonts w:ascii="宋体" w:hAnsi="宋体" w:cs="Calibri"/>
          <w:b/>
          <w:bCs/>
          <w:kern w:val="0"/>
          <w:sz w:val="22"/>
        </w:rPr>
        <w:t>5.1 开标时间和地点</w:t>
      </w:r>
      <w:bookmarkEnd w:id="32"/>
    </w:p>
    <w:p>
      <w:pPr>
        <w:adjustRightInd w:val="0"/>
        <w:snapToGrid w:val="0"/>
        <w:spacing w:line="360" w:lineRule="exact"/>
        <w:ind w:firstLine="440"/>
        <w:rPr>
          <w:rFonts w:ascii="宋体" w:hAnsi="宋体" w:cs="Calibri"/>
          <w:sz w:val="22"/>
        </w:rPr>
      </w:pPr>
      <w:r>
        <w:rPr>
          <w:rFonts w:ascii="宋体" w:hAnsi="宋体" w:cs="Calibri"/>
          <w:sz w:val="22"/>
        </w:rPr>
        <w:t>5.1.1</w:t>
      </w:r>
      <w:r>
        <w:rPr>
          <w:rFonts w:hint="eastAsia" w:ascii="宋体" w:hAnsi="宋体" w:cs="Calibri"/>
          <w:sz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3" w:name="_Toc7101"/>
      <w:r>
        <w:rPr>
          <w:rFonts w:ascii="宋体" w:hAnsi="宋体" w:cs="Calibri"/>
          <w:b/>
          <w:bCs/>
          <w:kern w:val="0"/>
          <w:sz w:val="22"/>
        </w:rPr>
        <w:t>5.2 开标程序</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w:t>
      </w:r>
      <w:r>
        <w:rPr>
          <w:rFonts w:hint="eastAsia" w:ascii="宋体" w:hAnsi="宋体" w:cs="Calibri"/>
          <w:sz w:val="22"/>
        </w:rPr>
        <w:t>供货期</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4" w:name="_Toc31578"/>
      <w:r>
        <w:rPr>
          <w:rFonts w:ascii="宋体" w:hAnsi="宋体" w:cs="Calibri"/>
          <w:b/>
          <w:bCs/>
          <w:kern w:val="0"/>
          <w:sz w:val="22"/>
        </w:rPr>
        <w:t>6.评标</w:t>
      </w:r>
      <w:bookmarkEnd w:id="34"/>
    </w:p>
    <w:p>
      <w:pPr>
        <w:autoSpaceDE w:val="0"/>
        <w:autoSpaceDN w:val="0"/>
        <w:adjustRightInd w:val="0"/>
        <w:snapToGrid w:val="0"/>
        <w:spacing w:line="360" w:lineRule="exact"/>
        <w:rPr>
          <w:rFonts w:ascii="宋体" w:hAnsi="宋体" w:cs="Calibri"/>
          <w:b/>
          <w:bCs/>
          <w:kern w:val="0"/>
          <w:sz w:val="22"/>
        </w:rPr>
      </w:pPr>
      <w:bookmarkStart w:id="35" w:name="_Toc10279"/>
      <w:r>
        <w:rPr>
          <w:rFonts w:ascii="宋体" w:hAnsi="宋体" w:cs="Calibri"/>
          <w:b/>
          <w:bCs/>
          <w:kern w:val="0"/>
          <w:sz w:val="22"/>
        </w:rPr>
        <w:t>6.1 评标委员会</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6" w:name="_Toc3460"/>
      <w:r>
        <w:rPr>
          <w:rFonts w:ascii="宋体" w:hAnsi="宋体" w:cs="Calibri"/>
          <w:b/>
          <w:bCs/>
          <w:kern w:val="0"/>
          <w:sz w:val="22"/>
        </w:rPr>
        <w:t>6.2 评标原则</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7" w:name="_Toc28178"/>
      <w:r>
        <w:rPr>
          <w:rFonts w:ascii="宋体" w:hAnsi="宋体" w:cs="Calibri"/>
          <w:b/>
          <w:bCs/>
          <w:kern w:val="0"/>
          <w:sz w:val="22"/>
        </w:rPr>
        <w:t>6.3 评标</w:t>
      </w:r>
      <w:bookmarkEnd w:id="37"/>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8" w:name="_Toc24237"/>
      <w:r>
        <w:rPr>
          <w:rFonts w:ascii="宋体" w:hAnsi="宋体" w:cs="Calibri"/>
          <w:b/>
          <w:bCs/>
          <w:kern w:val="0"/>
          <w:sz w:val="22"/>
        </w:rPr>
        <w:t>7.合同授予</w:t>
      </w:r>
      <w:bookmarkEnd w:id="38"/>
    </w:p>
    <w:p>
      <w:pPr>
        <w:autoSpaceDE w:val="0"/>
        <w:autoSpaceDN w:val="0"/>
        <w:adjustRightInd w:val="0"/>
        <w:snapToGrid w:val="0"/>
        <w:spacing w:line="360" w:lineRule="exact"/>
        <w:rPr>
          <w:rFonts w:ascii="宋体" w:hAnsi="宋体" w:cs="Calibri"/>
          <w:b/>
          <w:bCs/>
          <w:kern w:val="0"/>
          <w:sz w:val="22"/>
        </w:rPr>
      </w:pPr>
      <w:bookmarkStart w:id="39" w:name="_Toc18809"/>
      <w:r>
        <w:rPr>
          <w:rFonts w:ascii="宋体" w:hAnsi="宋体" w:cs="Calibri"/>
          <w:b/>
          <w:bCs/>
          <w:kern w:val="0"/>
          <w:sz w:val="22"/>
        </w:rPr>
        <w:t>7.1 定标方式</w:t>
      </w:r>
      <w:bookmarkEnd w:id="39"/>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40" w:name="_Toc14573"/>
      <w:r>
        <w:rPr>
          <w:rFonts w:ascii="宋体" w:hAnsi="宋体" w:cs="Calibri"/>
          <w:b/>
          <w:bCs/>
          <w:kern w:val="0"/>
          <w:sz w:val="22"/>
        </w:rPr>
        <w:t>7.2 中标通知</w:t>
      </w:r>
      <w:bookmarkEnd w:id="40"/>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41" w:name="_Toc27132"/>
      <w:r>
        <w:rPr>
          <w:rFonts w:ascii="宋体" w:hAnsi="宋体" w:cs="Calibri"/>
          <w:b/>
          <w:bCs/>
          <w:kern w:val="0"/>
          <w:sz w:val="22"/>
        </w:rPr>
        <w:t>7.3 履约</w:t>
      </w:r>
      <w:r>
        <w:rPr>
          <w:rFonts w:hint="eastAsia" w:ascii="宋体" w:hAnsi="宋体" w:cs="Calibri"/>
          <w:b/>
          <w:bCs/>
          <w:kern w:val="0"/>
          <w:sz w:val="22"/>
        </w:rPr>
        <w:t>保证金</w:t>
      </w:r>
      <w:bookmarkEnd w:id="41"/>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2" w:name="_Toc27581"/>
      <w:r>
        <w:rPr>
          <w:rFonts w:ascii="宋体" w:hAnsi="宋体" w:cs="Calibri"/>
          <w:b/>
          <w:bCs/>
          <w:kern w:val="0"/>
          <w:sz w:val="22"/>
        </w:rPr>
        <w:t>7.4 签订合同</w:t>
      </w:r>
      <w:bookmarkEnd w:id="42"/>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3" w:name="_Toc220123241"/>
      <w:bookmarkStart w:id="44" w:name="_Toc219809801"/>
      <w:bookmarkStart w:id="45" w:name="_Toc11806"/>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b/>
          <w:color w:val="000000"/>
          <w:kern w:val="0"/>
          <w:sz w:val="22"/>
        </w:rPr>
      </w:pPr>
      <w:r>
        <w:rPr>
          <w:rFonts w:hint="eastAsia" w:cs="Calibri" w:asciiTheme="minorEastAsia" w:hAnsiTheme="minorEastAsia"/>
          <w:color w:val="000000"/>
          <w:kern w:val="0"/>
          <w:sz w:val="22"/>
        </w:rPr>
        <w:t xml:space="preserve">7.4.3 </w:t>
      </w:r>
      <w:r>
        <w:rPr>
          <w:rFonts w:hint="eastAsia" w:cs="Calibri" w:asciiTheme="minorEastAsia" w:hAnsiTheme="minorEastAsia"/>
          <w:b/>
          <w:color w:val="000000"/>
          <w:kern w:val="0"/>
          <w:sz w:val="22"/>
        </w:rPr>
        <w:t>招标人在授予合同有权对本项目的内容等予以增加或者减少，中标人不得提出异议，否则招标人有权取消其中标资格。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cs="Calibri" w:asciiTheme="minorEastAsia" w:hAnsiTheme="minorEastAsia"/>
          <w:color w:val="000000"/>
          <w:kern w:val="0"/>
          <w:sz w:val="22"/>
        </w:rPr>
        <w:t xml:space="preserve">7.4.4 </w:t>
      </w:r>
      <w:r>
        <w:rPr>
          <w:rFonts w:hint="eastAsia" w:cs="Calibri" w:asciiTheme="minorEastAsia" w:hAnsi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3"/>
      <w:bookmarkEnd w:id="44"/>
      <w:bookmarkEnd w:id="45"/>
    </w:p>
    <w:p>
      <w:pPr>
        <w:autoSpaceDE w:val="0"/>
        <w:autoSpaceDN w:val="0"/>
        <w:adjustRightInd w:val="0"/>
        <w:snapToGrid w:val="0"/>
        <w:spacing w:line="360" w:lineRule="exact"/>
        <w:rPr>
          <w:rFonts w:ascii="宋体" w:hAnsi="宋体" w:cs="Calibri"/>
          <w:b/>
          <w:bCs/>
          <w:kern w:val="0"/>
          <w:sz w:val="22"/>
        </w:rPr>
      </w:pPr>
      <w:bookmarkStart w:id="46" w:name="_Toc219809802"/>
      <w:bookmarkStart w:id="47" w:name="_Toc15553"/>
      <w:bookmarkStart w:id="48" w:name="_Toc220123242"/>
      <w:r>
        <w:rPr>
          <w:rFonts w:ascii="宋体" w:hAnsi="宋体" w:cs="Calibri"/>
          <w:b/>
          <w:bCs/>
          <w:kern w:val="0"/>
          <w:sz w:val="22"/>
        </w:rPr>
        <w:t>8.1 重新招标</w:t>
      </w:r>
      <w:bookmarkEnd w:id="46"/>
      <w:bookmarkEnd w:id="47"/>
      <w:bookmarkEnd w:id="48"/>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9" w:name="_Toc18806"/>
      <w:bookmarkStart w:id="50" w:name="_Toc219809803"/>
      <w:bookmarkStart w:id="51" w:name="_Toc220123243"/>
      <w:r>
        <w:rPr>
          <w:rFonts w:ascii="宋体" w:hAnsi="宋体" w:cs="Calibri"/>
          <w:b/>
          <w:bCs/>
          <w:kern w:val="0"/>
          <w:sz w:val="22"/>
        </w:rPr>
        <w:t>8.2 不再招标</w:t>
      </w:r>
      <w:bookmarkEnd w:id="49"/>
      <w:bookmarkEnd w:id="50"/>
      <w:bookmarkEnd w:id="51"/>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2" w:name="_Toc220123244"/>
      <w:bookmarkStart w:id="53" w:name="_Toc219809804"/>
      <w:bookmarkStart w:id="54" w:name="_Toc215941254"/>
      <w:bookmarkStart w:id="55" w:name="_Toc2986"/>
      <w:r>
        <w:rPr>
          <w:rFonts w:ascii="宋体" w:hAnsi="宋体" w:cs="Calibri"/>
          <w:b/>
          <w:bCs/>
          <w:kern w:val="0"/>
          <w:sz w:val="22"/>
        </w:rPr>
        <w:t>9.纪律和监督</w:t>
      </w:r>
      <w:bookmarkEnd w:id="52"/>
      <w:bookmarkEnd w:id="53"/>
      <w:bookmarkEnd w:id="54"/>
      <w:bookmarkEnd w:id="55"/>
    </w:p>
    <w:p>
      <w:pPr>
        <w:autoSpaceDE w:val="0"/>
        <w:autoSpaceDN w:val="0"/>
        <w:adjustRightInd w:val="0"/>
        <w:snapToGrid w:val="0"/>
        <w:spacing w:line="360" w:lineRule="exact"/>
        <w:rPr>
          <w:rFonts w:ascii="宋体" w:hAnsi="宋体" w:cs="Calibri"/>
          <w:b/>
          <w:bCs/>
          <w:kern w:val="0"/>
          <w:sz w:val="22"/>
        </w:rPr>
      </w:pPr>
      <w:bookmarkStart w:id="56" w:name="_Toc220123245"/>
      <w:bookmarkStart w:id="57" w:name="_Toc5509"/>
      <w:bookmarkStart w:id="58" w:name="_Toc219809805"/>
      <w:r>
        <w:rPr>
          <w:rFonts w:ascii="宋体" w:hAnsi="宋体" w:cs="Calibri"/>
          <w:b/>
          <w:bCs/>
          <w:kern w:val="0"/>
          <w:sz w:val="22"/>
        </w:rPr>
        <w:t>9.1 对招标人的纪律要求</w:t>
      </w:r>
      <w:bookmarkEnd w:id="56"/>
      <w:bookmarkEnd w:id="57"/>
      <w:bookmarkEnd w:id="5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9" w:name="_Toc220123246"/>
      <w:bookmarkStart w:id="60" w:name="_Toc219809806"/>
      <w:bookmarkStart w:id="61" w:name="_Toc10820"/>
      <w:r>
        <w:rPr>
          <w:rFonts w:ascii="宋体" w:hAnsi="宋体" w:cs="Calibri"/>
          <w:b/>
          <w:bCs/>
          <w:kern w:val="0"/>
          <w:sz w:val="22"/>
        </w:rPr>
        <w:t>9.2 对投标人的纪律要求</w:t>
      </w:r>
      <w:bookmarkEnd w:id="59"/>
      <w:bookmarkEnd w:id="60"/>
      <w:bookmarkEnd w:id="6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b/>
          <w:color w:val="000000"/>
          <w:sz w:val="22"/>
        </w:rPr>
      </w:pPr>
      <w:r>
        <w:rPr>
          <w:rFonts w:hint="eastAsia" w:cs="Calibri" w:asciiTheme="minorEastAsia" w:hAnsiTheme="minorEastAsia"/>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2" w:name="_Toc220123247"/>
      <w:bookmarkStart w:id="63" w:name="_Toc10756"/>
      <w:bookmarkStart w:id="64" w:name="_Toc219809807"/>
      <w:r>
        <w:rPr>
          <w:rFonts w:ascii="宋体" w:hAnsi="宋体" w:cs="Calibri"/>
          <w:b/>
          <w:bCs/>
          <w:kern w:val="0"/>
          <w:sz w:val="22"/>
        </w:rPr>
        <w:t>9.3 对评标委员会成员的纪律要求</w:t>
      </w:r>
      <w:bookmarkEnd w:id="62"/>
      <w:bookmarkEnd w:id="63"/>
      <w:bookmarkEnd w:id="64"/>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color w:val="000000"/>
          <w:sz w:val="22"/>
        </w:rPr>
        <w:t>五</w:t>
      </w:r>
      <w:r>
        <w:rPr>
          <w:rFonts w:cs="Calibri" w:asciiTheme="minorEastAsia" w:hAnsiTheme="minorEastAsia"/>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5" w:name="_Toc12792"/>
      <w:bookmarkStart w:id="66" w:name="_Toc220123248"/>
      <w:bookmarkStart w:id="67" w:name="_Toc219809808"/>
      <w:r>
        <w:rPr>
          <w:rFonts w:ascii="宋体" w:hAnsi="宋体" w:cs="Calibri"/>
          <w:b/>
          <w:bCs/>
          <w:kern w:val="0"/>
          <w:sz w:val="22"/>
        </w:rPr>
        <w:t>9.4 对评标活动有关的工作人员的纪律要求</w:t>
      </w:r>
      <w:bookmarkEnd w:id="65"/>
      <w:bookmarkEnd w:id="66"/>
      <w:bookmarkEnd w:id="6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8" w:name="_Toc219809809"/>
      <w:bookmarkStart w:id="69" w:name="_Toc239"/>
      <w:bookmarkStart w:id="70" w:name="_Toc220123249"/>
      <w:r>
        <w:rPr>
          <w:rFonts w:ascii="宋体" w:hAnsi="宋体" w:cs="Calibri"/>
          <w:b/>
          <w:bCs/>
          <w:kern w:val="0"/>
          <w:sz w:val="22"/>
        </w:rPr>
        <w:t>9.5 投诉</w:t>
      </w:r>
      <w:bookmarkEnd w:id="68"/>
      <w:bookmarkEnd w:id="69"/>
      <w:bookmarkEnd w:id="7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1" w:name="_Toc10817"/>
      <w:r>
        <w:rPr>
          <w:rFonts w:ascii="宋体" w:hAnsi="宋体" w:cs="Calibri"/>
          <w:b/>
          <w:bCs/>
          <w:kern w:val="0"/>
          <w:sz w:val="22"/>
        </w:rPr>
        <w:t>10. 需要补充的其他内容</w:t>
      </w:r>
      <w:bookmarkEnd w:id="71"/>
    </w:p>
    <w:p>
      <w:pPr>
        <w:autoSpaceDE w:val="0"/>
        <w:autoSpaceDN w:val="0"/>
        <w:adjustRightInd w:val="0"/>
        <w:snapToGrid w:val="0"/>
        <w:spacing w:line="360" w:lineRule="exact"/>
        <w:ind w:firstLine="440"/>
        <w:jc w:val="left"/>
        <w:rPr>
          <w:rFonts w:cs="Calibri" w:asciiTheme="minorEastAsia" w:hAnsiTheme="minorEastAsia"/>
          <w:color w:val="000000"/>
          <w:sz w:val="22"/>
        </w:rPr>
      </w:pPr>
      <w:r>
        <w:rPr>
          <w:rFonts w:cs="Calibri" w:asciiTheme="minorEastAsia" w:hAnsiTheme="minorEastAsia"/>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2" w:name="_Toc321925453"/>
      <w:r>
        <w:t>第</w:t>
      </w:r>
      <w:r>
        <w:rPr>
          <w:rFonts w:hint="eastAsia"/>
        </w:rPr>
        <w:t>三</w:t>
      </w:r>
      <w:r>
        <w:t>章  货物需求一览表及技术规格</w:t>
      </w:r>
      <w:bookmarkEnd w:id="72"/>
    </w:p>
    <w:p>
      <w:r>
        <w:br w:type="page"/>
      </w:r>
    </w:p>
    <w:tbl>
      <w:tblPr>
        <w:tblStyle w:val="58"/>
        <w:tblW w:w="9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29"/>
        <w:gridCol w:w="6111"/>
        <w:gridCol w:w="771"/>
        <w:gridCol w:w="71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15" w:type="dxa"/>
            <w:vAlign w:val="center"/>
          </w:tcPr>
          <w:p>
            <w:pPr>
              <w:adjustRightInd w:val="0"/>
              <w:snapToGrid w:val="0"/>
              <w:jc w:val="center"/>
              <w:rPr>
                <w:rFonts w:ascii="宋体" w:cs="Times New Roman"/>
                <w:caps/>
                <w:sz w:val="22"/>
                <w:szCs w:val="22"/>
              </w:rPr>
            </w:pPr>
            <w:r>
              <w:rPr>
                <w:rFonts w:hint="eastAsia" w:ascii="宋体" w:hAnsi="宋体" w:cs="宋体"/>
                <w:caps/>
                <w:sz w:val="22"/>
                <w:szCs w:val="22"/>
              </w:rPr>
              <w:t>序号</w:t>
            </w:r>
          </w:p>
        </w:tc>
        <w:tc>
          <w:tcPr>
            <w:tcW w:w="829" w:type="dxa"/>
            <w:vAlign w:val="center"/>
          </w:tcPr>
          <w:p>
            <w:pPr>
              <w:adjustRightInd w:val="0"/>
              <w:snapToGrid w:val="0"/>
              <w:jc w:val="center"/>
              <w:rPr>
                <w:rFonts w:ascii="宋体" w:cs="Times New Roman"/>
                <w:caps/>
                <w:sz w:val="22"/>
                <w:szCs w:val="22"/>
              </w:rPr>
            </w:pPr>
            <w:r>
              <w:rPr>
                <w:rFonts w:hint="eastAsia" w:ascii="宋体" w:hAnsi="宋体" w:cs="宋体"/>
                <w:caps/>
                <w:sz w:val="22"/>
                <w:szCs w:val="22"/>
              </w:rPr>
              <w:t>货物名称</w:t>
            </w:r>
          </w:p>
        </w:tc>
        <w:tc>
          <w:tcPr>
            <w:tcW w:w="6111" w:type="dxa"/>
            <w:vAlign w:val="center"/>
          </w:tcPr>
          <w:p>
            <w:pPr>
              <w:adjustRightInd w:val="0"/>
              <w:snapToGrid w:val="0"/>
              <w:jc w:val="center"/>
              <w:rPr>
                <w:rFonts w:ascii="宋体" w:cs="Times New Roman"/>
                <w:caps/>
                <w:sz w:val="22"/>
                <w:szCs w:val="22"/>
              </w:rPr>
            </w:pPr>
            <w:r>
              <w:rPr>
                <w:rFonts w:hint="eastAsia" w:ascii="宋体" w:hAnsi="宋体" w:cs="宋体"/>
                <w:caps/>
                <w:sz w:val="22"/>
                <w:szCs w:val="22"/>
              </w:rPr>
              <w:t>技术要求</w:t>
            </w:r>
          </w:p>
        </w:tc>
        <w:tc>
          <w:tcPr>
            <w:tcW w:w="771" w:type="dxa"/>
            <w:vAlign w:val="center"/>
          </w:tcPr>
          <w:p>
            <w:pPr>
              <w:adjustRightInd w:val="0"/>
              <w:snapToGrid w:val="0"/>
              <w:jc w:val="center"/>
              <w:rPr>
                <w:rFonts w:ascii="宋体" w:cs="Times New Roman"/>
                <w:caps/>
                <w:sz w:val="22"/>
                <w:szCs w:val="22"/>
              </w:rPr>
            </w:pPr>
            <w:r>
              <w:rPr>
                <w:rFonts w:hint="eastAsia" w:ascii="宋体" w:hAnsi="宋体" w:cs="宋体"/>
                <w:caps/>
                <w:sz w:val="22"/>
                <w:szCs w:val="22"/>
              </w:rPr>
              <w:t>单位</w:t>
            </w:r>
          </w:p>
        </w:tc>
        <w:tc>
          <w:tcPr>
            <w:tcW w:w="712" w:type="dxa"/>
            <w:vAlign w:val="center"/>
          </w:tcPr>
          <w:p>
            <w:pPr>
              <w:adjustRightInd w:val="0"/>
              <w:snapToGrid w:val="0"/>
              <w:jc w:val="center"/>
              <w:rPr>
                <w:rFonts w:ascii="宋体" w:cs="Times New Roman"/>
                <w:caps/>
                <w:sz w:val="22"/>
                <w:szCs w:val="22"/>
              </w:rPr>
            </w:pPr>
            <w:r>
              <w:rPr>
                <w:rFonts w:hint="eastAsia" w:ascii="宋体" w:hAnsi="宋体" w:cs="宋体"/>
                <w:caps/>
                <w:sz w:val="22"/>
                <w:szCs w:val="22"/>
              </w:rPr>
              <w:t>数量</w:t>
            </w:r>
          </w:p>
        </w:tc>
        <w:tc>
          <w:tcPr>
            <w:tcW w:w="705" w:type="dxa"/>
            <w:vAlign w:val="center"/>
          </w:tcPr>
          <w:p>
            <w:pPr>
              <w:adjustRightInd w:val="0"/>
              <w:snapToGrid w:val="0"/>
              <w:jc w:val="center"/>
              <w:rPr>
                <w:rFonts w:ascii="宋体" w:cs="Times New Roman"/>
                <w:caps/>
                <w:sz w:val="22"/>
                <w:szCs w:val="22"/>
              </w:rPr>
            </w:pPr>
            <w:r>
              <w:rPr>
                <w:rFonts w:hint="eastAsia" w:ascii="宋体" w:hAnsi="宋体" w:cs="宋体"/>
                <w:caps/>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15" w:type="dxa"/>
            <w:vAlign w:val="center"/>
          </w:tcPr>
          <w:p>
            <w:pPr>
              <w:adjustRightInd w:val="0"/>
              <w:snapToGrid w:val="0"/>
              <w:jc w:val="center"/>
              <w:rPr>
                <w:rFonts w:ascii="宋体" w:cs="Times New Roman"/>
                <w:b/>
                <w:bCs/>
                <w:caps/>
                <w:sz w:val="22"/>
                <w:szCs w:val="22"/>
              </w:rPr>
            </w:pPr>
            <w:r>
              <w:rPr>
                <w:rFonts w:hint="eastAsia" w:ascii="宋体" w:hAnsi="宋体" w:cs="宋体"/>
                <w:b/>
                <w:bCs/>
                <w:caps/>
                <w:sz w:val="22"/>
                <w:szCs w:val="22"/>
              </w:rPr>
              <w:t>一、</w:t>
            </w:r>
          </w:p>
        </w:tc>
        <w:tc>
          <w:tcPr>
            <w:tcW w:w="829" w:type="dxa"/>
            <w:vAlign w:val="center"/>
          </w:tcPr>
          <w:p>
            <w:pPr>
              <w:adjustRightInd w:val="0"/>
              <w:snapToGrid w:val="0"/>
              <w:jc w:val="center"/>
              <w:rPr>
                <w:rFonts w:ascii="宋体" w:cs="Times New Roman"/>
                <w:b/>
                <w:bCs/>
                <w:caps/>
                <w:sz w:val="22"/>
                <w:szCs w:val="22"/>
              </w:rPr>
            </w:pPr>
            <w:r>
              <w:rPr>
                <w:rFonts w:hint="eastAsia" w:ascii="宋体" w:hAnsi="宋体" w:cs="宋体"/>
                <w:b/>
                <w:bCs/>
                <w:caps/>
                <w:sz w:val="22"/>
                <w:szCs w:val="22"/>
              </w:rPr>
              <w:t>水控系统</w:t>
            </w:r>
          </w:p>
        </w:tc>
        <w:tc>
          <w:tcPr>
            <w:tcW w:w="6111" w:type="dxa"/>
            <w:vAlign w:val="center"/>
          </w:tcPr>
          <w:p>
            <w:pPr>
              <w:adjustRightInd w:val="0"/>
              <w:snapToGrid w:val="0"/>
              <w:jc w:val="center"/>
              <w:rPr>
                <w:rFonts w:ascii="宋体" w:cs="Times New Roman"/>
                <w:caps/>
                <w:sz w:val="22"/>
                <w:szCs w:val="22"/>
              </w:rPr>
            </w:pPr>
          </w:p>
        </w:tc>
        <w:tc>
          <w:tcPr>
            <w:tcW w:w="771" w:type="dxa"/>
            <w:vAlign w:val="center"/>
          </w:tcPr>
          <w:p>
            <w:pPr>
              <w:adjustRightInd w:val="0"/>
              <w:snapToGrid w:val="0"/>
              <w:jc w:val="center"/>
              <w:rPr>
                <w:rFonts w:ascii="宋体" w:cs="Times New Roman"/>
                <w:caps/>
                <w:sz w:val="22"/>
                <w:szCs w:val="22"/>
              </w:rPr>
            </w:pPr>
          </w:p>
        </w:tc>
        <w:tc>
          <w:tcPr>
            <w:tcW w:w="712" w:type="dxa"/>
            <w:vAlign w:val="center"/>
          </w:tcPr>
          <w:p>
            <w:pPr>
              <w:adjustRightInd w:val="0"/>
              <w:snapToGrid w:val="0"/>
              <w:jc w:val="center"/>
              <w:rPr>
                <w:rFonts w:ascii="宋体" w:cs="Times New Roman"/>
                <w:caps/>
                <w:sz w:val="22"/>
                <w:szCs w:val="22"/>
              </w:rPr>
            </w:pPr>
          </w:p>
        </w:tc>
        <w:tc>
          <w:tcPr>
            <w:tcW w:w="705" w:type="dxa"/>
            <w:vAlign w:val="center"/>
          </w:tcPr>
          <w:p>
            <w:pPr>
              <w:adjustRightInd w:val="0"/>
              <w:snapToGrid w:val="0"/>
              <w:jc w:val="center"/>
              <w:rPr>
                <w:rFonts w:ascii="宋体" w:cs="Times New Roman"/>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5" w:hRule="atLeast"/>
          <w:jc w:val="center"/>
        </w:trPr>
        <w:tc>
          <w:tcPr>
            <w:tcW w:w="615" w:type="dxa"/>
            <w:vAlign w:val="center"/>
          </w:tcPr>
          <w:p>
            <w:pPr>
              <w:pStyle w:val="13"/>
              <w:snapToGrid w:val="0"/>
              <w:jc w:val="center"/>
              <w:rPr>
                <w:rFonts w:ascii="宋体" w:cs="Times New Roman"/>
                <w:color w:val="000000"/>
                <w:kern w:val="0"/>
                <w:sz w:val="20"/>
                <w:szCs w:val="20"/>
              </w:rPr>
            </w:pPr>
            <w:r>
              <w:rPr>
                <w:rFonts w:ascii="宋体" w:hAnsi="宋体" w:cs="宋体"/>
                <w:color w:val="000000"/>
                <w:kern w:val="0"/>
                <w:sz w:val="20"/>
                <w:szCs w:val="20"/>
              </w:rPr>
              <w:t xml:space="preserve">1 </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水控管理系统软件</w:t>
            </w:r>
          </w:p>
        </w:tc>
        <w:tc>
          <w:tcPr>
            <w:tcW w:w="6111" w:type="dxa"/>
          </w:tcPr>
          <w:p>
            <w:pPr>
              <w:widowControl/>
              <w:jc w:val="left"/>
              <w:rPr>
                <w:rFonts w:ascii="宋体" w:cs="Times New Roman"/>
                <w:color w:val="000000"/>
                <w:kern w:val="0"/>
                <w:sz w:val="20"/>
                <w:szCs w:val="20"/>
              </w:rPr>
            </w:pPr>
            <w:r>
              <w:rPr>
                <w:rFonts w:hint="eastAsia" w:ascii="宋体" w:hAnsi="宋体" w:cs="宋体"/>
                <w:color w:val="000000"/>
                <w:kern w:val="0"/>
                <w:sz w:val="20"/>
                <w:szCs w:val="20"/>
              </w:rPr>
              <w:t>★所有水表能实现在杭州机场后勤服务微信服务号在线充值，线上充值线下直接使用，不需要通过补助机圈存领取补助。提供详细日、月、年各水、电表度数、金额等数据报表。</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 xml:space="preserve"> </w:t>
            </w:r>
            <w:r>
              <w:rPr>
                <w:rFonts w:hint="eastAsia" w:ascii="宋体" w:hAnsi="宋体" w:cs="宋体"/>
                <w:color w:val="000000"/>
                <w:kern w:val="0"/>
                <w:sz w:val="20"/>
                <w:szCs w:val="20"/>
              </w:rPr>
              <w:t>系统可接入最小水表数量不小于</w:t>
            </w:r>
            <w:r>
              <w:rPr>
                <w:rFonts w:ascii="宋体" w:hAnsi="宋体" w:cs="宋体"/>
                <w:color w:val="000000"/>
                <w:kern w:val="0"/>
                <w:sz w:val="20"/>
                <w:szCs w:val="20"/>
              </w:rPr>
              <w:t>2000</w:t>
            </w:r>
            <w:r>
              <w:rPr>
                <w:rFonts w:hint="eastAsia" w:ascii="宋体" w:hAnsi="宋体" w:cs="宋体"/>
                <w:color w:val="000000"/>
                <w:kern w:val="0"/>
                <w:sz w:val="20"/>
                <w:szCs w:val="20"/>
              </w:rPr>
              <w:t>只。</w:t>
            </w:r>
            <w:r>
              <w:rPr>
                <w:rFonts w:ascii="宋体" w:cs="Times New Roman"/>
                <w:color w:val="000000"/>
                <w:kern w:val="0"/>
                <w:sz w:val="20"/>
                <w:szCs w:val="20"/>
              </w:rPr>
              <w:br w:type="textWrapping"/>
            </w:r>
            <w:r>
              <w:rPr>
                <w:rFonts w:hint="eastAsia" w:ascii="宋体" w:hAnsi="宋体" w:cs="宋体"/>
                <w:color w:val="000000"/>
                <w:kern w:val="0"/>
                <w:sz w:val="20"/>
                <w:szCs w:val="20"/>
              </w:rPr>
              <w:t>水电双控收费管理：本系统以计量表具为计费单元，完全做到一表一单价，更加符合水电收费的管理模式。</w:t>
            </w:r>
            <w:r>
              <w:rPr>
                <w:rFonts w:ascii="宋体" w:hAnsi="宋体" w:cs="宋体"/>
                <w:color w:val="000000"/>
                <w:kern w:val="0"/>
                <w:sz w:val="20"/>
                <w:szCs w:val="20"/>
              </w:rPr>
              <w:t xml:space="preserve">                                           </w:t>
            </w:r>
            <w:r>
              <w:rPr>
                <w:rFonts w:hint="eastAsia" w:ascii="宋体" w:hAnsi="宋体" w:cs="宋体"/>
                <w:color w:val="000000"/>
                <w:kern w:val="0"/>
                <w:sz w:val="20"/>
                <w:szCs w:val="20"/>
              </w:rPr>
              <w:t>水控控制器设置：配置各水控控制器的参数，包括计费方式（计时、计量），扣费方式（预扣、实扣）等，并将各水控控制器合理分配到各营业部门。</w:t>
            </w:r>
            <w:r>
              <w:rPr>
                <w:rFonts w:ascii="宋体" w:cs="Times New Roman"/>
                <w:color w:val="000000"/>
                <w:kern w:val="0"/>
                <w:sz w:val="20"/>
                <w:szCs w:val="20"/>
              </w:rPr>
              <w:br w:type="textWrapping"/>
            </w:r>
            <w:r>
              <w:rPr>
                <w:rFonts w:hint="eastAsia" w:ascii="宋体" w:hAnsi="宋体" w:cs="宋体"/>
                <w:color w:val="000000"/>
                <w:kern w:val="0"/>
                <w:sz w:val="20"/>
                <w:szCs w:val="20"/>
              </w:rPr>
              <w:t>设置单位水价：不同的用户，水价可以不同，用于各类人员的水价参数。</w:t>
            </w:r>
            <w:r>
              <w:rPr>
                <w:rFonts w:ascii="宋体" w:cs="Times New Roman"/>
                <w:color w:val="000000"/>
                <w:kern w:val="0"/>
                <w:sz w:val="20"/>
                <w:szCs w:val="20"/>
              </w:rPr>
              <w:br w:type="textWrapping"/>
            </w:r>
            <w:r>
              <w:rPr>
                <w:rFonts w:hint="eastAsia" w:ascii="宋体" w:hAnsi="宋体" w:cs="宋体"/>
                <w:color w:val="000000"/>
                <w:kern w:val="0"/>
                <w:sz w:val="20"/>
                <w:szCs w:val="20"/>
              </w:rPr>
              <w:t>终端监控：提供对营业组管理，交易的实时监控，能够方便地在软件界面上实时观察各终端的交易情况。</w:t>
            </w:r>
            <w:r>
              <w:rPr>
                <w:rFonts w:ascii="宋体" w:cs="Times New Roman"/>
                <w:color w:val="000000"/>
                <w:kern w:val="0"/>
                <w:sz w:val="20"/>
                <w:szCs w:val="20"/>
              </w:rPr>
              <w:br w:type="textWrapping"/>
            </w:r>
            <w:r>
              <w:rPr>
                <w:rFonts w:hint="eastAsia" w:ascii="宋体" w:hAnsi="宋体" w:cs="宋体"/>
                <w:color w:val="000000"/>
                <w:kern w:val="0"/>
                <w:sz w:val="20"/>
                <w:szCs w:val="20"/>
              </w:rPr>
              <w:t>控制器独有节水设计：采用读卡和开关双重方式控水，插卡后按下开始键出水，拿走卡或按下停止键停止出水，设备在没有读到卡或没有按键操作情况下</w:t>
            </w:r>
            <w:r>
              <w:rPr>
                <w:rFonts w:ascii="宋体" w:hAnsi="宋体" w:cs="宋体"/>
                <w:color w:val="000000"/>
                <w:kern w:val="0"/>
                <w:sz w:val="20"/>
                <w:szCs w:val="20"/>
              </w:rPr>
              <w:t>30</w:t>
            </w:r>
            <w:r>
              <w:rPr>
                <w:rFonts w:hint="eastAsia" w:ascii="宋体" w:hAnsi="宋体" w:cs="宋体"/>
                <w:color w:val="000000"/>
                <w:kern w:val="0"/>
                <w:sz w:val="20"/>
                <w:szCs w:val="20"/>
              </w:rPr>
              <w:t>分钟进入低功耗睡眠状态，读卡或按键后自动启动。</w:t>
            </w:r>
            <w:r>
              <w:rPr>
                <w:rFonts w:ascii="宋体" w:cs="Times New Roman"/>
                <w:color w:val="000000"/>
                <w:kern w:val="0"/>
                <w:sz w:val="20"/>
                <w:szCs w:val="20"/>
              </w:rPr>
              <w:br w:type="textWrapping"/>
            </w:r>
            <w:r>
              <w:rPr>
                <w:rFonts w:hint="eastAsia" w:ascii="宋体" w:hAnsi="宋体" w:cs="宋体"/>
                <w:color w:val="000000"/>
                <w:kern w:val="0"/>
                <w:sz w:val="20"/>
                <w:szCs w:val="20"/>
              </w:rPr>
              <w:t>支持预先扣费和实时扣费方式：采用预先扣费方式时刷卡后预先扣取设定金额，预扣金额用完后自动停水；采用实时扣费方式时将按设置费率实时扣取卡内金额，直至按下停止键或拿走卡片或卡片余额不足时停止出水。</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套</w:t>
            </w:r>
          </w:p>
        </w:tc>
        <w:tc>
          <w:tcPr>
            <w:tcW w:w="712" w:type="dxa"/>
            <w:vAlign w:val="center"/>
          </w:tcPr>
          <w:p>
            <w:pPr>
              <w:widowControl/>
              <w:jc w:val="center"/>
              <w:textAlignment w:val="center"/>
              <w:rPr>
                <w:rFonts w:ascii="宋体" w:cs="Times New Roman"/>
                <w:sz w:val="22"/>
                <w:szCs w:val="22"/>
                <w:highlight w:val="yellow"/>
              </w:rPr>
            </w:pPr>
            <w:r>
              <w:rPr>
                <w:rFonts w:ascii="宋体" w:hAnsi="宋体" w:cs="宋体"/>
                <w:color w:val="000000"/>
                <w:kern w:val="0"/>
                <w:sz w:val="20"/>
                <w:szCs w:val="20"/>
              </w:rPr>
              <w:t>1</w:t>
            </w:r>
          </w:p>
        </w:tc>
        <w:tc>
          <w:tcPr>
            <w:tcW w:w="705" w:type="dxa"/>
            <w:vAlign w:val="center"/>
          </w:tcPr>
          <w:p>
            <w:pPr>
              <w:adjustRightInd w:val="0"/>
              <w:snapToGrid w:val="0"/>
              <w:jc w:val="center"/>
              <w:rPr>
                <w:rFonts w:ascii="宋体" w:cs="Times New Roman"/>
                <w:color w:val="000000"/>
                <w:kern w:val="0"/>
                <w:sz w:val="20"/>
                <w:szCs w:val="20"/>
              </w:rPr>
            </w:pPr>
            <w:r>
              <w:rPr>
                <w:rFonts w:hint="eastAsia" w:ascii="宋体" w:hAnsi="宋体" w:cs="宋体"/>
                <w:color w:val="000000"/>
                <w:kern w:val="0"/>
                <w:sz w:val="20"/>
                <w:szCs w:val="20"/>
              </w:rPr>
              <w:t>杭州萧山机场内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2</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直读式远传水表</w:t>
            </w:r>
          </w:p>
        </w:tc>
        <w:tc>
          <w:tcPr>
            <w:tcW w:w="6111" w:type="dxa"/>
          </w:tcPr>
          <w:p>
            <w:pPr>
              <w:widowControl/>
              <w:jc w:val="left"/>
              <w:textAlignment w:val="top"/>
              <w:rPr>
                <w:rFonts w:ascii="宋体" w:cs="Times New Roman"/>
                <w:color w:val="000000"/>
                <w:kern w:val="0"/>
                <w:sz w:val="20"/>
                <w:szCs w:val="20"/>
              </w:rPr>
            </w:pPr>
            <w:r>
              <w:rPr>
                <w:rFonts w:hint="eastAsia" w:ascii="宋体" w:hAnsi="宋体" w:cs="宋体"/>
                <w:color w:val="000000"/>
                <w:kern w:val="0"/>
                <w:sz w:val="20"/>
                <w:szCs w:val="20"/>
              </w:rPr>
              <w:t>联网型，</w:t>
            </w:r>
            <w:r>
              <w:rPr>
                <w:rFonts w:ascii="宋体" w:hAnsi="宋体" w:cs="宋体"/>
                <w:color w:val="000000"/>
                <w:kern w:val="0"/>
                <w:sz w:val="20"/>
                <w:szCs w:val="20"/>
              </w:rPr>
              <w:t>DN25</w:t>
            </w:r>
            <w:r>
              <w:rPr>
                <w:rFonts w:hint="eastAsia" w:ascii="宋体" w:hAnsi="宋体" w:cs="宋体"/>
                <w:color w:val="000000"/>
                <w:kern w:val="0"/>
                <w:sz w:val="20"/>
                <w:szCs w:val="20"/>
              </w:rPr>
              <w:t>、水平安装、</w:t>
            </w:r>
            <w:r>
              <w:rPr>
                <w:rFonts w:ascii="宋体" w:hAnsi="宋体" w:cs="宋体"/>
                <w:color w:val="000000"/>
                <w:kern w:val="0"/>
                <w:sz w:val="20"/>
                <w:szCs w:val="20"/>
              </w:rPr>
              <w:t>GB/T778-2007</w:t>
            </w:r>
            <w:r>
              <w:rPr>
                <w:rFonts w:hint="eastAsia" w:ascii="宋体" w:hAnsi="宋体" w:cs="宋体"/>
                <w:color w:val="000000"/>
                <w:kern w:val="0"/>
                <w:sz w:val="20"/>
                <w:szCs w:val="20"/>
              </w:rPr>
              <w:t>和</w:t>
            </w:r>
            <w:r>
              <w:rPr>
                <w:rFonts w:ascii="宋体" w:hAnsi="宋体" w:cs="宋体"/>
                <w:color w:val="000000"/>
                <w:kern w:val="0"/>
                <w:sz w:val="20"/>
                <w:szCs w:val="20"/>
              </w:rPr>
              <w:t>CJ/T224-2012</w:t>
            </w:r>
            <w:r>
              <w:rPr>
                <w:rFonts w:hint="eastAsia" w:ascii="宋体" w:hAnsi="宋体" w:cs="宋体"/>
                <w:color w:val="000000"/>
                <w:kern w:val="0"/>
                <w:sz w:val="20"/>
                <w:szCs w:val="20"/>
              </w:rPr>
              <w:t>技术要求</w:t>
            </w:r>
            <w:r>
              <w:rPr>
                <w:rFonts w:ascii="宋体" w:cs="Times New Roman"/>
                <w:color w:val="000000"/>
                <w:kern w:val="0"/>
                <w:sz w:val="20"/>
                <w:szCs w:val="20"/>
              </w:rPr>
              <w:br w:type="textWrapping"/>
            </w:r>
            <w:r>
              <w:rPr>
                <w:rFonts w:hint="eastAsia" w:ascii="宋体" w:hAnsi="宋体" w:cs="宋体"/>
                <w:color w:val="000000"/>
                <w:kern w:val="0"/>
                <w:sz w:val="20"/>
                <w:szCs w:val="20"/>
              </w:rPr>
              <w:t>★水电联控，水表为外部电源供电。</w:t>
            </w:r>
            <w:r>
              <w:rPr>
                <w:rFonts w:ascii="宋体" w:cs="Times New Roman"/>
                <w:color w:val="000000"/>
                <w:kern w:val="0"/>
                <w:sz w:val="20"/>
                <w:szCs w:val="20"/>
              </w:rPr>
              <w:br w:type="textWrapping"/>
            </w:r>
            <w:r>
              <w:rPr>
                <w:rFonts w:hint="eastAsia" w:ascii="宋体" w:hAnsi="宋体" w:cs="宋体"/>
                <w:color w:val="000000"/>
                <w:kern w:val="0"/>
                <w:sz w:val="20"/>
                <w:szCs w:val="20"/>
              </w:rPr>
              <w:t>直接采用主钱包支付消费；</w:t>
            </w:r>
            <w:r>
              <w:rPr>
                <w:rFonts w:ascii="宋体" w:cs="Times New Roman"/>
                <w:color w:val="000000"/>
                <w:kern w:val="0"/>
                <w:sz w:val="20"/>
                <w:szCs w:val="20"/>
              </w:rPr>
              <w:br w:type="textWrapping"/>
            </w:r>
            <w:r>
              <w:rPr>
                <w:rFonts w:hint="eastAsia" w:ascii="宋体" w:hAnsi="宋体" w:cs="宋体"/>
                <w:color w:val="000000"/>
                <w:kern w:val="0"/>
                <w:sz w:val="20"/>
                <w:szCs w:val="20"/>
              </w:rPr>
              <w:t>★所有直读式远传水表能实现在杭州机场微信后勤服务号在线充值平台统一充值，线上充值线下直接使用，不需要通过补助机圈存领取补助。</w:t>
            </w:r>
            <w:r>
              <w:rPr>
                <w:rFonts w:ascii="宋体" w:cs="Times New Roman"/>
                <w:color w:val="000000"/>
                <w:kern w:val="0"/>
                <w:sz w:val="20"/>
                <w:szCs w:val="20"/>
              </w:rPr>
              <w:br w:type="textWrapping"/>
            </w:r>
            <w:r>
              <w:rPr>
                <w:rFonts w:hint="eastAsia" w:ascii="宋体" w:hAnsi="宋体" w:cs="宋体"/>
                <w:color w:val="000000"/>
                <w:kern w:val="0"/>
                <w:sz w:val="20"/>
                <w:szCs w:val="20"/>
              </w:rPr>
              <w:t>实现远程预付费、水电联控实现水表欠费不停水但是断电的功能。</w:t>
            </w:r>
            <w:r>
              <w:rPr>
                <w:rFonts w:ascii="宋体" w:cs="Times New Roman"/>
                <w:color w:val="000000"/>
                <w:kern w:val="0"/>
                <w:sz w:val="20"/>
                <w:szCs w:val="20"/>
              </w:rPr>
              <w:br w:type="textWrapping"/>
            </w:r>
            <w:r>
              <w:rPr>
                <w:rFonts w:hint="eastAsia" w:ascii="宋体" w:hAnsi="宋体" w:cs="宋体"/>
                <w:color w:val="000000"/>
                <w:kern w:val="0"/>
                <w:sz w:val="20"/>
                <w:szCs w:val="20"/>
              </w:rPr>
              <w:t>采用无源光电直读技术，不受磁干扰影响，安全可靠；</w:t>
            </w:r>
            <w:r>
              <w:rPr>
                <w:rFonts w:ascii="宋体" w:cs="Times New Roman"/>
                <w:color w:val="000000"/>
                <w:kern w:val="0"/>
                <w:sz w:val="20"/>
                <w:szCs w:val="20"/>
              </w:rPr>
              <w:br w:type="textWrapping"/>
            </w:r>
            <w:r>
              <w:rPr>
                <w:rFonts w:hint="eastAsia" w:ascii="宋体" w:hAnsi="宋体" w:cs="宋体"/>
                <w:color w:val="000000"/>
                <w:kern w:val="0"/>
                <w:sz w:val="20"/>
                <w:szCs w:val="20"/>
              </w:rPr>
              <w:t>采用绝对编码方式，系统工作时无须进行初始化，即装即用；</w:t>
            </w:r>
            <w:r>
              <w:rPr>
                <w:rFonts w:ascii="宋体" w:cs="Times New Roman"/>
                <w:color w:val="000000"/>
                <w:kern w:val="0"/>
                <w:sz w:val="20"/>
                <w:szCs w:val="20"/>
              </w:rPr>
              <w:br w:type="textWrapping"/>
            </w:r>
            <w:r>
              <w:rPr>
                <w:rFonts w:hint="eastAsia" w:ascii="宋体" w:hAnsi="宋体" w:cs="宋体"/>
                <w:color w:val="000000"/>
                <w:kern w:val="0"/>
                <w:sz w:val="20"/>
                <w:szCs w:val="20"/>
              </w:rPr>
              <w:t>计量表只有在读取数据的时候才由采集器提供电源，且工作时间很短，平时计量表不带电；</w:t>
            </w:r>
            <w:r>
              <w:rPr>
                <w:rFonts w:ascii="宋体" w:cs="Times New Roman"/>
                <w:color w:val="000000"/>
                <w:kern w:val="0"/>
                <w:sz w:val="20"/>
                <w:szCs w:val="20"/>
              </w:rPr>
              <w:br w:type="textWrapping"/>
            </w:r>
            <w:r>
              <w:rPr>
                <w:rFonts w:hint="eastAsia" w:ascii="宋体" w:hAnsi="宋体" w:cs="宋体"/>
                <w:color w:val="000000"/>
                <w:kern w:val="0"/>
                <w:sz w:val="20"/>
                <w:szCs w:val="20"/>
              </w:rPr>
              <w:t>水表基表采用国内一线品牌基表</w:t>
            </w:r>
            <w:r>
              <w:rPr>
                <w:rFonts w:ascii="宋体" w:cs="Times New Roman"/>
                <w:color w:val="000000"/>
                <w:kern w:val="0"/>
                <w:sz w:val="20"/>
                <w:szCs w:val="20"/>
              </w:rPr>
              <w:br w:type="textWrapping"/>
            </w:r>
            <w:r>
              <w:rPr>
                <w:rFonts w:hint="eastAsia" w:ascii="宋体" w:hAnsi="宋体" w:cs="宋体"/>
                <w:color w:val="000000"/>
                <w:kern w:val="0"/>
                <w:sz w:val="20"/>
                <w:szCs w:val="20"/>
              </w:rPr>
              <w:t>过载流量（</w:t>
            </w:r>
            <w:r>
              <w:rPr>
                <w:rFonts w:ascii="宋体" w:hAnsi="宋体" w:cs="宋体"/>
                <w:color w:val="000000"/>
                <w:kern w:val="0"/>
                <w:sz w:val="20"/>
                <w:szCs w:val="20"/>
              </w:rPr>
              <w:t>Q4</w:t>
            </w:r>
            <w:r>
              <w:rPr>
                <w:rFonts w:hint="eastAsia" w:ascii="宋体" w:hAnsi="宋体" w:cs="宋体"/>
                <w:color w:val="000000"/>
                <w:kern w:val="0"/>
                <w:sz w:val="20"/>
                <w:szCs w:val="20"/>
              </w:rPr>
              <w:t>）</w:t>
            </w:r>
            <w:r>
              <w:rPr>
                <w:rFonts w:ascii="宋体" w:hAnsi="宋体" w:cs="宋体"/>
                <w:color w:val="000000"/>
                <w:kern w:val="0"/>
                <w:sz w:val="20"/>
                <w:szCs w:val="20"/>
              </w:rPr>
              <w:t>7.875 m</w:t>
            </w:r>
            <w:r>
              <w:rPr>
                <w:rFonts w:hint="eastAsia" w:ascii="宋体" w:hAnsi="宋体" w:cs="宋体"/>
                <w:color w:val="000000"/>
                <w:kern w:val="0"/>
                <w:sz w:val="20"/>
                <w:szCs w:val="20"/>
              </w:rPr>
              <w:t>³</w:t>
            </w:r>
            <w:r>
              <w:rPr>
                <w:rFonts w:ascii="宋体" w:hAnsi="宋体" w:cs="宋体"/>
                <w:color w:val="000000"/>
                <w:kern w:val="0"/>
                <w:sz w:val="20"/>
                <w:szCs w:val="20"/>
              </w:rPr>
              <w:t>/h</w:t>
            </w:r>
            <w:r>
              <w:rPr>
                <w:rFonts w:ascii="宋体" w:hAnsi="宋体" w:cs="宋体"/>
                <w:color w:val="000000"/>
                <w:kern w:val="0"/>
                <w:sz w:val="20"/>
                <w:szCs w:val="20"/>
              </w:rPr>
              <w:br w:type="textWrapping"/>
            </w:r>
            <w:r>
              <w:rPr>
                <w:rFonts w:hint="eastAsia" w:ascii="宋体" w:hAnsi="宋体" w:cs="宋体"/>
                <w:color w:val="000000"/>
                <w:kern w:val="0"/>
                <w:sz w:val="20"/>
                <w:szCs w:val="20"/>
              </w:rPr>
              <w:t>常用流量（</w:t>
            </w:r>
            <w:r>
              <w:rPr>
                <w:rFonts w:ascii="宋体" w:hAnsi="宋体" w:cs="宋体"/>
                <w:color w:val="000000"/>
                <w:kern w:val="0"/>
                <w:sz w:val="20"/>
                <w:szCs w:val="20"/>
              </w:rPr>
              <w:t>Q3</w:t>
            </w:r>
            <w:r>
              <w:rPr>
                <w:rFonts w:hint="eastAsia" w:ascii="宋体" w:hAnsi="宋体" w:cs="宋体"/>
                <w:color w:val="000000"/>
                <w:kern w:val="0"/>
                <w:sz w:val="20"/>
                <w:szCs w:val="20"/>
              </w:rPr>
              <w:t>）</w:t>
            </w:r>
            <w:r>
              <w:rPr>
                <w:rFonts w:ascii="宋体" w:hAnsi="宋体" w:cs="宋体"/>
                <w:color w:val="000000"/>
                <w:kern w:val="0"/>
                <w:sz w:val="20"/>
                <w:szCs w:val="20"/>
              </w:rPr>
              <w:t>6.3 m</w:t>
            </w:r>
            <w:r>
              <w:rPr>
                <w:rFonts w:hint="eastAsia" w:ascii="宋体" w:hAnsi="宋体" w:cs="宋体"/>
                <w:color w:val="000000"/>
                <w:kern w:val="0"/>
                <w:sz w:val="20"/>
                <w:szCs w:val="20"/>
              </w:rPr>
              <w:t>³</w:t>
            </w:r>
            <w:r>
              <w:rPr>
                <w:rFonts w:ascii="宋体" w:hAnsi="宋体" w:cs="宋体"/>
                <w:color w:val="000000"/>
                <w:kern w:val="0"/>
                <w:sz w:val="20"/>
                <w:szCs w:val="20"/>
              </w:rPr>
              <w:t>/h</w:t>
            </w:r>
            <w:r>
              <w:rPr>
                <w:rFonts w:ascii="宋体" w:hAnsi="宋体" w:cs="宋体"/>
                <w:color w:val="000000"/>
                <w:kern w:val="0"/>
                <w:sz w:val="20"/>
                <w:szCs w:val="20"/>
              </w:rPr>
              <w:br w:type="textWrapping"/>
            </w:r>
            <w:r>
              <w:rPr>
                <w:rFonts w:hint="eastAsia" w:ascii="宋体" w:hAnsi="宋体" w:cs="宋体"/>
                <w:color w:val="000000"/>
                <w:kern w:val="0"/>
                <w:sz w:val="20"/>
                <w:szCs w:val="20"/>
              </w:rPr>
              <w:t>分界流量（</w:t>
            </w:r>
            <w:r>
              <w:rPr>
                <w:rFonts w:ascii="宋体" w:hAnsi="宋体" w:cs="宋体"/>
                <w:color w:val="000000"/>
                <w:kern w:val="0"/>
                <w:sz w:val="20"/>
                <w:szCs w:val="20"/>
              </w:rPr>
              <w:t>Q2</w:t>
            </w:r>
            <w:r>
              <w:rPr>
                <w:rFonts w:hint="eastAsia" w:ascii="宋体" w:hAnsi="宋体" w:cs="宋体"/>
                <w:color w:val="000000"/>
                <w:kern w:val="0"/>
                <w:sz w:val="20"/>
                <w:szCs w:val="20"/>
              </w:rPr>
              <w:t>）</w:t>
            </w:r>
            <w:r>
              <w:rPr>
                <w:rFonts w:ascii="宋体" w:hAnsi="宋体" w:cs="宋体"/>
                <w:color w:val="000000"/>
                <w:kern w:val="0"/>
                <w:sz w:val="20"/>
                <w:szCs w:val="20"/>
              </w:rPr>
              <w:t>0.126 m</w:t>
            </w:r>
            <w:r>
              <w:rPr>
                <w:rFonts w:hint="eastAsia" w:ascii="宋体" w:hAnsi="宋体" w:cs="宋体"/>
                <w:color w:val="000000"/>
                <w:kern w:val="0"/>
                <w:sz w:val="20"/>
                <w:szCs w:val="20"/>
              </w:rPr>
              <w:t>³</w:t>
            </w:r>
            <w:r>
              <w:rPr>
                <w:rFonts w:ascii="宋体" w:hAnsi="宋体" w:cs="宋体"/>
                <w:color w:val="000000"/>
                <w:kern w:val="0"/>
                <w:sz w:val="20"/>
                <w:szCs w:val="20"/>
              </w:rPr>
              <w:t>/h</w:t>
            </w:r>
            <w:r>
              <w:rPr>
                <w:rFonts w:ascii="宋体" w:hAnsi="宋体" w:cs="宋体"/>
                <w:color w:val="000000"/>
                <w:kern w:val="0"/>
                <w:sz w:val="20"/>
                <w:szCs w:val="20"/>
              </w:rPr>
              <w:br w:type="textWrapping"/>
            </w:r>
            <w:r>
              <w:rPr>
                <w:rFonts w:hint="eastAsia" w:ascii="宋体" w:hAnsi="宋体" w:cs="宋体"/>
                <w:color w:val="000000"/>
                <w:kern w:val="0"/>
                <w:sz w:val="20"/>
                <w:szCs w:val="20"/>
              </w:rPr>
              <w:t>最小流量（</w:t>
            </w:r>
            <w:r>
              <w:rPr>
                <w:rFonts w:ascii="宋体" w:hAnsi="宋体" w:cs="宋体"/>
                <w:color w:val="000000"/>
                <w:kern w:val="0"/>
                <w:sz w:val="20"/>
                <w:szCs w:val="20"/>
              </w:rPr>
              <w:t>Q1</w:t>
            </w:r>
            <w:r>
              <w:rPr>
                <w:rFonts w:hint="eastAsia" w:ascii="宋体" w:hAnsi="宋体" w:cs="宋体"/>
                <w:color w:val="000000"/>
                <w:kern w:val="0"/>
                <w:sz w:val="20"/>
                <w:szCs w:val="20"/>
              </w:rPr>
              <w:t>）</w:t>
            </w:r>
            <w:r>
              <w:rPr>
                <w:rFonts w:ascii="宋体" w:hAnsi="宋体" w:cs="宋体"/>
                <w:color w:val="000000"/>
                <w:kern w:val="0"/>
                <w:sz w:val="20"/>
                <w:szCs w:val="20"/>
              </w:rPr>
              <w:t>0.0788 m</w:t>
            </w:r>
            <w:r>
              <w:rPr>
                <w:rFonts w:hint="eastAsia" w:ascii="宋体" w:hAnsi="宋体" w:cs="宋体"/>
                <w:color w:val="000000"/>
                <w:kern w:val="0"/>
                <w:sz w:val="20"/>
                <w:szCs w:val="20"/>
              </w:rPr>
              <w:t>³</w:t>
            </w:r>
            <w:r>
              <w:rPr>
                <w:rFonts w:ascii="宋体" w:hAnsi="宋体" w:cs="宋体"/>
                <w:color w:val="000000"/>
                <w:kern w:val="0"/>
                <w:sz w:val="20"/>
                <w:szCs w:val="20"/>
              </w:rPr>
              <w:t>/h</w:t>
            </w:r>
            <w:r>
              <w:rPr>
                <w:rFonts w:ascii="宋体" w:hAnsi="宋体" w:cs="宋体"/>
                <w:color w:val="000000"/>
                <w:kern w:val="0"/>
                <w:sz w:val="20"/>
                <w:szCs w:val="20"/>
              </w:rPr>
              <w:br w:type="textWrapping"/>
            </w:r>
            <w:r>
              <w:rPr>
                <w:rFonts w:hint="eastAsia" w:ascii="宋体" w:hAnsi="宋体" w:cs="宋体"/>
                <w:color w:val="000000"/>
                <w:kern w:val="0"/>
                <w:sz w:val="20"/>
                <w:szCs w:val="20"/>
              </w:rPr>
              <w:t>通讯接口</w:t>
            </w:r>
            <w:r>
              <w:rPr>
                <w:rFonts w:ascii="宋体" w:hAnsi="宋体" w:cs="宋体"/>
                <w:color w:val="000000"/>
                <w:kern w:val="0"/>
                <w:sz w:val="20"/>
                <w:szCs w:val="20"/>
              </w:rPr>
              <w:t xml:space="preserve"> M-BUS</w:t>
            </w:r>
            <w:r>
              <w:rPr>
                <w:rFonts w:ascii="宋体" w:hAnsi="宋体" w:cs="宋体"/>
                <w:color w:val="000000"/>
                <w:kern w:val="0"/>
                <w:sz w:val="20"/>
                <w:szCs w:val="20"/>
              </w:rPr>
              <w:br w:type="textWrapping"/>
            </w:r>
            <w:r>
              <w:rPr>
                <w:rFonts w:hint="eastAsia" w:ascii="宋体" w:hAnsi="宋体" w:cs="宋体"/>
                <w:color w:val="000000"/>
                <w:kern w:val="0"/>
                <w:sz w:val="20"/>
                <w:szCs w:val="20"/>
              </w:rPr>
              <w:t>通讯规约</w:t>
            </w:r>
            <w:r>
              <w:rPr>
                <w:rFonts w:ascii="宋体" w:hAnsi="宋体" w:cs="宋体"/>
                <w:color w:val="000000"/>
                <w:kern w:val="0"/>
                <w:sz w:val="20"/>
                <w:szCs w:val="20"/>
              </w:rPr>
              <w:t xml:space="preserve"> CJ/T224-2012</w:t>
            </w:r>
            <w:r>
              <w:rPr>
                <w:rFonts w:hint="eastAsia" w:ascii="宋体" w:hAnsi="宋体" w:cs="宋体"/>
                <w:color w:val="000000"/>
                <w:kern w:val="0"/>
                <w:sz w:val="20"/>
                <w:szCs w:val="20"/>
              </w:rPr>
              <w:t>规约</w:t>
            </w:r>
            <w:r>
              <w:rPr>
                <w:rFonts w:ascii="宋体" w:cs="Times New Roman"/>
                <w:color w:val="000000"/>
                <w:kern w:val="0"/>
                <w:sz w:val="20"/>
                <w:szCs w:val="20"/>
              </w:rPr>
              <w:br w:type="textWrapping"/>
            </w:r>
            <w:r>
              <w:rPr>
                <w:rFonts w:hint="eastAsia" w:ascii="宋体" w:hAnsi="宋体" w:cs="宋体"/>
                <w:color w:val="000000"/>
                <w:kern w:val="0"/>
                <w:sz w:val="20"/>
                <w:szCs w:val="20"/>
              </w:rPr>
              <w:t>最低允许工作压力</w:t>
            </w:r>
            <w:r>
              <w:rPr>
                <w:rFonts w:ascii="宋体" w:hAnsi="宋体" w:cs="宋体"/>
                <w:color w:val="000000"/>
                <w:kern w:val="0"/>
                <w:sz w:val="20"/>
                <w:szCs w:val="20"/>
              </w:rPr>
              <w:t xml:space="preserve"> 0.03 MPa</w:t>
            </w:r>
            <w:r>
              <w:rPr>
                <w:rFonts w:ascii="宋体" w:hAnsi="宋体" w:cs="宋体"/>
                <w:color w:val="000000"/>
                <w:kern w:val="0"/>
                <w:sz w:val="20"/>
                <w:szCs w:val="20"/>
              </w:rPr>
              <w:br w:type="textWrapping"/>
            </w:r>
            <w:r>
              <w:rPr>
                <w:rFonts w:hint="eastAsia" w:ascii="宋体" w:hAnsi="宋体" w:cs="宋体"/>
                <w:color w:val="000000"/>
                <w:kern w:val="0"/>
                <w:sz w:val="20"/>
                <w:szCs w:val="20"/>
              </w:rPr>
              <w:t>最高允许工作压力</w:t>
            </w:r>
            <w:r>
              <w:rPr>
                <w:rFonts w:ascii="宋体" w:hAnsi="宋体" w:cs="宋体"/>
                <w:color w:val="000000"/>
                <w:kern w:val="0"/>
                <w:sz w:val="20"/>
                <w:szCs w:val="20"/>
              </w:rPr>
              <w:t xml:space="preserve"> 1 MPa</w:t>
            </w:r>
            <w:r>
              <w:rPr>
                <w:rFonts w:ascii="宋体" w:hAnsi="宋体" w:cs="宋体"/>
                <w:color w:val="000000"/>
                <w:kern w:val="0"/>
                <w:sz w:val="20"/>
                <w:szCs w:val="20"/>
              </w:rPr>
              <w:br w:type="textWrapping"/>
            </w:r>
            <w:r>
              <w:rPr>
                <w:rFonts w:hint="eastAsia" w:ascii="宋体" w:hAnsi="宋体" w:cs="宋体"/>
                <w:color w:val="000000"/>
                <w:kern w:val="0"/>
                <w:sz w:val="20"/>
                <w:szCs w:val="20"/>
              </w:rPr>
              <w:t>压损等级</w:t>
            </w:r>
            <w:r>
              <w:rPr>
                <w:rFonts w:ascii="宋体" w:hAnsi="宋体" w:cs="宋体"/>
                <w:color w:val="000000"/>
                <w:kern w:val="0"/>
                <w:sz w:val="20"/>
                <w:szCs w:val="20"/>
              </w:rPr>
              <w:t xml:space="preserve"> </w:t>
            </w:r>
            <w:r>
              <w:rPr>
                <w:rFonts w:hint="eastAsia" w:ascii="宋体" w:hAnsi="宋体" w:cs="宋体"/>
                <w:color w:val="000000"/>
                <w:kern w:val="0"/>
                <w:sz w:val="20"/>
                <w:szCs w:val="20"/>
              </w:rPr>
              <w:t>△</w:t>
            </w:r>
            <w:r>
              <w:rPr>
                <w:rFonts w:ascii="宋体" w:hAnsi="宋体" w:cs="宋体"/>
                <w:color w:val="000000"/>
                <w:kern w:val="0"/>
                <w:sz w:val="20"/>
                <w:szCs w:val="20"/>
              </w:rPr>
              <w:t>p63</w:t>
            </w:r>
            <w:r>
              <w:rPr>
                <w:rFonts w:ascii="宋体" w:hAnsi="宋体" w:cs="宋体"/>
                <w:color w:val="000000"/>
                <w:kern w:val="0"/>
                <w:sz w:val="20"/>
                <w:szCs w:val="20"/>
              </w:rPr>
              <w:br w:type="textWrapping"/>
            </w:r>
            <w:r>
              <w:rPr>
                <w:rFonts w:hint="eastAsia" w:ascii="宋体" w:hAnsi="宋体" w:cs="宋体"/>
                <w:color w:val="000000"/>
                <w:kern w:val="0"/>
                <w:sz w:val="20"/>
                <w:szCs w:val="20"/>
              </w:rPr>
              <w:t>流动剖面敏感度等级</w:t>
            </w:r>
            <w:r>
              <w:rPr>
                <w:rFonts w:ascii="宋体" w:hAnsi="宋体" w:cs="宋体"/>
                <w:color w:val="000000"/>
                <w:kern w:val="0"/>
                <w:sz w:val="20"/>
                <w:szCs w:val="20"/>
              </w:rPr>
              <w:t xml:space="preserve"> U10,D5</w:t>
            </w:r>
            <w:r>
              <w:rPr>
                <w:rFonts w:ascii="宋体" w:hAnsi="宋体" w:cs="宋体"/>
                <w:color w:val="000000"/>
                <w:kern w:val="0"/>
                <w:sz w:val="20"/>
                <w:szCs w:val="20"/>
              </w:rPr>
              <w:br w:type="textWrapping"/>
            </w:r>
            <w:r>
              <w:rPr>
                <w:rFonts w:hint="eastAsia" w:ascii="宋体" w:hAnsi="宋体" w:cs="宋体"/>
                <w:color w:val="000000"/>
                <w:kern w:val="0"/>
                <w:sz w:val="20"/>
                <w:szCs w:val="20"/>
              </w:rPr>
              <w:t>气候和机械环境安全等级</w:t>
            </w:r>
            <w:r>
              <w:rPr>
                <w:rFonts w:ascii="宋体" w:hAnsi="宋体" w:cs="宋体"/>
                <w:color w:val="000000"/>
                <w:kern w:val="0"/>
                <w:sz w:val="20"/>
                <w:szCs w:val="20"/>
              </w:rPr>
              <w:t xml:space="preserve"> B</w:t>
            </w:r>
            <w:r>
              <w:rPr>
                <w:rFonts w:hint="eastAsia" w:ascii="宋体" w:hAnsi="宋体" w:cs="宋体"/>
                <w:color w:val="000000"/>
                <w:kern w:val="0"/>
                <w:sz w:val="20"/>
                <w:szCs w:val="20"/>
              </w:rPr>
              <w:t>类</w:t>
            </w:r>
            <w:r>
              <w:rPr>
                <w:rFonts w:ascii="宋体" w:cs="Times New Roman"/>
                <w:color w:val="000000"/>
                <w:kern w:val="0"/>
                <w:sz w:val="20"/>
                <w:szCs w:val="20"/>
              </w:rPr>
              <w:br w:type="textWrapping"/>
            </w:r>
            <w:r>
              <w:rPr>
                <w:rFonts w:hint="eastAsia" w:ascii="宋体" w:hAnsi="宋体" w:cs="宋体"/>
                <w:color w:val="000000"/>
                <w:kern w:val="0"/>
                <w:sz w:val="20"/>
                <w:szCs w:val="20"/>
              </w:rPr>
              <w:t>电磁兼容性等级</w:t>
            </w:r>
            <w:r>
              <w:rPr>
                <w:rFonts w:ascii="宋体" w:hAnsi="宋体" w:cs="宋体"/>
                <w:color w:val="000000"/>
                <w:kern w:val="0"/>
                <w:sz w:val="20"/>
                <w:szCs w:val="20"/>
              </w:rPr>
              <w:t xml:space="preserve"> E1</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台</w:t>
            </w:r>
          </w:p>
        </w:tc>
        <w:tc>
          <w:tcPr>
            <w:tcW w:w="712" w:type="dxa"/>
            <w:vAlign w:val="center"/>
          </w:tcPr>
          <w:p>
            <w:pPr>
              <w:widowControl/>
              <w:jc w:val="center"/>
              <w:textAlignment w:val="center"/>
              <w:rPr>
                <w:rFonts w:ascii="宋体" w:cs="Times New Roman"/>
                <w:sz w:val="22"/>
                <w:szCs w:val="22"/>
                <w:highlight w:val="yellow"/>
              </w:rPr>
            </w:pPr>
            <w:r>
              <w:rPr>
                <w:rFonts w:ascii="宋体" w:hAnsi="宋体" w:cs="宋体"/>
                <w:color w:val="000000"/>
                <w:kern w:val="0"/>
                <w:sz w:val="22"/>
                <w:szCs w:val="22"/>
              </w:rPr>
              <w:t>185</w:t>
            </w:r>
          </w:p>
        </w:tc>
        <w:tc>
          <w:tcPr>
            <w:tcW w:w="705" w:type="dxa"/>
            <w:vAlign w:val="center"/>
          </w:tcPr>
          <w:p>
            <w:pPr>
              <w:adjustRightInd w:val="0"/>
              <w:snapToGrid w:val="0"/>
              <w:jc w:val="left"/>
              <w:rPr>
                <w:rFonts w:ascii="宋体" w:cs="Times New Roman"/>
                <w:sz w:val="22"/>
                <w:szCs w:val="22"/>
              </w:rPr>
            </w:pPr>
            <w:r>
              <w:rPr>
                <w:rFonts w:hint="eastAsia" w:ascii="宋体" w:hAnsi="宋体" w:cs="宋体"/>
                <w:color w:val="000000"/>
                <w:kern w:val="0"/>
                <w:sz w:val="20"/>
                <w:szCs w:val="20"/>
              </w:rPr>
              <w:t>杭州萧山机场内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3</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数据网关</w:t>
            </w:r>
          </w:p>
        </w:tc>
        <w:tc>
          <w:tcPr>
            <w:tcW w:w="6111" w:type="dxa"/>
          </w:tcPr>
          <w:p>
            <w:pPr>
              <w:widowControl/>
              <w:jc w:val="left"/>
              <w:textAlignment w:val="top"/>
              <w:rPr>
                <w:rFonts w:ascii="宋体" w:cs="Times New Roman"/>
                <w:color w:val="000000"/>
                <w:kern w:val="0"/>
                <w:sz w:val="20"/>
                <w:szCs w:val="20"/>
              </w:rPr>
            </w:pPr>
            <w:r>
              <w:rPr>
                <w:rFonts w:hint="eastAsia" w:ascii="宋体" w:hAnsi="宋体" w:cs="宋体"/>
                <w:color w:val="000000"/>
                <w:kern w:val="0"/>
                <w:sz w:val="20"/>
                <w:szCs w:val="20"/>
              </w:rPr>
              <w:t>采用</w:t>
            </w:r>
            <w:r>
              <w:rPr>
                <w:rFonts w:ascii="宋体" w:hAnsi="宋体" w:cs="宋体"/>
                <w:color w:val="000000"/>
                <w:kern w:val="0"/>
                <w:sz w:val="20"/>
                <w:szCs w:val="20"/>
              </w:rPr>
              <w:t>ARM11</w:t>
            </w:r>
            <w:r>
              <w:rPr>
                <w:rFonts w:hint="eastAsia" w:ascii="宋体" w:hAnsi="宋体" w:cs="宋体"/>
                <w:color w:val="000000"/>
                <w:kern w:val="0"/>
                <w:sz w:val="20"/>
                <w:szCs w:val="20"/>
              </w:rPr>
              <w:t>芯片配置</w:t>
            </w:r>
            <w:r>
              <w:rPr>
                <w:rFonts w:ascii="宋体" w:hAnsi="宋体" w:cs="宋体"/>
                <w:color w:val="000000"/>
                <w:kern w:val="0"/>
                <w:sz w:val="20"/>
                <w:szCs w:val="20"/>
              </w:rPr>
              <w:t>1G</w:t>
            </w:r>
            <w:r>
              <w:rPr>
                <w:rFonts w:hint="eastAsia" w:ascii="宋体" w:hAnsi="宋体" w:cs="宋体"/>
                <w:color w:val="000000"/>
                <w:kern w:val="0"/>
                <w:sz w:val="20"/>
                <w:szCs w:val="20"/>
              </w:rPr>
              <w:t>内存，还可外接存储卡。支持</w:t>
            </w:r>
            <w:r>
              <w:rPr>
                <w:rFonts w:ascii="宋体" w:hAnsi="宋体" w:cs="宋体"/>
                <w:color w:val="000000"/>
                <w:kern w:val="0"/>
                <w:sz w:val="20"/>
                <w:szCs w:val="20"/>
              </w:rPr>
              <w:t>TCP Server</w:t>
            </w:r>
            <w:r>
              <w:rPr>
                <w:rFonts w:hint="eastAsia" w:ascii="宋体" w:hAnsi="宋体" w:cs="宋体"/>
                <w:color w:val="000000"/>
                <w:kern w:val="0"/>
                <w:sz w:val="20"/>
                <w:szCs w:val="20"/>
              </w:rPr>
              <w:t>，</w:t>
            </w:r>
            <w:r>
              <w:rPr>
                <w:rFonts w:ascii="宋体" w:hAnsi="宋体" w:cs="宋体"/>
                <w:color w:val="000000"/>
                <w:kern w:val="0"/>
                <w:sz w:val="20"/>
                <w:szCs w:val="20"/>
              </w:rPr>
              <w:t>TCP client</w:t>
            </w:r>
            <w:r>
              <w:rPr>
                <w:rFonts w:hint="eastAsia" w:ascii="宋体" w:hAnsi="宋体" w:cs="宋体"/>
                <w:color w:val="000000"/>
                <w:kern w:val="0"/>
                <w:sz w:val="20"/>
                <w:szCs w:val="20"/>
              </w:rPr>
              <w:t>，</w:t>
            </w:r>
            <w:r>
              <w:rPr>
                <w:rFonts w:ascii="宋体" w:hAnsi="宋体" w:cs="宋体"/>
                <w:color w:val="000000"/>
                <w:kern w:val="0"/>
                <w:sz w:val="20"/>
                <w:szCs w:val="20"/>
              </w:rPr>
              <w:t>UDP</w:t>
            </w:r>
            <w:r>
              <w:rPr>
                <w:rFonts w:hint="eastAsia" w:ascii="宋体" w:hAnsi="宋体" w:cs="宋体"/>
                <w:color w:val="000000"/>
                <w:kern w:val="0"/>
                <w:sz w:val="20"/>
                <w:szCs w:val="20"/>
              </w:rPr>
              <w:t>，</w:t>
            </w:r>
            <w:r>
              <w:rPr>
                <w:rFonts w:ascii="宋体" w:hAnsi="宋体" w:cs="宋体"/>
                <w:color w:val="000000"/>
                <w:kern w:val="0"/>
                <w:sz w:val="20"/>
                <w:szCs w:val="20"/>
              </w:rPr>
              <w:t>FTP</w:t>
            </w:r>
            <w:r>
              <w:rPr>
                <w:rFonts w:hint="eastAsia" w:ascii="宋体" w:hAnsi="宋体" w:cs="宋体"/>
                <w:color w:val="000000"/>
                <w:kern w:val="0"/>
                <w:sz w:val="20"/>
                <w:szCs w:val="20"/>
              </w:rPr>
              <w:t>和</w:t>
            </w:r>
            <w:r>
              <w:rPr>
                <w:rFonts w:ascii="宋体" w:hAnsi="宋体" w:cs="宋体"/>
                <w:color w:val="000000"/>
                <w:kern w:val="0"/>
                <w:sz w:val="20"/>
                <w:szCs w:val="20"/>
              </w:rPr>
              <w:t>lora</w:t>
            </w:r>
            <w:r>
              <w:rPr>
                <w:rFonts w:hint="eastAsia" w:ascii="宋体" w:hAnsi="宋体" w:cs="宋体"/>
                <w:color w:val="000000"/>
                <w:kern w:val="0"/>
                <w:sz w:val="20"/>
                <w:szCs w:val="20"/>
              </w:rPr>
              <w:t>无线传输，和驱动程序模式；</w:t>
            </w:r>
            <w:r>
              <w:rPr>
                <w:rFonts w:ascii="宋体" w:cs="Times New Roman"/>
                <w:color w:val="000000"/>
                <w:kern w:val="0"/>
                <w:sz w:val="20"/>
                <w:szCs w:val="20"/>
              </w:rPr>
              <w:br w:type="textWrapping"/>
            </w:r>
            <w:r>
              <w:rPr>
                <w:rFonts w:hint="eastAsia" w:ascii="宋体" w:hAnsi="宋体" w:cs="宋体"/>
                <w:color w:val="000000"/>
                <w:kern w:val="0"/>
                <w:sz w:val="20"/>
                <w:szCs w:val="20"/>
              </w:rPr>
              <w:t>支持</w:t>
            </w:r>
            <w:r>
              <w:rPr>
                <w:rFonts w:ascii="宋体" w:hAnsi="宋体" w:cs="宋体"/>
                <w:color w:val="000000"/>
                <w:kern w:val="0"/>
                <w:sz w:val="20"/>
                <w:szCs w:val="20"/>
              </w:rPr>
              <w:t xml:space="preserve"> Web</w:t>
            </w:r>
            <w:r>
              <w:rPr>
                <w:rFonts w:hint="eastAsia" w:ascii="宋体" w:hAnsi="宋体" w:cs="宋体"/>
                <w:color w:val="000000"/>
                <w:kern w:val="0"/>
                <w:sz w:val="20"/>
                <w:szCs w:val="20"/>
              </w:rPr>
              <w:t>，</w:t>
            </w:r>
            <w:r>
              <w:rPr>
                <w:rFonts w:ascii="宋体" w:hAnsi="宋体" w:cs="宋体"/>
                <w:color w:val="000000"/>
                <w:kern w:val="0"/>
                <w:sz w:val="20"/>
                <w:szCs w:val="20"/>
              </w:rPr>
              <w:t>telnet</w:t>
            </w:r>
            <w:r>
              <w:rPr>
                <w:rFonts w:hint="eastAsia" w:ascii="宋体" w:hAnsi="宋体" w:cs="宋体"/>
                <w:color w:val="000000"/>
                <w:kern w:val="0"/>
                <w:sz w:val="20"/>
                <w:szCs w:val="20"/>
              </w:rPr>
              <w:t>和</w:t>
            </w:r>
            <w:r>
              <w:rPr>
                <w:rFonts w:ascii="宋体" w:hAnsi="宋体" w:cs="宋体"/>
                <w:color w:val="000000"/>
                <w:kern w:val="0"/>
                <w:sz w:val="20"/>
                <w:szCs w:val="20"/>
              </w:rPr>
              <w:t>serial console</w:t>
            </w:r>
            <w:r>
              <w:rPr>
                <w:rFonts w:hint="eastAsia" w:ascii="宋体" w:hAnsi="宋体" w:cs="宋体"/>
                <w:color w:val="000000"/>
                <w:kern w:val="0"/>
                <w:sz w:val="20"/>
                <w:szCs w:val="20"/>
              </w:rPr>
              <w:t>；自带不小于</w:t>
            </w:r>
            <w:r>
              <w:rPr>
                <w:rFonts w:ascii="宋体" w:hAnsi="宋体" w:cs="宋体"/>
                <w:color w:val="000000"/>
                <w:kern w:val="0"/>
                <w:sz w:val="20"/>
                <w:szCs w:val="20"/>
              </w:rPr>
              <w:t>7</w:t>
            </w:r>
            <w:r>
              <w:rPr>
                <w:rFonts w:hint="eastAsia" w:ascii="宋体" w:hAnsi="宋体" w:cs="宋体"/>
                <w:color w:val="000000"/>
                <w:kern w:val="0"/>
                <w:sz w:val="20"/>
                <w:szCs w:val="20"/>
              </w:rPr>
              <w:t>寸的电容触摸屏，分辨率不低于</w:t>
            </w:r>
            <w:r>
              <w:rPr>
                <w:rFonts w:ascii="宋体" w:hAnsi="宋体" w:cs="宋体"/>
                <w:color w:val="000000"/>
                <w:kern w:val="0"/>
                <w:sz w:val="20"/>
                <w:szCs w:val="20"/>
              </w:rPr>
              <w:t>800*480</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正常工作温度：</w:t>
            </w:r>
            <w:r>
              <w:rPr>
                <w:rFonts w:ascii="宋体" w:hAnsi="宋体" w:cs="宋体"/>
                <w:color w:val="000000"/>
                <w:kern w:val="0"/>
                <w:sz w:val="20"/>
                <w:szCs w:val="20"/>
              </w:rPr>
              <w:t>-10</w:t>
            </w:r>
            <w:r>
              <w:rPr>
                <w:rFonts w:hint="eastAsia" w:ascii="宋体" w:hAnsi="宋体" w:cs="宋体"/>
                <w:color w:val="000000"/>
                <w:kern w:val="0"/>
                <w:sz w:val="20"/>
                <w:szCs w:val="20"/>
              </w:rPr>
              <w:t>℃～</w:t>
            </w:r>
            <w:r>
              <w:rPr>
                <w:rFonts w:ascii="宋体" w:hAnsi="宋体" w:cs="宋体"/>
                <w:color w:val="000000"/>
                <w:kern w:val="0"/>
                <w:sz w:val="20"/>
                <w:szCs w:val="20"/>
              </w:rPr>
              <w:t>55</w:t>
            </w:r>
            <w:r>
              <w:rPr>
                <w:rFonts w:hint="eastAsia" w:ascii="宋体" w:hAnsi="宋体" w:cs="宋体"/>
                <w:color w:val="000000"/>
                <w:kern w:val="0"/>
                <w:sz w:val="20"/>
                <w:szCs w:val="20"/>
              </w:rPr>
              <w:t>℃；支持至少</w:t>
            </w:r>
            <w:r>
              <w:rPr>
                <w:rFonts w:ascii="宋体" w:hAnsi="宋体" w:cs="宋体"/>
                <w:color w:val="000000"/>
                <w:kern w:val="0"/>
                <w:sz w:val="20"/>
                <w:szCs w:val="20"/>
              </w:rPr>
              <w:t>3</w:t>
            </w:r>
            <w:r>
              <w:rPr>
                <w:rFonts w:hint="eastAsia" w:ascii="宋体" w:hAnsi="宋体" w:cs="宋体"/>
                <w:color w:val="000000"/>
                <w:kern w:val="0"/>
                <w:sz w:val="20"/>
                <w:szCs w:val="20"/>
              </w:rPr>
              <w:t>个</w:t>
            </w:r>
            <w:r>
              <w:rPr>
                <w:rFonts w:ascii="宋体" w:hAnsi="宋体" w:cs="宋体"/>
                <w:color w:val="000000"/>
                <w:kern w:val="0"/>
                <w:sz w:val="20"/>
                <w:szCs w:val="20"/>
              </w:rPr>
              <w:t>RS485</w:t>
            </w:r>
            <w:r>
              <w:rPr>
                <w:rFonts w:hint="eastAsia" w:ascii="宋体" w:hAnsi="宋体" w:cs="宋体"/>
                <w:color w:val="000000"/>
                <w:kern w:val="0"/>
                <w:sz w:val="20"/>
                <w:szCs w:val="20"/>
              </w:rPr>
              <w:t>通讯串口和</w:t>
            </w:r>
            <w:r>
              <w:rPr>
                <w:rFonts w:ascii="宋体" w:hAnsi="宋体" w:cs="宋体"/>
                <w:color w:val="000000"/>
                <w:kern w:val="0"/>
                <w:sz w:val="20"/>
                <w:szCs w:val="20"/>
              </w:rPr>
              <w:t>4</w:t>
            </w:r>
            <w:r>
              <w:rPr>
                <w:rFonts w:hint="eastAsia" w:ascii="宋体" w:hAnsi="宋体" w:cs="宋体"/>
                <w:color w:val="000000"/>
                <w:kern w:val="0"/>
                <w:sz w:val="20"/>
                <w:szCs w:val="20"/>
              </w:rPr>
              <w:t>个</w:t>
            </w:r>
            <w:r>
              <w:rPr>
                <w:rFonts w:ascii="宋体" w:hAnsi="宋体" w:cs="宋体"/>
                <w:color w:val="000000"/>
                <w:kern w:val="0"/>
                <w:sz w:val="20"/>
                <w:szCs w:val="20"/>
              </w:rPr>
              <w:t>USB</w:t>
            </w:r>
            <w:r>
              <w:rPr>
                <w:rFonts w:hint="eastAsia" w:ascii="宋体" w:hAnsi="宋体" w:cs="宋体"/>
                <w:color w:val="000000"/>
                <w:kern w:val="0"/>
                <w:sz w:val="20"/>
                <w:szCs w:val="20"/>
              </w:rPr>
              <w:t>接口（下行通讯）和</w:t>
            </w:r>
            <w:r>
              <w:rPr>
                <w:rFonts w:ascii="宋体" w:hAnsi="宋体" w:cs="宋体"/>
                <w:color w:val="000000"/>
                <w:kern w:val="0"/>
                <w:sz w:val="20"/>
                <w:szCs w:val="20"/>
              </w:rPr>
              <w:t>1</w:t>
            </w:r>
            <w:r>
              <w:rPr>
                <w:rFonts w:hint="eastAsia" w:ascii="宋体" w:hAnsi="宋体" w:cs="宋体"/>
                <w:color w:val="000000"/>
                <w:kern w:val="0"/>
                <w:sz w:val="20"/>
                <w:szCs w:val="20"/>
              </w:rPr>
              <w:t>个</w:t>
            </w:r>
            <w:r>
              <w:rPr>
                <w:rFonts w:ascii="宋体" w:hAnsi="宋体" w:cs="宋体"/>
                <w:color w:val="000000"/>
                <w:kern w:val="0"/>
                <w:sz w:val="20"/>
                <w:szCs w:val="20"/>
              </w:rPr>
              <w:t>10/100M</w:t>
            </w:r>
            <w:r>
              <w:rPr>
                <w:rFonts w:hint="eastAsia" w:ascii="宋体" w:hAnsi="宋体" w:cs="宋体"/>
                <w:color w:val="000000"/>
                <w:kern w:val="0"/>
                <w:sz w:val="20"/>
                <w:szCs w:val="20"/>
              </w:rPr>
              <w:t>网络接口（上行通讯）（</w:t>
            </w:r>
            <w:r>
              <w:rPr>
                <w:rFonts w:ascii="宋体" w:hAnsi="宋体" w:cs="宋体"/>
                <w:color w:val="000000"/>
                <w:kern w:val="0"/>
                <w:sz w:val="20"/>
                <w:szCs w:val="20"/>
              </w:rPr>
              <w:t>1</w:t>
            </w:r>
            <w:r>
              <w:rPr>
                <w:rFonts w:hint="eastAsia" w:ascii="宋体" w:hAnsi="宋体" w:cs="宋体"/>
                <w:color w:val="000000"/>
                <w:kern w:val="0"/>
                <w:sz w:val="20"/>
                <w:szCs w:val="20"/>
              </w:rPr>
              <w:t>）网关能实时对每个计量表的情况进行实时采集，如计量表用量、计量表当前状态、计量表告警信息等，单个计量表的信息采集时间≤</w:t>
            </w:r>
            <w:r>
              <w:rPr>
                <w:rFonts w:ascii="宋体" w:hAnsi="宋体" w:cs="宋体"/>
                <w:color w:val="000000"/>
                <w:kern w:val="0"/>
                <w:sz w:val="20"/>
                <w:szCs w:val="20"/>
              </w:rPr>
              <w:t>300ms</w:t>
            </w:r>
            <w:r>
              <w:rPr>
                <w:rFonts w:ascii="宋体" w:hAnsi="宋体" w:cs="宋体"/>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）网关能对下属计量表的阶段用量和告警等信息进行存储</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 xml:space="preserve"> </w:t>
            </w:r>
            <w:r>
              <w:rPr>
                <w:rFonts w:hint="eastAsia" w:ascii="宋体" w:hAnsi="宋体" w:cs="宋体"/>
                <w:color w:val="000000"/>
                <w:kern w:val="0"/>
                <w:sz w:val="20"/>
                <w:szCs w:val="20"/>
              </w:rPr>
              <w:t>数据网关控制功能：网关能够实现对计量表的应急控制，在紧急情况下，有权限的用户能通过网关实现对计量表的应急供电或断电操作</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4</w:t>
            </w:r>
            <w:r>
              <w:rPr>
                <w:rFonts w:hint="eastAsia" w:ascii="宋体" w:hAnsi="宋体" w:cs="宋体"/>
                <w:color w:val="000000"/>
                <w:kern w:val="0"/>
                <w:sz w:val="20"/>
                <w:szCs w:val="20"/>
              </w:rPr>
              <w:t>）数据网关触摸屏查询，有权限的用户可以直接通过数据网关上的触摸屏，查询到对应计量表的即时和历史数据、计量表状态、告警数据。</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5</w:t>
            </w:r>
            <w:r>
              <w:rPr>
                <w:rFonts w:hint="eastAsia" w:ascii="宋体" w:hAnsi="宋体" w:cs="宋体"/>
                <w:color w:val="000000"/>
                <w:kern w:val="0"/>
                <w:sz w:val="20"/>
                <w:szCs w:val="20"/>
              </w:rPr>
              <w:t>）</w:t>
            </w:r>
            <w:r>
              <w:rPr>
                <w:rFonts w:ascii="宋体" w:hAnsi="宋体" w:cs="宋体"/>
                <w:color w:val="000000"/>
                <w:kern w:val="0"/>
                <w:sz w:val="20"/>
                <w:szCs w:val="20"/>
              </w:rPr>
              <w:t xml:space="preserve"> </w:t>
            </w:r>
            <w:r>
              <w:rPr>
                <w:rFonts w:hint="eastAsia" w:ascii="宋体" w:hAnsi="宋体" w:cs="宋体"/>
                <w:color w:val="000000"/>
                <w:kern w:val="0"/>
                <w:sz w:val="20"/>
                <w:szCs w:val="20"/>
              </w:rPr>
              <w:t>网关触摸屏告警显示：低电、过流、恶性负载告警，并实时显示以及声音提示。</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6</w:t>
            </w:r>
            <w:r>
              <w:rPr>
                <w:rFonts w:hint="eastAsia" w:ascii="宋体" w:hAnsi="宋体" w:cs="宋体"/>
                <w:color w:val="000000"/>
                <w:kern w:val="0"/>
                <w:sz w:val="20"/>
                <w:szCs w:val="20"/>
              </w:rPr>
              <w:t>）定时管理表具开关、限流、恶性负载功能</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）对上位机与网关之间通过标准</w:t>
            </w:r>
            <w:r>
              <w:rPr>
                <w:rFonts w:ascii="宋体" w:hAnsi="宋体" w:cs="宋体"/>
                <w:color w:val="000000"/>
                <w:kern w:val="0"/>
                <w:sz w:val="20"/>
                <w:szCs w:val="20"/>
              </w:rPr>
              <w:t>XML</w:t>
            </w:r>
            <w:r>
              <w:rPr>
                <w:rFonts w:hint="eastAsia" w:ascii="宋体" w:hAnsi="宋体" w:cs="宋体"/>
                <w:color w:val="000000"/>
                <w:kern w:val="0"/>
                <w:sz w:val="20"/>
                <w:szCs w:val="20"/>
              </w:rPr>
              <w:t>文档进行传输并解析</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8</w:t>
            </w:r>
            <w:r>
              <w:rPr>
                <w:rFonts w:hint="eastAsia" w:ascii="宋体" w:hAnsi="宋体" w:cs="宋体"/>
                <w:color w:val="000000"/>
                <w:kern w:val="0"/>
                <w:sz w:val="20"/>
                <w:szCs w:val="20"/>
              </w:rPr>
              <w:t>）轮询本网关下所有计量表信息并保存；</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）支持</w:t>
            </w:r>
            <w:r>
              <w:rPr>
                <w:rFonts w:ascii="宋体" w:hAnsi="宋体" w:cs="宋体"/>
                <w:color w:val="000000"/>
                <w:kern w:val="0"/>
                <w:sz w:val="20"/>
                <w:szCs w:val="20"/>
              </w:rPr>
              <w:t>RS485</w:t>
            </w:r>
            <w:r>
              <w:rPr>
                <w:rFonts w:hint="eastAsia" w:ascii="宋体" w:hAnsi="宋体" w:cs="宋体"/>
                <w:color w:val="000000"/>
                <w:kern w:val="0"/>
                <w:sz w:val="20"/>
                <w:szCs w:val="20"/>
              </w:rPr>
              <w:t>通讯协议，一台网关至少能供</w:t>
            </w:r>
            <w:r>
              <w:rPr>
                <w:rFonts w:ascii="宋体" w:hAnsi="宋体" w:cs="宋体"/>
                <w:color w:val="000000"/>
                <w:kern w:val="0"/>
                <w:sz w:val="20"/>
                <w:szCs w:val="20"/>
              </w:rPr>
              <w:t>200</w:t>
            </w:r>
            <w:r>
              <w:rPr>
                <w:rFonts w:hint="eastAsia" w:ascii="宋体" w:hAnsi="宋体" w:cs="宋体"/>
                <w:color w:val="000000"/>
                <w:kern w:val="0"/>
                <w:sz w:val="20"/>
                <w:szCs w:val="20"/>
              </w:rPr>
              <w:t>个计量表进行数据的传输与控制；</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12</w:t>
            </w:r>
            <w:r>
              <w:rPr>
                <w:rFonts w:hint="eastAsia" w:ascii="宋体" w:hAnsi="宋体" w:cs="宋体"/>
                <w:color w:val="000000"/>
                <w:kern w:val="0"/>
                <w:sz w:val="20"/>
                <w:szCs w:val="20"/>
              </w:rPr>
              <w:t>）支持</w:t>
            </w:r>
            <w:r>
              <w:rPr>
                <w:rFonts w:ascii="宋体" w:hAnsi="宋体" w:cs="宋体"/>
                <w:color w:val="000000"/>
                <w:kern w:val="0"/>
                <w:sz w:val="20"/>
                <w:szCs w:val="20"/>
              </w:rPr>
              <w:t>TCP Server</w:t>
            </w:r>
            <w:r>
              <w:rPr>
                <w:rFonts w:hint="eastAsia" w:ascii="宋体" w:hAnsi="宋体" w:cs="宋体"/>
                <w:color w:val="000000"/>
                <w:kern w:val="0"/>
                <w:sz w:val="20"/>
                <w:szCs w:val="20"/>
              </w:rPr>
              <w:t>，</w:t>
            </w:r>
            <w:r>
              <w:rPr>
                <w:rFonts w:ascii="宋体" w:hAnsi="宋体" w:cs="宋体"/>
                <w:color w:val="000000"/>
                <w:kern w:val="0"/>
                <w:sz w:val="20"/>
                <w:szCs w:val="20"/>
              </w:rPr>
              <w:t>TCP client</w:t>
            </w:r>
            <w:r>
              <w:rPr>
                <w:rFonts w:hint="eastAsia" w:ascii="宋体" w:hAnsi="宋体" w:cs="宋体"/>
                <w:color w:val="000000"/>
                <w:kern w:val="0"/>
                <w:sz w:val="20"/>
                <w:szCs w:val="20"/>
              </w:rPr>
              <w:t>，</w:t>
            </w:r>
            <w:r>
              <w:rPr>
                <w:rFonts w:ascii="宋体" w:hAnsi="宋体" w:cs="宋体"/>
                <w:color w:val="000000"/>
                <w:kern w:val="0"/>
                <w:sz w:val="20"/>
                <w:szCs w:val="20"/>
              </w:rPr>
              <w:t>UDP</w:t>
            </w:r>
            <w:r>
              <w:rPr>
                <w:rFonts w:hint="eastAsia" w:ascii="宋体" w:hAnsi="宋体" w:cs="宋体"/>
                <w:color w:val="000000"/>
                <w:kern w:val="0"/>
                <w:sz w:val="20"/>
                <w:szCs w:val="20"/>
              </w:rPr>
              <w:t>，无线传输，和驱动程序模式；</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13</w:t>
            </w:r>
            <w:r>
              <w:rPr>
                <w:rFonts w:hint="eastAsia" w:ascii="宋体" w:hAnsi="宋体" w:cs="宋体"/>
                <w:color w:val="000000"/>
                <w:kern w:val="0"/>
                <w:sz w:val="20"/>
                <w:szCs w:val="20"/>
              </w:rPr>
              <w:t>）支持</w:t>
            </w:r>
            <w:r>
              <w:rPr>
                <w:rFonts w:ascii="宋体" w:hAnsi="宋体" w:cs="宋体"/>
                <w:color w:val="000000"/>
                <w:kern w:val="0"/>
                <w:sz w:val="20"/>
                <w:szCs w:val="20"/>
              </w:rPr>
              <w:t xml:space="preserve"> Web</w:t>
            </w:r>
            <w:r>
              <w:rPr>
                <w:rFonts w:hint="eastAsia" w:ascii="宋体" w:hAnsi="宋体" w:cs="宋体"/>
                <w:color w:val="000000"/>
                <w:kern w:val="0"/>
                <w:sz w:val="20"/>
                <w:szCs w:val="20"/>
              </w:rPr>
              <w:t>，</w:t>
            </w:r>
            <w:r>
              <w:rPr>
                <w:rFonts w:ascii="宋体" w:hAnsi="宋体" w:cs="宋体"/>
                <w:color w:val="000000"/>
                <w:kern w:val="0"/>
                <w:sz w:val="20"/>
                <w:szCs w:val="20"/>
              </w:rPr>
              <w:t>telnet</w:t>
            </w:r>
            <w:r>
              <w:rPr>
                <w:rFonts w:hint="eastAsia" w:ascii="宋体" w:hAnsi="宋体" w:cs="宋体"/>
                <w:color w:val="000000"/>
                <w:kern w:val="0"/>
                <w:sz w:val="20"/>
                <w:szCs w:val="20"/>
              </w:rPr>
              <w:t>和</w:t>
            </w:r>
            <w:r>
              <w:rPr>
                <w:rFonts w:ascii="宋体" w:hAnsi="宋体" w:cs="宋体"/>
                <w:color w:val="000000"/>
                <w:kern w:val="0"/>
                <w:sz w:val="20"/>
                <w:szCs w:val="20"/>
              </w:rPr>
              <w:t>serial console</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14</w:t>
            </w:r>
            <w:r>
              <w:rPr>
                <w:rFonts w:hint="eastAsia" w:ascii="宋体" w:hAnsi="宋体" w:cs="宋体"/>
                <w:color w:val="000000"/>
                <w:kern w:val="0"/>
                <w:sz w:val="20"/>
                <w:szCs w:val="20"/>
              </w:rPr>
              <w:t>）串口波特率范围</w:t>
            </w:r>
            <w:r>
              <w:rPr>
                <w:rFonts w:ascii="宋体" w:hAnsi="宋体" w:cs="宋体"/>
                <w:color w:val="000000"/>
                <w:kern w:val="0"/>
                <w:sz w:val="20"/>
                <w:szCs w:val="20"/>
              </w:rPr>
              <w:t>50</w:t>
            </w:r>
            <w:r>
              <w:rPr>
                <w:rFonts w:hint="eastAsia" w:ascii="宋体" w:hAnsi="宋体" w:cs="宋体"/>
                <w:color w:val="000000"/>
                <w:kern w:val="0"/>
                <w:sz w:val="20"/>
                <w:szCs w:val="20"/>
              </w:rPr>
              <w:t>～</w:t>
            </w:r>
            <w:r>
              <w:rPr>
                <w:rFonts w:ascii="宋体" w:hAnsi="宋体" w:cs="宋体"/>
                <w:color w:val="000000"/>
                <w:kern w:val="0"/>
                <w:sz w:val="20"/>
                <w:szCs w:val="20"/>
              </w:rPr>
              <w:t>56000bps</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15</w:t>
            </w:r>
            <w:r>
              <w:rPr>
                <w:rFonts w:hint="eastAsia" w:ascii="宋体" w:hAnsi="宋体" w:cs="宋体"/>
                <w:color w:val="000000"/>
                <w:kern w:val="0"/>
                <w:sz w:val="20"/>
                <w:szCs w:val="20"/>
              </w:rPr>
              <w:t>）工作电压：</w:t>
            </w:r>
            <w:r>
              <w:rPr>
                <w:rFonts w:ascii="宋体" w:hAnsi="宋体" w:cs="宋体"/>
                <w:color w:val="000000"/>
                <w:kern w:val="0"/>
                <w:sz w:val="20"/>
                <w:szCs w:val="20"/>
              </w:rPr>
              <w:t>AC220V</w:t>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16</w:t>
            </w:r>
            <w:r>
              <w:rPr>
                <w:rFonts w:hint="eastAsia" w:ascii="宋体" w:hAnsi="宋体" w:cs="宋体"/>
                <w:color w:val="000000"/>
                <w:kern w:val="0"/>
                <w:sz w:val="20"/>
                <w:szCs w:val="20"/>
              </w:rPr>
              <w:t>）工作温度：</w:t>
            </w:r>
            <w:r>
              <w:rPr>
                <w:rFonts w:ascii="宋体" w:hAnsi="宋体" w:cs="宋体"/>
                <w:color w:val="000000"/>
                <w:kern w:val="0"/>
                <w:sz w:val="20"/>
                <w:szCs w:val="20"/>
              </w:rPr>
              <w:t>-25</w:t>
            </w:r>
            <w:r>
              <w:rPr>
                <w:rFonts w:hint="eastAsia" w:ascii="宋体" w:hAnsi="宋体" w:cs="宋体"/>
                <w:color w:val="000000"/>
                <w:kern w:val="0"/>
                <w:sz w:val="20"/>
                <w:szCs w:val="20"/>
              </w:rPr>
              <w:t>℃～</w:t>
            </w:r>
            <w:r>
              <w:rPr>
                <w:rFonts w:ascii="宋体" w:hAnsi="宋体" w:cs="宋体"/>
                <w:color w:val="000000"/>
                <w:kern w:val="0"/>
                <w:sz w:val="20"/>
                <w:szCs w:val="20"/>
              </w:rPr>
              <w:t>70</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17</w:t>
            </w:r>
            <w:r>
              <w:rPr>
                <w:rFonts w:hint="eastAsia" w:ascii="宋体" w:hAnsi="宋体" w:cs="宋体"/>
                <w:color w:val="000000"/>
                <w:kern w:val="0"/>
                <w:sz w:val="20"/>
                <w:szCs w:val="20"/>
              </w:rPr>
              <w:t>）相对湿度：</w:t>
            </w:r>
            <w:r>
              <w:rPr>
                <w:rFonts w:ascii="宋体" w:hAnsi="宋体" w:cs="宋体"/>
                <w:color w:val="000000"/>
                <w:kern w:val="0"/>
                <w:sz w:val="20"/>
                <w:szCs w:val="20"/>
              </w:rPr>
              <w:t>5%</w:t>
            </w:r>
            <w:r>
              <w:rPr>
                <w:rFonts w:hint="eastAsia" w:ascii="宋体" w:hAnsi="宋体" w:cs="宋体"/>
                <w:color w:val="000000"/>
                <w:kern w:val="0"/>
                <w:sz w:val="20"/>
                <w:szCs w:val="20"/>
              </w:rPr>
              <w:t>～</w:t>
            </w:r>
            <w:r>
              <w:rPr>
                <w:rFonts w:ascii="宋体" w:hAnsi="宋体" w:cs="宋体"/>
                <w:color w:val="000000"/>
                <w:kern w:val="0"/>
                <w:sz w:val="20"/>
                <w:szCs w:val="20"/>
              </w:rPr>
              <w:t xml:space="preserve">95% </w:t>
            </w:r>
            <w:r>
              <w:rPr>
                <w:rFonts w:hint="eastAsia" w:ascii="宋体" w:hAnsi="宋体" w:cs="宋体"/>
                <w:color w:val="000000"/>
                <w:kern w:val="0"/>
                <w:sz w:val="20"/>
                <w:szCs w:val="20"/>
              </w:rPr>
              <w:t>无冷凝；</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18</w:t>
            </w:r>
            <w:r>
              <w:rPr>
                <w:rFonts w:hint="eastAsia" w:ascii="宋体" w:hAnsi="宋体" w:cs="宋体"/>
                <w:color w:val="000000"/>
                <w:kern w:val="0"/>
                <w:sz w:val="20"/>
                <w:szCs w:val="20"/>
              </w:rPr>
              <w:t>）功耗：≤</w:t>
            </w:r>
            <w:r>
              <w:rPr>
                <w:rFonts w:ascii="宋体" w:hAnsi="宋体" w:cs="宋体"/>
                <w:color w:val="000000"/>
                <w:kern w:val="0"/>
                <w:sz w:val="20"/>
                <w:szCs w:val="20"/>
              </w:rPr>
              <w:t>10W</w:t>
            </w:r>
            <w:r>
              <w:rPr>
                <w:rFonts w:ascii="宋体" w:hAnsi="宋体" w:cs="宋体"/>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19</w:t>
            </w:r>
            <w:r>
              <w:rPr>
                <w:rFonts w:hint="eastAsia" w:ascii="宋体" w:hAnsi="宋体" w:cs="宋体"/>
                <w:color w:val="000000"/>
                <w:kern w:val="0"/>
                <w:sz w:val="20"/>
                <w:szCs w:val="20"/>
              </w:rPr>
              <w:t>）绝缘电阻：各接口对外壳之间绝缘电阻＞</w:t>
            </w:r>
            <w:r>
              <w:rPr>
                <w:rFonts w:ascii="宋体" w:hAnsi="宋体" w:cs="宋体"/>
                <w:color w:val="000000"/>
                <w:kern w:val="0"/>
                <w:sz w:val="20"/>
                <w:szCs w:val="20"/>
              </w:rPr>
              <w:t>200M</w:t>
            </w:r>
            <w:r>
              <w:rPr>
                <w:rFonts w:hint="eastAsia" w:ascii="宋体" w:hAnsi="宋体" w:cs="宋体"/>
                <w:color w:val="000000"/>
                <w:kern w:val="0"/>
                <w:sz w:val="20"/>
                <w:szCs w:val="20"/>
              </w:rPr>
              <w:t>Ω；</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）电磁兼容：不低于</w:t>
            </w:r>
            <w:r>
              <w:rPr>
                <w:rFonts w:ascii="宋体" w:hAnsi="宋体" w:cs="宋体"/>
                <w:color w:val="000000"/>
                <w:kern w:val="0"/>
                <w:sz w:val="20"/>
                <w:szCs w:val="20"/>
              </w:rPr>
              <w:t>GB/T15153.1-1998  3</w:t>
            </w:r>
            <w:r>
              <w:rPr>
                <w:rFonts w:hint="eastAsia" w:ascii="宋体" w:hAnsi="宋体" w:cs="宋体"/>
                <w:color w:val="000000"/>
                <w:kern w:val="0"/>
                <w:sz w:val="20"/>
                <w:szCs w:val="20"/>
              </w:rPr>
              <w:t>级；</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21</w:t>
            </w:r>
            <w:r>
              <w:rPr>
                <w:rFonts w:hint="eastAsia" w:ascii="宋体" w:hAnsi="宋体" w:cs="宋体"/>
                <w:color w:val="000000"/>
                <w:kern w:val="0"/>
                <w:sz w:val="20"/>
                <w:szCs w:val="20"/>
              </w:rPr>
              <w:t>）防静电测试，接触放电</w:t>
            </w:r>
            <w:r>
              <w:rPr>
                <w:rFonts w:ascii="宋体" w:hAnsi="宋体" w:cs="宋体"/>
                <w:color w:val="000000"/>
                <w:kern w:val="0"/>
                <w:sz w:val="20"/>
                <w:szCs w:val="20"/>
              </w:rPr>
              <w:t>8000V</w:t>
            </w:r>
            <w:r>
              <w:rPr>
                <w:rFonts w:hint="eastAsia" w:ascii="宋体" w:hAnsi="宋体" w:cs="宋体"/>
                <w:color w:val="000000"/>
                <w:kern w:val="0"/>
                <w:sz w:val="20"/>
                <w:szCs w:val="20"/>
              </w:rPr>
              <w:t>，气隙放电</w:t>
            </w:r>
            <w:r>
              <w:rPr>
                <w:rFonts w:ascii="宋体" w:hAnsi="宋体" w:cs="宋体"/>
                <w:color w:val="000000"/>
                <w:kern w:val="0"/>
                <w:sz w:val="20"/>
                <w:szCs w:val="20"/>
              </w:rPr>
              <w:t>15000V</w:t>
            </w:r>
            <w:r>
              <w:rPr>
                <w:rFonts w:hint="eastAsia" w:ascii="宋体" w:hAnsi="宋体" w:cs="宋体"/>
                <w:color w:val="000000"/>
                <w:kern w:val="0"/>
                <w:sz w:val="20"/>
                <w:szCs w:val="20"/>
              </w:rPr>
              <w:t>的情况下，网关能正常工作</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22</w:t>
            </w:r>
            <w:r>
              <w:rPr>
                <w:rFonts w:hint="eastAsia" w:ascii="宋体" w:hAnsi="宋体" w:cs="宋体"/>
                <w:color w:val="000000"/>
                <w:kern w:val="0"/>
                <w:sz w:val="20"/>
                <w:szCs w:val="20"/>
              </w:rPr>
              <w:t>）快速瞬变脉冲群测试，在</w:t>
            </w:r>
            <w:r>
              <w:rPr>
                <w:rFonts w:ascii="宋体" w:hAnsi="宋体" w:cs="宋体"/>
                <w:color w:val="000000"/>
                <w:kern w:val="0"/>
                <w:sz w:val="20"/>
                <w:szCs w:val="20"/>
              </w:rPr>
              <w:t>2000V</w:t>
            </w:r>
            <w:r>
              <w:rPr>
                <w:rFonts w:hint="eastAsia" w:ascii="宋体" w:hAnsi="宋体" w:cs="宋体"/>
                <w:color w:val="000000"/>
                <w:kern w:val="0"/>
                <w:sz w:val="20"/>
                <w:szCs w:val="20"/>
              </w:rPr>
              <w:t>、</w:t>
            </w:r>
            <w:r>
              <w:rPr>
                <w:rFonts w:ascii="宋体" w:hAnsi="宋体" w:cs="宋体"/>
                <w:color w:val="000000"/>
                <w:kern w:val="0"/>
                <w:sz w:val="20"/>
                <w:szCs w:val="20"/>
              </w:rPr>
              <w:t>5KHz</w:t>
            </w:r>
            <w:r>
              <w:rPr>
                <w:rFonts w:hint="eastAsia" w:ascii="宋体" w:hAnsi="宋体" w:cs="宋体"/>
                <w:color w:val="000000"/>
                <w:kern w:val="0"/>
                <w:sz w:val="20"/>
                <w:szCs w:val="20"/>
              </w:rPr>
              <w:t>的快速瞬变脉冲群干扰下，网关能正常工作</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23</w:t>
            </w:r>
            <w:r>
              <w:rPr>
                <w:rFonts w:hint="eastAsia" w:ascii="宋体" w:hAnsi="宋体" w:cs="宋体"/>
                <w:color w:val="000000"/>
                <w:kern w:val="0"/>
                <w:sz w:val="20"/>
                <w:szCs w:val="20"/>
              </w:rPr>
              <w:t>）浪涌测试，网关能够承受</w:t>
            </w:r>
            <w:r>
              <w:rPr>
                <w:rFonts w:ascii="宋体" w:hAnsi="宋体" w:cs="宋体"/>
                <w:color w:val="000000"/>
                <w:kern w:val="0"/>
                <w:sz w:val="20"/>
                <w:szCs w:val="20"/>
              </w:rPr>
              <w:t>2000V</w:t>
            </w:r>
            <w:r>
              <w:rPr>
                <w:rFonts w:hint="eastAsia" w:ascii="宋体" w:hAnsi="宋体" w:cs="宋体"/>
                <w:color w:val="000000"/>
                <w:kern w:val="0"/>
                <w:sz w:val="20"/>
                <w:szCs w:val="20"/>
              </w:rPr>
              <w:t>的浪涌冲击。</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台</w:t>
            </w:r>
          </w:p>
        </w:tc>
        <w:tc>
          <w:tcPr>
            <w:tcW w:w="712" w:type="dxa"/>
            <w:vAlign w:val="center"/>
          </w:tcPr>
          <w:p>
            <w:pPr>
              <w:widowControl/>
              <w:jc w:val="center"/>
              <w:textAlignment w:val="center"/>
              <w:rPr>
                <w:rFonts w:ascii="宋体" w:cs="Times New Roman"/>
                <w:sz w:val="22"/>
                <w:szCs w:val="22"/>
                <w:highlight w:val="yellow"/>
              </w:rPr>
            </w:pPr>
            <w:r>
              <w:rPr>
                <w:rFonts w:ascii="宋体" w:hAnsi="宋体" w:cs="宋体"/>
                <w:color w:val="000000"/>
                <w:kern w:val="0"/>
                <w:sz w:val="22"/>
                <w:szCs w:val="22"/>
              </w:rPr>
              <w:t>2</w:t>
            </w:r>
          </w:p>
        </w:tc>
        <w:tc>
          <w:tcPr>
            <w:tcW w:w="705" w:type="dxa"/>
            <w:vAlign w:val="center"/>
          </w:tcPr>
          <w:p>
            <w:pPr>
              <w:adjustRightInd w:val="0"/>
              <w:snapToGrid w:val="0"/>
              <w:jc w:val="left"/>
              <w:rPr>
                <w:rFonts w:ascii="宋体" w:cs="Times New Roman"/>
                <w:sz w:val="22"/>
                <w:szCs w:val="22"/>
              </w:rPr>
            </w:pPr>
            <w:r>
              <w:rPr>
                <w:rFonts w:hint="eastAsia" w:ascii="宋体" w:hAnsi="宋体" w:cs="宋体"/>
                <w:color w:val="000000"/>
                <w:kern w:val="0"/>
                <w:sz w:val="20"/>
                <w:szCs w:val="20"/>
              </w:rPr>
              <w:t>杭州萧山机场内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4</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水控采集器</w:t>
            </w:r>
          </w:p>
        </w:tc>
        <w:tc>
          <w:tcPr>
            <w:tcW w:w="6111" w:type="dxa"/>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M-bus</w:t>
            </w:r>
            <w:r>
              <w:rPr>
                <w:rFonts w:hint="eastAsia" w:ascii="宋体" w:hAnsi="宋体" w:cs="宋体"/>
                <w:color w:val="000000"/>
                <w:kern w:val="0"/>
                <w:sz w:val="20"/>
                <w:szCs w:val="20"/>
              </w:rPr>
              <w:t>远传冷、热水表的数据采集和控制，可管理</w:t>
            </w:r>
            <w:r>
              <w:rPr>
                <w:rFonts w:ascii="宋体" w:hAnsi="宋体" w:cs="宋体"/>
                <w:color w:val="000000"/>
                <w:kern w:val="0"/>
                <w:sz w:val="20"/>
                <w:szCs w:val="20"/>
              </w:rPr>
              <w:t>256</w:t>
            </w:r>
            <w:r>
              <w:rPr>
                <w:rFonts w:hint="eastAsia" w:ascii="宋体" w:hAnsi="宋体" w:cs="宋体"/>
                <w:color w:val="000000"/>
                <w:kern w:val="0"/>
                <w:sz w:val="20"/>
                <w:szCs w:val="20"/>
              </w:rPr>
              <w:t>块表，采集器上行通信采用</w:t>
            </w:r>
            <w:r>
              <w:rPr>
                <w:rFonts w:ascii="宋体" w:hAnsi="宋体" w:cs="宋体"/>
                <w:color w:val="000000"/>
                <w:kern w:val="0"/>
                <w:sz w:val="20"/>
                <w:szCs w:val="20"/>
              </w:rPr>
              <w:t>RS485</w:t>
            </w:r>
            <w:r>
              <w:rPr>
                <w:rFonts w:hint="eastAsia" w:ascii="宋体" w:hAnsi="宋体" w:cs="宋体"/>
                <w:color w:val="000000"/>
                <w:kern w:val="0"/>
                <w:sz w:val="20"/>
                <w:szCs w:val="20"/>
              </w:rPr>
              <w:t>方式</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台</w:t>
            </w:r>
          </w:p>
        </w:tc>
        <w:tc>
          <w:tcPr>
            <w:tcW w:w="712" w:type="dxa"/>
            <w:vAlign w:val="center"/>
          </w:tcPr>
          <w:p>
            <w:pPr>
              <w:widowControl/>
              <w:jc w:val="center"/>
              <w:textAlignment w:val="center"/>
              <w:rPr>
                <w:rFonts w:ascii="宋体" w:cs="Times New Roman"/>
                <w:sz w:val="22"/>
                <w:szCs w:val="22"/>
                <w:highlight w:val="yellow"/>
              </w:rPr>
            </w:pPr>
            <w:r>
              <w:rPr>
                <w:rFonts w:ascii="宋体" w:hAnsi="宋体" w:cs="宋体"/>
                <w:color w:val="000000"/>
                <w:kern w:val="0"/>
                <w:sz w:val="22"/>
                <w:szCs w:val="22"/>
              </w:rPr>
              <w:t>4</w:t>
            </w:r>
          </w:p>
        </w:tc>
        <w:tc>
          <w:tcPr>
            <w:tcW w:w="705" w:type="dxa"/>
            <w:vMerge w:val="restart"/>
            <w:vAlign w:val="center"/>
          </w:tcPr>
          <w:p>
            <w:pPr>
              <w:adjustRightInd w:val="0"/>
              <w:snapToGrid w:val="0"/>
              <w:jc w:val="left"/>
              <w:rPr>
                <w:rFonts w:ascii="宋体" w:cs="Times New Roman"/>
                <w:color w:val="000000"/>
                <w:kern w:val="0"/>
                <w:sz w:val="20"/>
                <w:szCs w:val="20"/>
              </w:rPr>
            </w:pPr>
            <w:r>
              <w:rPr>
                <w:rFonts w:hint="eastAsia" w:ascii="宋体" w:hAnsi="宋体" w:cs="宋体"/>
                <w:color w:val="000000"/>
                <w:kern w:val="0"/>
                <w:sz w:val="20"/>
                <w:szCs w:val="20"/>
              </w:rPr>
              <w:t>杭州萧山机场内</w:t>
            </w:r>
          </w:p>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5</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系统接入费用</w:t>
            </w:r>
          </w:p>
        </w:tc>
        <w:tc>
          <w:tcPr>
            <w:tcW w:w="611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接入原已有一卡通系统</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项</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2"/>
                <w:szCs w:val="22"/>
              </w:rPr>
              <w:t>1</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6</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控制线</w:t>
            </w:r>
          </w:p>
        </w:tc>
        <w:tc>
          <w:tcPr>
            <w:tcW w:w="6111" w:type="dxa"/>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RVSP4x1.0</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米</w:t>
            </w:r>
          </w:p>
        </w:tc>
        <w:tc>
          <w:tcPr>
            <w:tcW w:w="712" w:type="dxa"/>
            <w:vAlign w:val="center"/>
          </w:tcPr>
          <w:p>
            <w:pPr>
              <w:widowControl/>
              <w:jc w:val="center"/>
              <w:textAlignment w:val="center"/>
              <w:rPr>
                <w:rFonts w:ascii="宋体" w:cs="Times New Roman"/>
                <w:sz w:val="22"/>
                <w:szCs w:val="22"/>
                <w:highlight w:val="yellow"/>
              </w:rPr>
            </w:pPr>
            <w:r>
              <w:rPr>
                <w:rFonts w:ascii="宋体" w:hAnsi="宋体" w:cs="宋体"/>
                <w:color w:val="000000"/>
                <w:kern w:val="0"/>
                <w:sz w:val="22"/>
                <w:szCs w:val="22"/>
              </w:rPr>
              <w:t>1500</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7</w:t>
            </w:r>
          </w:p>
        </w:tc>
        <w:tc>
          <w:tcPr>
            <w:tcW w:w="829" w:type="dxa"/>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类</w:t>
            </w:r>
            <w:r>
              <w:rPr>
                <w:rFonts w:ascii="宋体" w:hAnsi="宋体" w:cs="宋体"/>
                <w:color w:val="000000"/>
                <w:kern w:val="0"/>
                <w:sz w:val="20"/>
                <w:szCs w:val="20"/>
              </w:rPr>
              <w:t>4</w:t>
            </w:r>
            <w:r>
              <w:rPr>
                <w:rFonts w:hint="eastAsia" w:ascii="宋体" w:hAnsi="宋体" w:cs="宋体"/>
                <w:color w:val="000000"/>
                <w:kern w:val="0"/>
                <w:sz w:val="20"/>
                <w:szCs w:val="20"/>
              </w:rPr>
              <w:t>对非屏蔽双绞线</w:t>
            </w:r>
          </w:p>
        </w:tc>
        <w:tc>
          <w:tcPr>
            <w:tcW w:w="611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六类、十字骨架、</w:t>
            </w:r>
            <w:r>
              <w:rPr>
                <w:rFonts w:ascii="宋体" w:hAnsi="宋体" w:cs="宋体"/>
                <w:color w:val="000000"/>
                <w:kern w:val="0"/>
                <w:sz w:val="20"/>
                <w:szCs w:val="20"/>
              </w:rPr>
              <w:t>23AWG</w:t>
            </w:r>
            <w:r>
              <w:rPr>
                <w:rFonts w:hint="eastAsia" w:ascii="宋体" w:hAnsi="宋体" w:cs="宋体"/>
                <w:color w:val="000000"/>
                <w:kern w:val="0"/>
                <w:sz w:val="20"/>
                <w:szCs w:val="20"/>
              </w:rPr>
              <w:t>、</w:t>
            </w:r>
            <w:r>
              <w:rPr>
                <w:rFonts w:ascii="宋体" w:hAnsi="宋体" w:cs="宋体"/>
                <w:color w:val="000000"/>
                <w:kern w:val="0"/>
                <w:sz w:val="20"/>
                <w:szCs w:val="20"/>
              </w:rPr>
              <w:t>LSZH</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米</w:t>
            </w:r>
          </w:p>
        </w:tc>
        <w:tc>
          <w:tcPr>
            <w:tcW w:w="712" w:type="dxa"/>
            <w:vAlign w:val="center"/>
          </w:tcPr>
          <w:p>
            <w:pPr>
              <w:widowControl/>
              <w:jc w:val="center"/>
              <w:textAlignment w:val="center"/>
              <w:rPr>
                <w:rFonts w:ascii="宋体" w:cs="Times New Roman"/>
                <w:sz w:val="22"/>
                <w:szCs w:val="22"/>
                <w:highlight w:val="yellow"/>
              </w:rPr>
            </w:pPr>
            <w:r>
              <w:rPr>
                <w:rFonts w:ascii="宋体" w:hAnsi="宋体" w:cs="宋体"/>
                <w:color w:val="000000"/>
                <w:kern w:val="0"/>
                <w:sz w:val="22"/>
                <w:szCs w:val="22"/>
              </w:rPr>
              <w:t>1000</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15" w:type="dxa"/>
            <w:vAlign w:val="center"/>
          </w:tcPr>
          <w:p>
            <w:pPr>
              <w:widowControl/>
              <w:jc w:val="left"/>
              <w:textAlignment w:val="center"/>
              <w:rPr>
                <w:rFonts w:ascii="宋体" w:cs="Times New Roman"/>
                <w:b/>
                <w:bCs/>
                <w:color w:val="000000"/>
                <w:kern w:val="0"/>
                <w:sz w:val="20"/>
                <w:szCs w:val="20"/>
              </w:rPr>
            </w:pPr>
            <w:r>
              <w:rPr>
                <w:rFonts w:hint="eastAsia" w:ascii="宋体" w:hAnsi="宋体" w:cs="宋体"/>
                <w:b/>
                <w:bCs/>
                <w:color w:val="000000"/>
                <w:kern w:val="0"/>
                <w:sz w:val="20"/>
                <w:szCs w:val="20"/>
              </w:rPr>
              <w:t>二、</w:t>
            </w:r>
          </w:p>
        </w:tc>
        <w:tc>
          <w:tcPr>
            <w:tcW w:w="829" w:type="dxa"/>
            <w:vAlign w:val="center"/>
          </w:tcPr>
          <w:p>
            <w:pPr>
              <w:widowControl/>
              <w:jc w:val="center"/>
              <w:textAlignment w:val="center"/>
              <w:rPr>
                <w:rFonts w:ascii="宋体" w:cs="Times New Roman"/>
                <w:b/>
                <w:bCs/>
                <w:color w:val="000000"/>
                <w:kern w:val="0"/>
                <w:sz w:val="20"/>
                <w:szCs w:val="20"/>
              </w:rPr>
            </w:pPr>
            <w:r>
              <w:rPr>
                <w:rFonts w:hint="eastAsia" w:ascii="宋体" w:hAnsi="宋体" w:cs="宋体"/>
                <w:b/>
                <w:bCs/>
                <w:color w:val="000000"/>
                <w:kern w:val="0"/>
                <w:sz w:val="20"/>
                <w:szCs w:val="20"/>
              </w:rPr>
              <w:t>电控系统</w:t>
            </w:r>
          </w:p>
        </w:tc>
        <w:tc>
          <w:tcPr>
            <w:tcW w:w="6111" w:type="dxa"/>
            <w:vAlign w:val="center"/>
          </w:tcPr>
          <w:p>
            <w:pPr>
              <w:widowControl/>
              <w:jc w:val="center"/>
              <w:textAlignment w:val="center"/>
              <w:rPr>
                <w:rFonts w:ascii="宋体" w:cs="Times New Roman"/>
                <w:color w:val="000000"/>
                <w:kern w:val="0"/>
                <w:sz w:val="20"/>
                <w:szCs w:val="20"/>
              </w:rPr>
            </w:pPr>
          </w:p>
        </w:tc>
        <w:tc>
          <w:tcPr>
            <w:tcW w:w="771" w:type="dxa"/>
            <w:vAlign w:val="center"/>
          </w:tcPr>
          <w:p>
            <w:pPr>
              <w:widowControl/>
              <w:jc w:val="center"/>
              <w:textAlignment w:val="center"/>
              <w:rPr>
                <w:rFonts w:ascii="宋体" w:cs="Times New Roman"/>
                <w:color w:val="000000"/>
                <w:kern w:val="0"/>
                <w:sz w:val="20"/>
                <w:szCs w:val="20"/>
              </w:rPr>
            </w:pPr>
          </w:p>
        </w:tc>
        <w:tc>
          <w:tcPr>
            <w:tcW w:w="712" w:type="dxa"/>
            <w:vAlign w:val="center"/>
          </w:tcPr>
          <w:p>
            <w:pPr>
              <w:widowControl/>
              <w:jc w:val="center"/>
              <w:textAlignment w:val="center"/>
              <w:rPr>
                <w:rFonts w:ascii="宋体" w:cs="Times New Roman"/>
                <w:color w:val="000000"/>
                <w:kern w:val="0"/>
                <w:sz w:val="22"/>
                <w:szCs w:val="22"/>
              </w:rPr>
            </w:pPr>
          </w:p>
        </w:tc>
        <w:tc>
          <w:tcPr>
            <w:tcW w:w="705" w:type="dxa"/>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1</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智能计量模块</w:t>
            </w:r>
          </w:p>
        </w:tc>
        <w:tc>
          <w:tcPr>
            <w:tcW w:w="6111" w:type="dxa"/>
          </w:tcPr>
          <w:p>
            <w:pPr>
              <w:widowControl/>
              <w:jc w:val="left"/>
              <w:rPr>
                <w:rFonts w:ascii="宋体" w:cs="Times New Roman"/>
                <w:color w:val="000000"/>
                <w:kern w:val="0"/>
                <w:sz w:val="20"/>
                <w:szCs w:val="20"/>
              </w:rPr>
            </w:pPr>
            <w:r>
              <w:rPr>
                <w:rFonts w:hint="eastAsia" w:ascii="宋体" w:hAnsi="宋体" w:cs="宋体"/>
                <w:color w:val="000000"/>
                <w:kern w:val="0"/>
                <w:sz w:val="20"/>
                <w:szCs w:val="20"/>
              </w:rPr>
              <w:t>所有电表能实现在杭州机场后勤服务微信服务号在线充值，线上充值线下直接使用，不需要通过补助机圈存领取补助。提供详细日、月、年各水、电表度数、金额等数据报表。</w:t>
            </w:r>
            <w:r>
              <w:rPr>
                <w:rFonts w:ascii="宋体" w:cs="Times New Roman"/>
                <w:color w:val="000000"/>
                <w:kern w:val="0"/>
                <w:sz w:val="20"/>
                <w:szCs w:val="20"/>
              </w:rPr>
              <w:br w:type="textWrapping"/>
            </w:r>
            <w:r>
              <w:rPr>
                <w:rFonts w:hint="eastAsia" w:ascii="宋体" w:hAnsi="宋体" w:cs="宋体"/>
                <w:color w:val="000000"/>
                <w:kern w:val="0"/>
                <w:sz w:val="20"/>
                <w:szCs w:val="20"/>
              </w:rPr>
              <w:t>实现远程预付费、水电联控实现水表欠费不停水但是断电的功能。有功电能计量，长期工作免调试；采用一户一表，独立封装（非多用户表）；表具要求内置继电器和控制、计量程序，可自主进行计量、检测、控制等。表具自带不低于</w:t>
            </w:r>
            <w:r>
              <w:rPr>
                <w:rFonts w:ascii="宋体" w:hAnsi="宋体" w:cs="宋体"/>
                <w:color w:val="000000"/>
                <w:kern w:val="0"/>
                <w:sz w:val="20"/>
                <w:szCs w:val="20"/>
              </w:rPr>
              <w:t>10</w:t>
            </w:r>
            <w:r>
              <w:rPr>
                <w:rFonts w:hint="eastAsia" w:ascii="宋体" w:hAnsi="宋体" w:cs="宋体"/>
                <w:color w:val="000000"/>
                <w:kern w:val="0"/>
                <w:sz w:val="20"/>
                <w:szCs w:val="20"/>
              </w:rPr>
              <w:t>类常用电器的数据库。表具脱机运行（断开软件以及其他通讯设备后），表具按照设置参数自动运行，运行计量、控制、恶性负载识别、限流等功能。</w:t>
            </w:r>
            <w:r>
              <w:rPr>
                <w:rFonts w:ascii="宋体" w:cs="Times New Roman"/>
                <w:color w:val="000000"/>
                <w:kern w:val="0"/>
                <w:sz w:val="20"/>
                <w:szCs w:val="20"/>
              </w:rPr>
              <w:br w:type="textWrapping"/>
            </w:r>
            <w:r>
              <w:rPr>
                <w:rFonts w:hint="eastAsia" w:ascii="宋体" w:hAnsi="宋体" w:cs="宋体"/>
                <w:color w:val="000000"/>
                <w:kern w:val="0"/>
                <w:sz w:val="20"/>
                <w:szCs w:val="20"/>
              </w:rPr>
              <w:t>安装方式：每个表具必须对应一个房间，安全方便，更换时不影响其它房间正常使用。</w:t>
            </w:r>
            <w:r>
              <w:rPr>
                <w:rFonts w:ascii="宋体" w:cs="Times New Roman"/>
                <w:color w:val="000000"/>
                <w:kern w:val="0"/>
                <w:sz w:val="20"/>
                <w:szCs w:val="20"/>
              </w:rPr>
              <w:br w:type="textWrapping"/>
            </w:r>
            <w:r>
              <w:rPr>
                <w:rFonts w:hint="eastAsia" w:ascii="宋体" w:hAnsi="宋体" w:cs="宋体"/>
                <w:color w:val="000000"/>
                <w:kern w:val="0"/>
                <w:sz w:val="20"/>
                <w:szCs w:val="20"/>
              </w:rPr>
              <w:t>工作场所：室内</w:t>
            </w:r>
            <w:r>
              <w:rPr>
                <w:rFonts w:ascii="宋体" w:cs="Times New Roman"/>
                <w:color w:val="000000"/>
                <w:kern w:val="0"/>
                <w:sz w:val="20"/>
                <w:szCs w:val="20"/>
              </w:rPr>
              <w:br w:type="textWrapping"/>
            </w:r>
            <w:r>
              <w:rPr>
                <w:rFonts w:hint="eastAsia" w:ascii="宋体" w:hAnsi="宋体" w:cs="宋体"/>
                <w:color w:val="000000"/>
                <w:kern w:val="0"/>
                <w:sz w:val="20"/>
                <w:szCs w:val="20"/>
              </w:rPr>
              <w:t>参比电压：</w:t>
            </w:r>
            <w:r>
              <w:rPr>
                <w:rFonts w:ascii="宋体" w:hAnsi="宋体" w:cs="宋体"/>
                <w:color w:val="000000"/>
                <w:kern w:val="0"/>
                <w:sz w:val="20"/>
                <w:szCs w:val="20"/>
              </w:rPr>
              <w:t>220VAC</w:t>
            </w:r>
            <w:r>
              <w:rPr>
                <w:rFonts w:hint="eastAsia" w:ascii="宋体" w:hAnsi="宋体" w:cs="宋体"/>
                <w:color w:val="000000"/>
                <w:kern w:val="0"/>
                <w:sz w:val="20"/>
                <w:szCs w:val="20"/>
              </w:rPr>
              <w:t>；电流规格：</w:t>
            </w:r>
            <w:r>
              <w:rPr>
                <w:rFonts w:ascii="宋体" w:hAnsi="宋体" w:cs="宋体"/>
                <w:color w:val="000000"/>
                <w:kern w:val="0"/>
                <w:sz w:val="20"/>
                <w:szCs w:val="20"/>
              </w:rPr>
              <w:t>10</w:t>
            </w:r>
            <w:r>
              <w:rPr>
                <w:rFonts w:hint="eastAsia" w:ascii="宋体" w:hAnsi="宋体" w:cs="宋体"/>
                <w:color w:val="000000"/>
                <w:kern w:val="0"/>
                <w:sz w:val="20"/>
                <w:szCs w:val="20"/>
              </w:rPr>
              <w:t>（</w:t>
            </w:r>
            <w:r>
              <w:rPr>
                <w:rFonts w:ascii="宋体" w:hAnsi="宋体" w:cs="宋体"/>
                <w:color w:val="000000"/>
                <w:kern w:val="0"/>
                <w:sz w:val="20"/>
                <w:szCs w:val="20"/>
              </w:rPr>
              <w:t>40</w:t>
            </w:r>
            <w:r>
              <w:rPr>
                <w:rFonts w:hint="eastAsia" w:ascii="宋体" w:hAnsi="宋体" w:cs="宋体"/>
                <w:color w:val="000000"/>
                <w:kern w:val="0"/>
                <w:sz w:val="20"/>
                <w:szCs w:val="20"/>
              </w:rPr>
              <w:t>）</w:t>
            </w:r>
            <w:r>
              <w:rPr>
                <w:rFonts w:ascii="宋体" w:hAnsi="宋体" w:cs="宋体"/>
                <w:color w:val="000000"/>
                <w:kern w:val="0"/>
                <w:sz w:val="20"/>
                <w:szCs w:val="20"/>
              </w:rPr>
              <w:t>A</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电表常数：</w:t>
            </w:r>
            <w:r>
              <w:rPr>
                <w:rFonts w:ascii="宋体" w:hAnsi="宋体" w:cs="宋体"/>
                <w:color w:val="000000"/>
                <w:kern w:val="0"/>
                <w:sz w:val="20"/>
                <w:szCs w:val="20"/>
              </w:rPr>
              <w:t>3200imp/kWh</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参比频率：</w:t>
            </w:r>
            <w:r>
              <w:rPr>
                <w:rFonts w:ascii="宋体" w:hAnsi="宋体" w:cs="宋体"/>
                <w:color w:val="000000"/>
                <w:kern w:val="0"/>
                <w:sz w:val="20"/>
                <w:szCs w:val="20"/>
              </w:rPr>
              <w:t>50Hz</w:t>
            </w:r>
            <w:r>
              <w:rPr>
                <w:rFonts w:hint="eastAsia" w:ascii="宋体" w:hAnsi="宋体" w:cs="宋体"/>
                <w:color w:val="000000"/>
                <w:kern w:val="0"/>
                <w:sz w:val="20"/>
                <w:szCs w:val="20"/>
              </w:rPr>
              <w:t>；</w:t>
            </w:r>
            <w:r>
              <w:rPr>
                <w:rFonts w:ascii="宋体" w:hAnsi="宋体" w:cs="宋体"/>
                <w:color w:val="000000"/>
                <w:kern w:val="0"/>
                <w:sz w:val="20"/>
                <w:szCs w:val="20"/>
              </w:rPr>
              <w:t xml:space="preserve"> </w:t>
            </w:r>
            <w:r>
              <w:rPr>
                <w:rFonts w:ascii="宋体" w:hAnsi="宋体" w:cs="宋体"/>
                <w:color w:val="000000"/>
                <w:kern w:val="0"/>
                <w:sz w:val="20"/>
                <w:szCs w:val="20"/>
              </w:rPr>
              <w:br w:type="textWrapping"/>
            </w:r>
            <w:r>
              <w:rPr>
                <w:rFonts w:hint="eastAsia" w:ascii="宋体" w:hAnsi="宋体" w:cs="宋体"/>
                <w:color w:val="000000"/>
                <w:kern w:val="0"/>
                <w:sz w:val="20"/>
                <w:szCs w:val="20"/>
              </w:rPr>
              <w:t>工作电压范围：交流</w:t>
            </w:r>
            <w:r>
              <w:rPr>
                <w:rFonts w:ascii="宋体" w:hAnsi="宋体" w:cs="宋体"/>
                <w:color w:val="000000"/>
                <w:kern w:val="0"/>
                <w:sz w:val="20"/>
                <w:szCs w:val="20"/>
              </w:rPr>
              <w:t>220VAC</w:t>
            </w: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；计量精度：</w:t>
            </w:r>
            <w:r>
              <w:rPr>
                <w:rFonts w:ascii="宋体" w:hAnsi="宋体" w:cs="宋体"/>
                <w:color w:val="000000"/>
                <w:kern w:val="0"/>
                <w:sz w:val="20"/>
                <w:szCs w:val="20"/>
              </w:rPr>
              <w:t>1.0</w:t>
            </w:r>
            <w:r>
              <w:rPr>
                <w:rFonts w:hint="eastAsia" w:ascii="宋体" w:hAnsi="宋体" w:cs="宋体"/>
                <w:color w:val="000000"/>
                <w:kern w:val="0"/>
                <w:sz w:val="20"/>
                <w:szCs w:val="20"/>
              </w:rPr>
              <w:t>级（以计量器具型式批准证书为准）</w:t>
            </w:r>
            <w:r>
              <w:rPr>
                <w:rFonts w:ascii="宋体" w:cs="Times New Roman"/>
                <w:color w:val="000000"/>
                <w:kern w:val="0"/>
                <w:sz w:val="20"/>
                <w:szCs w:val="20"/>
              </w:rPr>
              <w:br w:type="textWrapping"/>
            </w:r>
            <w:r>
              <w:rPr>
                <w:rFonts w:hint="eastAsia" w:ascii="宋体" w:hAnsi="宋体" w:cs="宋体"/>
                <w:color w:val="000000"/>
                <w:kern w:val="0"/>
                <w:sz w:val="20"/>
                <w:szCs w:val="20"/>
              </w:rPr>
              <w:t>功耗：≤</w:t>
            </w:r>
            <w:r>
              <w:rPr>
                <w:rFonts w:ascii="宋体" w:hAnsi="宋体" w:cs="宋体"/>
                <w:color w:val="000000"/>
                <w:kern w:val="0"/>
                <w:sz w:val="20"/>
                <w:szCs w:val="20"/>
              </w:rPr>
              <w:t>2W</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绝缘电阻：≥</w:t>
            </w:r>
            <w:r>
              <w:rPr>
                <w:rFonts w:ascii="宋体" w:hAnsi="宋体" w:cs="宋体"/>
                <w:color w:val="000000"/>
                <w:kern w:val="0"/>
                <w:sz w:val="20"/>
                <w:szCs w:val="20"/>
              </w:rPr>
              <w:t>5M</w:t>
            </w:r>
            <w:r>
              <w:rPr>
                <w:rFonts w:hint="eastAsia" w:ascii="宋体" w:hAnsi="宋体" w:cs="宋体"/>
                <w:color w:val="000000"/>
                <w:kern w:val="0"/>
                <w:sz w:val="20"/>
                <w:szCs w:val="20"/>
              </w:rPr>
              <w:t>Ω；额定电流：</w:t>
            </w:r>
            <w:r>
              <w:rPr>
                <w:rFonts w:ascii="宋体" w:hAnsi="宋体" w:cs="宋体"/>
                <w:color w:val="000000"/>
                <w:kern w:val="0"/>
                <w:sz w:val="20"/>
                <w:szCs w:val="20"/>
              </w:rPr>
              <w:t>10</w:t>
            </w:r>
            <w:r>
              <w:rPr>
                <w:rFonts w:hint="eastAsia" w:ascii="宋体" w:hAnsi="宋体" w:cs="宋体"/>
                <w:color w:val="000000"/>
                <w:kern w:val="0"/>
                <w:sz w:val="20"/>
                <w:szCs w:val="20"/>
              </w:rPr>
              <w:t>（</w:t>
            </w:r>
            <w:r>
              <w:rPr>
                <w:rFonts w:ascii="宋体" w:hAnsi="宋体" w:cs="宋体"/>
                <w:color w:val="000000"/>
                <w:kern w:val="0"/>
                <w:sz w:val="20"/>
                <w:szCs w:val="20"/>
              </w:rPr>
              <w:t>40</w:t>
            </w:r>
            <w:r>
              <w:rPr>
                <w:rFonts w:hint="eastAsia" w:ascii="宋体" w:hAnsi="宋体" w:cs="宋体"/>
                <w:color w:val="000000"/>
                <w:kern w:val="0"/>
                <w:sz w:val="20"/>
                <w:szCs w:val="20"/>
              </w:rPr>
              <w:t>）</w:t>
            </w:r>
            <w:r>
              <w:rPr>
                <w:rFonts w:ascii="宋体" w:hAnsi="宋体" w:cs="宋体"/>
                <w:color w:val="000000"/>
                <w:kern w:val="0"/>
                <w:sz w:val="20"/>
                <w:szCs w:val="20"/>
              </w:rPr>
              <w:t>A</w:t>
            </w:r>
            <w:r>
              <w:rPr>
                <w:rFonts w:hint="eastAsia" w:ascii="宋体" w:hAnsi="宋体" w:cs="宋体"/>
                <w:color w:val="000000"/>
                <w:kern w:val="0"/>
                <w:sz w:val="20"/>
                <w:szCs w:val="20"/>
              </w:rPr>
              <w:t>（以计量器具型式批准证书为准）；数据保存：断电后，数据保存时间≥</w:t>
            </w:r>
            <w:r>
              <w:rPr>
                <w:rFonts w:ascii="宋体" w:hAnsi="宋体" w:cs="宋体"/>
                <w:color w:val="000000"/>
                <w:kern w:val="0"/>
                <w:sz w:val="20"/>
                <w:szCs w:val="20"/>
              </w:rPr>
              <w:t>10</w:t>
            </w:r>
            <w:r>
              <w:rPr>
                <w:rFonts w:hint="eastAsia" w:ascii="宋体" w:hAnsi="宋体" w:cs="宋体"/>
                <w:color w:val="000000"/>
                <w:kern w:val="0"/>
                <w:sz w:val="20"/>
                <w:szCs w:val="20"/>
              </w:rPr>
              <w:t>年。</w:t>
            </w:r>
            <w:r>
              <w:rPr>
                <w:rFonts w:ascii="宋体" w:cs="Times New Roman"/>
                <w:color w:val="000000"/>
                <w:kern w:val="0"/>
                <w:sz w:val="20"/>
                <w:szCs w:val="20"/>
              </w:rPr>
              <w:br w:type="textWrapping"/>
            </w:r>
            <w:r>
              <w:rPr>
                <w:rFonts w:ascii="宋体" w:hAnsi="宋体" w:cs="宋体"/>
                <w:color w:val="000000"/>
                <w:kern w:val="0"/>
                <w:sz w:val="20"/>
                <w:szCs w:val="20"/>
              </w:rPr>
              <w:t>485</w:t>
            </w:r>
            <w:r>
              <w:rPr>
                <w:rFonts w:hint="eastAsia" w:ascii="宋体" w:hAnsi="宋体" w:cs="宋体"/>
                <w:color w:val="000000"/>
                <w:kern w:val="0"/>
                <w:sz w:val="20"/>
                <w:szCs w:val="20"/>
              </w:rPr>
              <w:t>通讯，波特率</w:t>
            </w:r>
            <w:r>
              <w:rPr>
                <w:rFonts w:ascii="宋体" w:hAnsi="宋体" w:cs="宋体"/>
                <w:color w:val="000000"/>
                <w:kern w:val="0"/>
                <w:sz w:val="20"/>
                <w:szCs w:val="20"/>
              </w:rPr>
              <w:t>2400/9600</w:t>
            </w:r>
            <w:r>
              <w:rPr>
                <w:rFonts w:hint="eastAsia" w:ascii="宋体" w:hAnsi="宋体" w:cs="宋体"/>
                <w:color w:val="000000"/>
                <w:kern w:val="0"/>
                <w:sz w:val="20"/>
                <w:szCs w:val="20"/>
              </w:rPr>
              <w:t>可设</w:t>
            </w:r>
            <w:r>
              <w:rPr>
                <w:rFonts w:ascii="宋体" w:hAnsi="宋体" w:cs="宋体"/>
                <w:color w:val="000000"/>
                <w:kern w:val="0"/>
                <w:sz w:val="20"/>
                <w:szCs w:val="20"/>
              </w:rPr>
              <w:t xml:space="preserve"> </w:t>
            </w:r>
            <w:r>
              <w:rPr>
                <w:rFonts w:ascii="宋体" w:hAnsi="宋体" w:cs="宋体"/>
                <w:color w:val="000000"/>
                <w:kern w:val="0"/>
                <w:sz w:val="20"/>
                <w:szCs w:val="20"/>
              </w:rPr>
              <w:br w:type="textWrapping"/>
            </w:r>
            <w:r>
              <w:rPr>
                <w:rFonts w:hint="eastAsia" w:ascii="宋体" w:hAnsi="宋体" w:cs="宋体"/>
                <w:color w:val="000000"/>
                <w:kern w:val="0"/>
                <w:sz w:val="20"/>
                <w:szCs w:val="20"/>
              </w:rPr>
              <w:t>电表响应时间</w:t>
            </w:r>
            <w:r>
              <w:rPr>
                <w:rFonts w:ascii="宋体" w:hAnsi="宋体" w:cs="宋体"/>
                <w:color w:val="000000"/>
                <w:kern w:val="0"/>
                <w:sz w:val="20"/>
                <w:szCs w:val="20"/>
              </w:rPr>
              <w:t>&lt;100ms</w:t>
            </w:r>
            <w:r>
              <w:rPr>
                <w:rFonts w:ascii="宋体" w:hAnsi="宋体" w:cs="宋体"/>
                <w:color w:val="000000"/>
                <w:kern w:val="0"/>
                <w:sz w:val="20"/>
                <w:szCs w:val="20"/>
              </w:rPr>
              <w:br w:type="textWrapping"/>
            </w:r>
            <w:r>
              <w:rPr>
                <w:rFonts w:ascii="宋体" w:hAnsi="宋体" w:cs="宋体"/>
                <w:color w:val="000000"/>
                <w:kern w:val="0"/>
                <w:sz w:val="20"/>
                <w:szCs w:val="20"/>
              </w:rPr>
              <w:t>EMC</w:t>
            </w:r>
            <w:r>
              <w:rPr>
                <w:rFonts w:hint="eastAsia" w:ascii="宋体" w:hAnsi="宋体" w:cs="宋体"/>
                <w:color w:val="000000"/>
                <w:kern w:val="0"/>
                <w:sz w:val="20"/>
                <w:szCs w:val="20"/>
              </w:rPr>
              <w:t>抗扰度能达到</w:t>
            </w:r>
            <w:r>
              <w:rPr>
                <w:rFonts w:ascii="宋体" w:hAnsi="宋体" w:cs="宋体"/>
                <w:color w:val="000000"/>
                <w:kern w:val="0"/>
                <w:sz w:val="20"/>
                <w:szCs w:val="20"/>
              </w:rPr>
              <w:t>B</w:t>
            </w:r>
            <w:r>
              <w:rPr>
                <w:rFonts w:hint="eastAsia" w:ascii="宋体" w:hAnsi="宋体" w:cs="宋体"/>
                <w:color w:val="000000"/>
                <w:kern w:val="0"/>
                <w:sz w:val="20"/>
                <w:szCs w:val="20"/>
              </w:rPr>
              <w:t>级标准</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台</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2"/>
                <w:szCs w:val="22"/>
              </w:rPr>
              <w:t>185</w:t>
            </w:r>
          </w:p>
        </w:tc>
        <w:tc>
          <w:tcPr>
            <w:tcW w:w="705" w:type="dxa"/>
            <w:vAlign w:val="center"/>
          </w:tcPr>
          <w:p>
            <w:pPr>
              <w:adjustRightInd w:val="0"/>
              <w:snapToGrid w:val="0"/>
              <w:jc w:val="left"/>
              <w:rPr>
                <w:rFonts w:ascii="宋体" w:cs="Times New Roman"/>
                <w:color w:val="000000"/>
                <w:kern w:val="0"/>
                <w:sz w:val="20"/>
                <w:szCs w:val="20"/>
              </w:rPr>
            </w:pPr>
            <w:r>
              <w:rPr>
                <w:rFonts w:hint="eastAsia" w:ascii="宋体" w:hAnsi="宋体" w:cs="宋体"/>
                <w:color w:val="000000"/>
                <w:kern w:val="0"/>
                <w:sz w:val="20"/>
                <w:szCs w:val="20"/>
              </w:rPr>
              <w:t>杭州萧山机场内</w:t>
            </w:r>
          </w:p>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2</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数据网关</w:t>
            </w:r>
          </w:p>
        </w:tc>
        <w:tc>
          <w:tcPr>
            <w:tcW w:w="6111" w:type="dxa"/>
          </w:tcPr>
          <w:p>
            <w:pPr>
              <w:widowControl/>
              <w:jc w:val="left"/>
              <w:textAlignment w:val="top"/>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）网关能实时对每个计量表的情况进行实时采集，如计量表用量、计量表当前状态、计量表告警信息等，单个计量表的信息采集时间≤</w:t>
            </w:r>
            <w:r>
              <w:rPr>
                <w:rFonts w:ascii="宋体" w:hAnsi="宋体" w:cs="宋体"/>
                <w:color w:val="000000"/>
                <w:kern w:val="0"/>
                <w:sz w:val="20"/>
                <w:szCs w:val="20"/>
              </w:rPr>
              <w:t>300ms</w:t>
            </w:r>
            <w:r>
              <w:rPr>
                <w:rFonts w:ascii="宋体" w:hAnsi="宋体" w:cs="宋体"/>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）网关能对下属计量表的阶段用量和告警等信息进行存储</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）数据网关控制功能：网关能够实现对计量表的应急控制，在紧急情况下，有权限的用户能通过网关实现对计量表的应急供电或断电操作</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4</w:t>
            </w:r>
            <w:r>
              <w:rPr>
                <w:rFonts w:hint="eastAsia" w:ascii="宋体" w:hAnsi="宋体" w:cs="宋体"/>
                <w:color w:val="000000"/>
                <w:kern w:val="0"/>
                <w:sz w:val="20"/>
                <w:szCs w:val="20"/>
              </w:rPr>
              <w:t>）数据网关触摸屏查询，有权限的用户可以直接通过数据网关上的触摸屏，查询到对应计量表的即时和历史数据、计量表状态、告警数据。</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5</w:t>
            </w:r>
            <w:r>
              <w:rPr>
                <w:rFonts w:hint="eastAsia" w:ascii="宋体" w:hAnsi="宋体" w:cs="宋体"/>
                <w:color w:val="000000"/>
                <w:kern w:val="0"/>
                <w:sz w:val="20"/>
                <w:szCs w:val="20"/>
              </w:rPr>
              <w:t>）网关触摸屏告警显示：低电、过流、恶性负载告警，并实时显示以及声音提示。</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6</w:t>
            </w:r>
            <w:r>
              <w:rPr>
                <w:rFonts w:hint="eastAsia" w:ascii="宋体" w:hAnsi="宋体" w:cs="宋体"/>
                <w:color w:val="000000"/>
                <w:kern w:val="0"/>
                <w:sz w:val="20"/>
                <w:szCs w:val="20"/>
              </w:rPr>
              <w:t>）定时管理表具开关、限流、恶性负载功能</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）对上位机与网关之间通过标准</w:t>
            </w:r>
            <w:r>
              <w:rPr>
                <w:rFonts w:ascii="宋体" w:hAnsi="宋体" w:cs="宋体"/>
                <w:color w:val="000000"/>
                <w:kern w:val="0"/>
                <w:sz w:val="20"/>
                <w:szCs w:val="20"/>
              </w:rPr>
              <w:t>XML</w:t>
            </w:r>
            <w:r>
              <w:rPr>
                <w:rFonts w:hint="eastAsia" w:ascii="宋体" w:hAnsi="宋体" w:cs="宋体"/>
                <w:color w:val="000000"/>
                <w:kern w:val="0"/>
                <w:sz w:val="20"/>
                <w:szCs w:val="20"/>
              </w:rPr>
              <w:t>文档进行传输并解析</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8</w:t>
            </w:r>
            <w:r>
              <w:rPr>
                <w:rFonts w:hint="eastAsia" w:ascii="宋体" w:hAnsi="宋体" w:cs="宋体"/>
                <w:color w:val="000000"/>
                <w:kern w:val="0"/>
                <w:sz w:val="20"/>
                <w:szCs w:val="20"/>
              </w:rPr>
              <w:t>）轮询本网关下所有计量表信息并保存；</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）支持</w:t>
            </w:r>
            <w:r>
              <w:rPr>
                <w:rFonts w:ascii="宋体" w:hAnsi="宋体" w:cs="宋体"/>
                <w:color w:val="000000"/>
                <w:kern w:val="0"/>
                <w:sz w:val="20"/>
                <w:szCs w:val="20"/>
              </w:rPr>
              <w:t>RS485</w:t>
            </w:r>
            <w:r>
              <w:rPr>
                <w:rFonts w:hint="eastAsia" w:ascii="宋体" w:hAnsi="宋体" w:cs="宋体"/>
                <w:color w:val="000000"/>
                <w:kern w:val="0"/>
                <w:sz w:val="20"/>
                <w:szCs w:val="20"/>
              </w:rPr>
              <w:t>通讯协议，一台网关至少能供</w:t>
            </w:r>
            <w:r>
              <w:rPr>
                <w:rFonts w:ascii="宋体" w:hAnsi="宋体" w:cs="宋体"/>
                <w:color w:val="000000"/>
                <w:kern w:val="0"/>
                <w:sz w:val="20"/>
                <w:szCs w:val="20"/>
              </w:rPr>
              <w:t>200</w:t>
            </w:r>
            <w:r>
              <w:rPr>
                <w:rFonts w:hint="eastAsia" w:ascii="宋体" w:hAnsi="宋体" w:cs="宋体"/>
                <w:color w:val="000000"/>
                <w:kern w:val="0"/>
                <w:sz w:val="20"/>
                <w:szCs w:val="20"/>
              </w:rPr>
              <w:t>个计量表进行数据的传输与控制；</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）技术参数：支持</w:t>
            </w:r>
            <w:r>
              <w:rPr>
                <w:rFonts w:ascii="宋体" w:hAnsi="宋体" w:cs="宋体"/>
                <w:color w:val="000000"/>
                <w:kern w:val="0"/>
                <w:sz w:val="20"/>
                <w:szCs w:val="20"/>
              </w:rPr>
              <w:t>3</w:t>
            </w:r>
            <w:r>
              <w:rPr>
                <w:rFonts w:hint="eastAsia" w:ascii="宋体" w:hAnsi="宋体" w:cs="宋体"/>
                <w:color w:val="000000"/>
                <w:kern w:val="0"/>
                <w:sz w:val="20"/>
                <w:szCs w:val="20"/>
              </w:rPr>
              <w:t>个以上</w:t>
            </w:r>
            <w:r>
              <w:rPr>
                <w:rFonts w:ascii="宋体" w:hAnsi="宋体" w:cs="宋体"/>
                <w:color w:val="000000"/>
                <w:kern w:val="0"/>
                <w:sz w:val="20"/>
                <w:szCs w:val="20"/>
              </w:rPr>
              <w:t>485</w:t>
            </w:r>
            <w:r>
              <w:rPr>
                <w:rFonts w:hint="eastAsia" w:ascii="宋体" w:hAnsi="宋体" w:cs="宋体"/>
                <w:color w:val="000000"/>
                <w:kern w:val="0"/>
                <w:sz w:val="20"/>
                <w:szCs w:val="20"/>
              </w:rPr>
              <w:t>通讯串口和</w:t>
            </w:r>
            <w:r>
              <w:rPr>
                <w:rFonts w:ascii="宋体" w:hAnsi="宋体" w:cs="宋体"/>
                <w:color w:val="000000"/>
                <w:kern w:val="0"/>
                <w:sz w:val="20"/>
                <w:szCs w:val="20"/>
              </w:rPr>
              <w:t>1</w:t>
            </w:r>
            <w:r>
              <w:rPr>
                <w:rFonts w:hint="eastAsia" w:ascii="宋体" w:hAnsi="宋体" w:cs="宋体"/>
                <w:color w:val="000000"/>
                <w:kern w:val="0"/>
                <w:sz w:val="20"/>
                <w:szCs w:val="20"/>
              </w:rPr>
              <w:t>个</w:t>
            </w:r>
            <w:r>
              <w:rPr>
                <w:rFonts w:ascii="宋体" w:hAnsi="宋体" w:cs="宋体"/>
                <w:color w:val="000000"/>
                <w:kern w:val="0"/>
                <w:sz w:val="20"/>
                <w:szCs w:val="20"/>
              </w:rPr>
              <w:t>100M</w:t>
            </w:r>
            <w:r>
              <w:rPr>
                <w:rFonts w:hint="eastAsia" w:ascii="宋体" w:hAnsi="宋体" w:cs="宋体"/>
                <w:color w:val="000000"/>
                <w:kern w:val="0"/>
                <w:sz w:val="20"/>
                <w:szCs w:val="20"/>
              </w:rPr>
              <w:t>网络接口</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11</w:t>
            </w:r>
            <w:r>
              <w:rPr>
                <w:rFonts w:hint="eastAsia" w:ascii="宋体" w:hAnsi="宋体" w:cs="宋体"/>
                <w:color w:val="000000"/>
                <w:kern w:val="0"/>
                <w:sz w:val="20"/>
                <w:szCs w:val="20"/>
              </w:rPr>
              <w:t>）采用</w:t>
            </w:r>
            <w:r>
              <w:rPr>
                <w:rFonts w:ascii="宋体" w:hAnsi="宋体" w:cs="宋体"/>
                <w:color w:val="000000"/>
                <w:kern w:val="0"/>
                <w:sz w:val="20"/>
                <w:szCs w:val="20"/>
              </w:rPr>
              <w:t>ARM11</w:t>
            </w:r>
            <w:r>
              <w:rPr>
                <w:rFonts w:hint="eastAsia" w:ascii="宋体" w:hAnsi="宋体" w:cs="宋体"/>
                <w:color w:val="000000"/>
                <w:kern w:val="0"/>
                <w:sz w:val="20"/>
                <w:szCs w:val="20"/>
              </w:rPr>
              <w:t>芯片</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12</w:t>
            </w:r>
            <w:r>
              <w:rPr>
                <w:rFonts w:hint="eastAsia" w:ascii="宋体" w:hAnsi="宋体" w:cs="宋体"/>
                <w:color w:val="000000"/>
                <w:kern w:val="0"/>
                <w:sz w:val="20"/>
                <w:szCs w:val="20"/>
              </w:rPr>
              <w:t>）支持</w:t>
            </w:r>
            <w:r>
              <w:rPr>
                <w:rFonts w:ascii="宋体" w:hAnsi="宋体" w:cs="宋体"/>
                <w:color w:val="000000"/>
                <w:kern w:val="0"/>
                <w:sz w:val="20"/>
                <w:szCs w:val="20"/>
              </w:rPr>
              <w:t>TCP Server</w:t>
            </w:r>
            <w:r>
              <w:rPr>
                <w:rFonts w:hint="eastAsia" w:ascii="宋体" w:hAnsi="宋体" w:cs="宋体"/>
                <w:color w:val="000000"/>
                <w:kern w:val="0"/>
                <w:sz w:val="20"/>
                <w:szCs w:val="20"/>
              </w:rPr>
              <w:t>，</w:t>
            </w:r>
            <w:r>
              <w:rPr>
                <w:rFonts w:ascii="宋体" w:hAnsi="宋体" w:cs="宋体"/>
                <w:color w:val="000000"/>
                <w:kern w:val="0"/>
                <w:sz w:val="20"/>
                <w:szCs w:val="20"/>
              </w:rPr>
              <w:t>TCP client</w:t>
            </w:r>
            <w:r>
              <w:rPr>
                <w:rFonts w:hint="eastAsia" w:ascii="宋体" w:hAnsi="宋体" w:cs="宋体"/>
                <w:color w:val="000000"/>
                <w:kern w:val="0"/>
                <w:sz w:val="20"/>
                <w:szCs w:val="20"/>
              </w:rPr>
              <w:t>，</w:t>
            </w:r>
            <w:r>
              <w:rPr>
                <w:rFonts w:ascii="宋体" w:hAnsi="宋体" w:cs="宋体"/>
                <w:color w:val="000000"/>
                <w:kern w:val="0"/>
                <w:sz w:val="20"/>
                <w:szCs w:val="20"/>
              </w:rPr>
              <w:t>UDP</w:t>
            </w:r>
            <w:r>
              <w:rPr>
                <w:rFonts w:hint="eastAsia" w:ascii="宋体" w:hAnsi="宋体" w:cs="宋体"/>
                <w:color w:val="000000"/>
                <w:kern w:val="0"/>
                <w:sz w:val="20"/>
                <w:szCs w:val="20"/>
              </w:rPr>
              <w:t>，无线传输，和驱动程序模式；</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13</w:t>
            </w:r>
            <w:r>
              <w:rPr>
                <w:rFonts w:hint="eastAsia" w:ascii="宋体" w:hAnsi="宋体" w:cs="宋体"/>
                <w:color w:val="000000"/>
                <w:kern w:val="0"/>
                <w:sz w:val="20"/>
                <w:szCs w:val="20"/>
              </w:rPr>
              <w:t>）支持</w:t>
            </w:r>
            <w:r>
              <w:rPr>
                <w:rFonts w:ascii="宋体" w:hAnsi="宋体" w:cs="宋体"/>
                <w:color w:val="000000"/>
                <w:kern w:val="0"/>
                <w:sz w:val="20"/>
                <w:szCs w:val="20"/>
              </w:rPr>
              <w:t xml:space="preserve"> Web</w:t>
            </w:r>
            <w:r>
              <w:rPr>
                <w:rFonts w:hint="eastAsia" w:ascii="宋体" w:hAnsi="宋体" w:cs="宋体"/>
                <w:color w:val="000000"/>
                <w:kern w:val="0"/>
                <w:sz w:val="20"/>
                <w:szCs w:val="20"/>
              </w:rPr>
              <w:t>，</w:t>
            </w:r>
            <w:r>
              <w:rPr>
                <w:rFonts w:ascii="宋体" w:hAnsi="宋体" w:cs="宋体"/>
                <w:color w:val="000000"/>
                <w:kern w:val="0"/>
                <w:sz w:val="20"/>
                <w:szCs w:val="20"/>
              </w:rPr>
              <w:t>telnet</w:t>
            </w:r>
            <w:r>
              <w:rPr>
                <w:rFonts w:hint="eastAsia" w:ascii="宋体" w:hAnsi="宋体" w:cs="宋体"/>
                <w:color w:val="000000"/>
                <w:kern w:val="0"/>
                <w:sz w:val="20"/>
                <w:szCs w:val="20"/>
              </w:rPr>
              <w:t>和</w:t>
            </w:r>
            <w:r>
              <w:rPr>
                <w:rFonts w:ascii="宋体" w:hAnsi="宋体" w:cs="宋体"/>
                <w:color w:val="000000"/>
                <w:kern w:val="0"/>
                <w:sz w:val="20"/>
                <w:szCs w:val="20"/>
              </w:rPr>
              <w:t>serial console</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14</w:t>
            </w:r>
            <w:r>
              <w:rPr>
                <w:rFonts w:hint="eastAsia" w:ascii="宋体" w:hAnsi="宋体" w:cs="宋体"/>
                <w:color w:val="000000"/>
                <w:kern w:val="0"/>
                <w:sz w:val="20"/>
                <w:szCs w:val="20"/>
              </w:rPr>
              <w:t>）串口波特率范围</w:t>
            </w:r>
            <w:r>
              <w:rPr>
                <w:rFonts w:ascii="宋体" w:hAnsi="宋体" w:cs="宋体"/>
                <w:color w:val="000000"/>
                <w:kern w:val="0"/>
                <w:sz w:val="20"/>
                <w:szCs w:val="20"/>
              </w:rPr>
              <w:t>50</w:t>
            </w:r>
            <w:r>
              <w:rPr>
                <w:rFonts w:hint="eastAsia" w:ascii="宋体" w:hAnsi="宋体" w:cs="宋体"/>
                <w:color w:val="000000"/>
                <w:kern w:val="0"/>
                <w:sz w:val="20"/>
                <w:szCs w:val="20"/>
              </w:rPr>
              <w:t>～</w:t>
            </w:r>
            <w:r>
              <w:rPr>
                <w:rFonts w:ascii="宋体" w:hAnsi="宋体" w:cs="宋体"/>
                <w:color w:val="000000"/>
                <w:kern w:val="0"/>
                <w:sz w:val="20"/>
                <w:szCs w:val="20"/>
              </w:rPr>
              <w:t>56000bps</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15</w:t>
            </w:r>
            <w:r>
              <w:rPr>
                <w:rFonts w:hint="eastAsia" w:ascii="宋体" w:hAnsi="宋体" w:cs="宋体"/>
                <w:color w:val="000000"/>
                <w:kern w:val="0"/>
                <w:sz w:val="20"/>
                <w:szCs w:val="20"/>
              </w:rPr>
              <w:t>）工作电压：</w:t>
            </w:r>
            <w:r>
              <w:rPr>
                <w:rFonts w:ascii="宋体" w:hAnsi="宋体" w:cs="宋体"/>
                <w:color w:val="000000"/>
                <w:kern w:val="0"/>
                <w:sz w:val="20"/>
                <w:szCs w:val="20"/>
              </w:rPr>
              <w:t>AC220V</w:t>
            </w:r>
            <w:r>
              <w:rPr>
                <w:rFonts w:hint="eastAsia" w:ascii="宋体" w:hAnsi="宋体" w:cs="宋体"/>
                <w:color w:val="000000"/>
                <w:kern w:val="0"/>
                <w:sz w:val="20"/>
                <w:szCs w:val="20"/>
              </w:rPr>
              <w:t>±</w:t>
            </w:r>
            <w:r>
              <w:rPr>
                <w:rFonts w:ascii="宋体" w:hAnsi="宋体" w:cs="宋体"/>
                <w:color w:val="000000"/>
                <w:kern w:val="0"/>
                <w:sz w:val="20"/>
                <w:szCs w:val="20"/>
              </w:rPr>
              <w:t>10%</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16</w:t>
            </w:r>
            <w:r>
              <w:rPr>
                <w:rFonts w:hint="eastAsia" w:ascii="宋体" w:hAnsi="宋体" w:cs="宋体"/>
                <w:color w:val="000000"/>
                <w:kern w:val="0"/>
                <w:sz w:val="20"/>
                <w:szCs w:val="20"/>
              </w:rPr>
              <w:t>）工作温度：</w:t>
            </w:r>
            <w:r>
              <w:rPr>
                <w:rFonts w:ascii="宋体" w:hAnsi="宋体" w:cs="宋体"/>
                <w:color w:val="000000"/>
                <w:kern w:val="0"/>
                <w:sz w:val="20"/>
                <w:szCs w:val="20"/>
              </w:rPr>
              <w:t>-25</w:t>
            </w:r>
            <w:r>
              <w:rPr>
                <w:rFonts w:hint="eastAsia" w:ascii="宋体" w:hAnsi="宋体" w:cs="宋体"/>
                <w:color w:val="000000"/>
                <w:kern w:val="0"/>
                <w:sz w:val="20"/>
                <w:szCs w:val="20"/>
              </w:rPr>
              <w:t>℃～</w:t>
            </w:r>
            <w:r>
              <w:rPr>
                <w:rFonts w:ascii="宋体" w:hAnsi="宋体" w:cs="宋体"/>
                <w:color w:val="000000"/>
                <w:kern w:val="0"/>
                <w:sz w:val="20"/>
                <w:szCs w:val="20"/>
              </w:rPr>
              <w:t>70</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17</w:t>
            </w:r>
            <w:r>
              <w:rPr>
                <w:rFonts w:hint="eastAsia" w:ascii="宋体" w:hAnsi="宋体" w:cs="宋体"/>
                <w:color w:val="000000"/>
                <w:kern w:val="0"/>
                <w:sz w:val="20"/>
                <w:szCs w:val="20"/>
              </w:rPr>
              <w:t>）相对湿度：</w:t>
            </w:r>
            <w:r>
              <w:rPr>
                <w:rFonts w:ascii="宋体" w:hAnsi="宋体" w:cs="宋体"/>
                <w:color w:val="000000"/>
                <w:kern w:val="0"/>
                <w:sz w:val="20"/>
                <w:szCs w:val="20"/>
              </w:rPr>
              <w:t>5%</w:t>
            </w:r>
            <w:r>
              <w:rPr>
                <w:rFonts w:hint="eastAsia" w:ascii="宋体" w:hAnsi="宋体" w:cs="宋体"/>
                <w:color w:val="000000"/>
                <w:kern w:val="0"/>
                <w:sz w:val="20"/>
                <w:szCs w:val="20"/>
              </w:rPr>
              <w:t>～</w:t>
            </w:r>
            <w:r>
              <w:rPr>
                <w:rFonts w:ascii="宋体" w:hAnsi="宋体" w:cs="宋体"/>
                <w:color w:val="000000"/>
                <w:kern w:val="0"/>
                <w:sz w:val="20"/>
                <w:szCs w:val="20"/>
              </w:rPr>
              <w:t xml:space="preserve">95% </w:t>
            </w:r>
            <w:r>
              <w:rPr>
                <w:rFonts w:hint="eastAsia" w:ascii="宋体" w:hAnsi="宋体" w:cs="宋体"/>
                <w:color w:val="000000"/>
                <w:kern w:val="0"/>
                <w:sz w:val="20"/>
                <w:szCs w:val="20"/>
              </w:rPr>
              <w:t>无冷凝；</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18</w:t>
            </w:r>
            <w:r>
              <w:rPr>
                <w:rFonts w:hint="eastAsia" w:ascii="宋体" w:hAnsi="宋体" w:cs="宋体"/>
                <w:color w:val="000000"/>
                <w:kern w:val="0"/>
                <w:sz w:val="20"/>
                <w:szCs w:val="20"/>
              </w:rPr>
              <w:t>）功耗：≤</w:t>
            </w:r>
            <w:r>
              <w:rPr>
                <w:rFonts w:ascii="宋体" w:hAnsi="宋体" w:cs="宋体"/>
                <w:color w:val="000000"/>
                <w:kern w:val="0"/>
                <w:sz w:val="20"/>
                <w:szCs w:val="20"/>
              </w:rPr>
              <w:t>10W</w:t>
            </w:r>
            <w:r>
              <w:rPr>
                <w:rFonts w:ascii="宋体" w:hAnsi="宋体" w:cs="宋体"/>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19</w:t>
            </w:r>
            <w:r>
              <w:rPr>
                <w:rFonts w:hint="eastAsia" w:ascii="宋体" w:hAnsi="宋体" w:cs="宋体"/>
                <w:color w:val="000000"/>
                <w:kern w:val="0"/>
                <w:sz w:val="20"/>
                <w:szCs w:val="20"/>
              </w:rPr>
              <w:t>）绝缘电阻：各接口对外壳之间绝缘电阻＞</w:t>
            </w:r>
            <w:r>
              <w:rPr>
                <w:rFonts w:ascii="宋体" w:hAnsi="宋体" w:cs="宋体"/>
                <w:color w:val="000000"/>
                <w:kern w:val="0"/>
                <w:sz w:val="20"/>
                <w:szCs w:val="20"/>
              </w:rPr>
              <w:t>200M</w:t>
            </w:r>
            <w:r>
              <w:rPr>
                <w:rFonts w:hint="eastAsia" w:ascii="宋体" w:hAnsi="宋体" w:cs="宋体"/>
                <w:color w:val="000000"/>
                <w:kern w:val="0"/>
                <w:sz w:val="20"/>
                <w:szCs w:val="20"/>
              </w:rPr>
              <w:t>Ω；</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20</w:t>
            </w:r>
            <w:r>
              <w:rPr>
                <w:rFonts w:hint="eastAsia" w:ascii="宋体" w:hAnsi="宋体" w:cs="宋体"/>
                <w:color w:val="000000"/>
                <w:kern w:val="0"/>
                <w:sz w:val="20"/>
                <w:szCs w:val="20"/>
              </w:rPr>
              <w:t>）电磁兼容：不低于</w:t>
            </w:r>
            <w:r>
              <w:rPr>
                <w:rFonts w:ascii="宋体" w:hAnsi="宋体" w:cs="宋体"/>
                <w:color w:val="000000"/>
                <w:kern w:val="0"/>
                <w:sz w:val="20"/>
                <w:szCs w:val="20"/>
              </w:rPr>
              <w:t>GB/T15153.1-1998  3</w:t>
            </w:r>
            <w:r>
              <w:rPr>
                <w:rFonts w:hint="eastAsia" w:ascii="宋体" w:hAnsi="宋体" w:cs="宋体"/>
                <w:color w:val="000000"/>
                <w:kern w:val="0"/>
                <w:sz w:val="20"/>
                <w:szCs w:val="20"/>
              </w:rPr>
              <w:t>级；</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21</w:t>
            </w:r>
            <w:r>
              <w:rPr>
                <w:rFonts w:hint="eastAsia" w:ascii="宋体" w:hAnsi="宋体" w:cs="宋体"/>
                <w:color w:val="000000"/>
                <w:kern w:val="0"/>
                <w:sz w:val="20"/>
                <w:szCs w:val="20"/>
              </w:rPr>
              <w:t>）防静电测试，接触放电</w:t>
            </w:r>
            <w:r>
              <w:rPr>
                <w:rFonts w:ascii="宋体" w:hAnsi="宋体" w:cs="宋体"/>
                <w:color w:val="000000"/>
                <w:kern w:val="0"/>
                <w:sz w:val="20"/>
                <w:szCs w:val="20"/>
              </w:rPr>
              <w:t>8000V</w:t>
            </w:r>
            <w:r>
              <w:rPr>
                <w:rFonts w:hint="eastAsia" w:ascii="宋体" w:hAnsi="宋体" w:cs="宋体"/>
                <w:color w:val="000000"/>
                <w:kern w:val="0"/>
                <w:sz w:val="20"/>
                <w:szCs w:val="20"/>
              </w:rPr>
              <w:t>，气隙放电</w:t>
            </w:r>
            <w:r>
              <w:rPr>
                <w:rFonts w:ascii="宋体" w:hAnsi="宋体" w:cs="宋体"/>
                <w:color w:val="000000"/>
                <w:kern w:val="0"/>
                <w:sz w:val="20"/>
                <w:szCs w:val="20"/>
              </w:rPr>
              <w:t>15000V</w:t>
            </w:r>
            <w:r>
              <w:rPr>
                <w:rFonts w:hint="eastAsia" w:ascii="宋体" w:hAnsi="宋体" w:cs="宋体"/>
                <w:color w:val="000000"/>
                <w:kern w:val="0"/>
                <w:sz w:val="20"/>
                <w:szCs w:val="20"/>
              </w:rPr>
              <w:t>的情况下，网关能正常工作</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22</w:t>
            </w:r>
            <w:r>
              <w:rPr>
                <w:rFonts w:hint="eastAsia" w:ascii="宋体" w:hAnsi="宋体" w:cs="宋体"/>
                <w:color w:val="000000"/>
                <w:kern w:val="0"/>
                <w:sz w:val="20"/>
                <w:szCs w:val="20"/>
              </w:rPr>
              <w:t>）快速瞬变脉冲群测试，在</w:t>
            </w:r>
            <w:r>
              <w:rPr>
                <w:rFonts w:ascii="宋体" w:hAnsi="宋体" w:cs="宋体"/>
                <w:color w:val="000000"/>
                <w:kern w:val="0"/>
                <w:sz w:val="20"/>
                <w:szCs w:val="20"/>
              </w:rPr>
              <w:t>2000V</w:t>
            </w:r>
            <w:r>
              <w:rPr>
                <w:rFonts w:hint="eastAsia" w:ascii="宋体" w:hAnsi="宋体" w:cs="宋体"/>
                <w:color w:val="000000"/>
                <w:kern w:val="0"/>
                <w:sz w:val="20"/>
                <w:szCs w:val="20"/>
              </w:rPr>
              <w:t>、</w:t>
            </w:r>
            <w:r>
              <w:rPr>
                <w:rFonts w:ascii="宋体" w:hAnsi="宋体" w:cs="宋体"/>
                <w:color w:val="000000"/>
                <w:kern w:val="0"/>
                <w:sz w:val="20"/>
                <w:szCs w:val="20"/>
              </w:rPr>
              <w:t>5KHz</w:t>
            </w:r>
            <w:r>
              <w:rPr>
                <w:rFonts w:hint="eastAsia" w:ascii="宋体" w:hAnsi="宋体" w:cs="宋体"/>
                <w:color w:val="000000"/>
                <w:kern w:val="0"/>
                <w:sz w:val="20"/>
                <w:szCs w:val="20"/>
              </w:rPr>
              <w:t>的快速瞬变脉冲群干扰下，网关能正常工作</w:t>
            </w:r>
            <w:r>
              <w:rPr>
                <w:rFonts w:ascii="宋体" w:cs="Times New Roman"/>
                <w:color w:val="000000"/>
                <w:kern w:val="0"/>
                <w:sz w:val="20"/>
                <w:szCs w:val="20"/>
              </w:rPr>
              <w:br w:type="textWrapping"/>
            </w:r>
            <w:r>
              <w:rPr>
                <w:rFonts w:hint="eastAsia" w:ascii="宋体" w:hAnsi="宋体" w:cs="宋体"/>
                <w:color w:val="000000"/>
                <w:kern w:val="0"/>
                <w:sz w:val="20"/>
                <w:szCs w:val="20"/>
              </w:rPr>
              <w:t>（</w:t>
            </w:r>
            <w:r>
              <w:rPr>
                <w:rFonts w:ascii="宋体" w:hAnsi="宋体" w:cs="宋体"/>
                <w:color w:val="000000"/>
                <w:kern w:val="0"/>
                <w:sz w:val="20"/>
                <w:szCs w:val="20"/>
              </w:rPr>
              <w:t>23</w:t>
            </w:r>
            <w:r>
              <w:rPr>
                <w:rFonts w:hint="eastAsia" w:ascii="宋体" w:hAnsi="宋体" w:cs="宋体"/>
                <w:color w:val="000000"/>
                <w:kern w:val="0"/>
                <w:sz w:val="20"/>
                <w:szCs w:val="20"/>
              </w:rPr>
              <w:t>）浪涌测试，网关能够承受</w:t>
            </w:r>
            <w:r>
              <w:rPr>
                <w:rFonts w:ascii="宋体" w:hAnsi="宋体" w:cs="宋体"/>
                <w:color w:val="000000"/>
                <w:kern w:val="0"/>
                <w:sz w:val="20"/>
                <w:szCs w:val="20"/>
              </w:rPr>
              <w:t>2000V</w:t>
            </w:r>
            <w:r>
              <w:rPr>
                <w:rFonts w:hint="eastAsia" w:ascii="宋体" w:hAnsi="宋体" w:cs="宋体"/>
                <w:color w:val="000000"/>
                <w:kern w:val="0"/>
                <w:sz w:val="20"/>
                <w:szCs w:val="20"/>
              </w:rPr>
              <w:t>的浪涌冲击。</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台</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2"/>
                <w:szCs w:val="22"/>
              </w:rPr>
              <w:t>2</w:t>
            </w:r>
          </w:p>
        </w:tc>
        <w:tc>
          <w:tcPr>
            <w:tcW w:w="705" w:type="dxa"/>
            <w:vAlign w:val="center"/>
          </w:tcPr>
          <w:p>
            <w:pPr>
              <w:adjustRightInd w:val="0"/>
              <w:snapToGrid w:val="0"/>
              <w:jc w:val="left"/>
              <w:rPr>
                <w:rFonts w:ascii="宋体" w:cs="Times New Roman"/>
                <w:color w:val="000000"/>
                <w:kern w:val="0"/>
                <w:sz w:val="20"/>
                <w:szCs w:val="20"/>
              </w:rPr>
            </w:pPr>
            <w:r>
              <w:rPr>
                <w:rFonts w:hint="eastAsia" w:ascii="宋体" w:hAnsi="宋体" w:cs="宋体"/>
                <w:color w:val="000000"/>
                <w:kern w:val="0"/>
                <w:sz w:val="20"/>
                <w:szCs w:val="20"/>
              </w:rPr>
              <w:t>杭州萧山机场内</w:t>
            </w:r>
          </w:p>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3</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电控管理系统软件</w:t>
            </w:r>
          </w:p>
        </w:tc>
        <w:tc>
          <w:tcPr>
            <w:tcW w:w="6111" w:type="dxa"/>
          </w:tcPr>
          <w:p>
            <w:pPr>
              <w:widowControl/>
              <w:jc w:val="left"/>
              <w:textAlignment w:val="top"/>
              <w:rPr>
                <w:rFonts w:ascii="宋体" w:hAnsi="宋体" w:cs="宋体"/>
                <w:color w:val="000000"/>
                <w:kern w:val="0"/>
                <w:sz w:val="20"/>
                <w:szCs w:val="20"/>
              </w:rPr>
            </w:pPr>
            <w:r>
              <w:rPr>
                <w:rFonts w:hint="eastAsia" w:ascii="宋体" w:hAnsi="宋体" w:cs="宋体"/>
                <w:color w:val="000000"/>
                <w:kern w:val="0"/>
                <w:sz w:val="20"/>
                <w:szCs w:val="20"/>
              </w:rPr>
              <w:t>所有电表能实现在杭州机场后勤服务微信服务号在线充值，线上充值线下直接使用，不需要通过补助机圈存领取补助。提供详细日、月、年各水、电表度数、金额等数据报表。</w:t>
            </w:r>
          </w:p>
          <w:p>
            <w:pPr>
              <w:widowControl/>
              <w:jc w:val="left"/>
              <w:textAlignment w:val="top"/>
              <w:rPr>
                <w:rFonts w:ascii="宋体" w:cs="Times New Roman"/>
                <w:color w:val="000000"/>
                <w:kern w:val="0"/>
                <w:sz w:val="20"/>
                <w:szCs w:val="20"/>
              </w:rPr>
            </w:pPr>
            <w:r>
              <w:rPr>
                <w:rFonts w:hint="eastAsia" w:ascii="宋体" w:hAnsi="宋体" w:cs="宋体"/>
                <w:color w:val="000000"/>
                <w:kern w:val="0"/>
                <w:sz w:val="20"/>
                <w:szCs w:val="20"/>
              </w:rPr>
              <w:t>实现网络在线实时充值及线下充值两种方式。水电联控实现水表欠费不停水但是断电的功能。系统接入电表最小数量不少于</w:t>
            </w:r>
            <w:r>
              <w:rPr>
                <w:rFonts w:ascii="宋体" w:hAnsi="宋体" w:cs="宋体"/>
                <w:color w:val="000000"/>
                <w:kern w:val="0"/>
                <w:sz w:val="20"/>
                <w:szCs w:val="20"/>
              </w:rPr>
              <w:t>2000</w:t>
            </w:r>
            <w:r>
              <w:rPr>
                <w:rFonts w:hint="eastAsia" w:ascii="宋体" w:hAnsi="宋体" w:cs="宋体"/>
                <w:color w:val="000000"/>
                <w:kern w:val="0"/>
                <w:sz w:val="20"/>
                <w:szCs w:val="20"/>
              </w:rPr>
              <w:t>只</w:t>
            </w:r>
            <w:r>
              <w:rPr>
                <w:rFonts w:ascii="宋体" w:cs="Times New Roman"/>
                <w:color w:val="000000"/>
                <w:kern w:val="0"/>
                <w:sz w:val="20"/>
                <w:szCs w:val="20"/>
              </w:rPr>
              <w:br w:type="textWrapping"/>
            </w:r>
            <w:r>
              <w:rPr>
                <w:rFonts w:hint="eastAsia" w:ascii="宋体" w:hAnsi="宋体" w:cs="宋体"/>
                <w:color w:val="000000"/>
                <w:kern w:val="0"/>
                <w:sz w:val="20"/>
                <w:szCs w:val="20"/>
              </w:rPr>
              <w:t>单相远程控制智能电能表具备总功率限制功能。系统设计采用</w:t>
            </w:r>
            <w:r>
              <w:rPr>
                <w:rFonts w:ascii="宋体" w:hAnsi="宋体" w:cs="宋体"/>
                <w:color w:val="000000"/>
                <w:kern w:val="0"/>
                <w:sz w:val="20"/>
                <w:szCs w:val="20"/>
              </w:rPr>
              <w:t>B/S</w:t>
            </w:r>
            <w:r>
              <w:rPr>
                <w:rFonts w:hint="eastAsia" w:ascii="宋体" w:hAnsi="宋体" w:cs="宋体"/>
                <w:color w:val="000000"/>
                <w:kern w:val="0"/>
                <w:sz w:val="20"/>
                <w:szCs w:val="20"/>
              </w:rPr>
              <w:t>架构，通过浏览器用户就可以完成配置、设置、查询、控制等所有操作。并可支持更多用户同时在线。系统实现用电计量计费：计量模块的精度达</w:t>
            </w:r>
            <w:r>
              <w:rPr>
                <w:rFonts w:ascii="宋体" w:hAnsi="宋体" w:cs="宋体"/>
                <w:color w:val="000000"/>
                <w:kern w:val="0"/>
                <w:sz w:val="20"/>
                <w:szCs w:val="20"/>
              </w:rPr>
              <w:t>1</w:t>
            </w:r>
            <w:r>
              <w:rPr>
                <w:rFonts w:hint="eastAsia" w:ascii="宋体" w:hAnsi="宋体" w:cs="宋体"/>
                <w:color w:val="000000"/>
                <w:kern w:val="0"/>
                <w:sz w:val="20"/>
                <w:szCs w:val="20"/>
              </w:rPr>
              <w:t>级；报警方式：系统实现通过显示屏、短信、自动推送等方式自动报警；异常用量报警、通讯异常报警、低电量报警、负载关断报警、超负荷报警、系统数据自检；预购电量、无费关断，数据下发小于</w:t>
            </w:r>
            <w:r>
              <w:rPr>
                <w:rFonts w:ascii="宋体" w:hAnsi="宋体" w:cs="宋体"/>
                <w:color w:val="000000"/>
                <w:kern w:val="0"/>
                <w:sz w:val="20"/>
                <w:szCs w:val="20"/>
              </w:rPr>
              <w:t>10S</w:t>
            </w:r>
            <w:r>
              <w:rPr>
                <w:rFonts w:hint="eastAsia" w:ascii="宋体" w:hAnsi="宋体" w:cs="宋体"/>
                <w:color w:val="000000"/>
                <w:kern w:val="0"/>
                <w:sz w:val="20"/>
                <w:szCs w:val="20"/>
              </w:rPr>
              <w:t>；</w:t>
            </w:r>
            <w:r>
              <w:rPr>
                <w:rFonts w:ascii="宋体" w:cs="Times New Roman"/>
                <w:color w:val="000000"/>
                <w:kern w:val="0"/>
                <w:sz w:val="20"/>
                <w:szCs w:val="20"/>
              </w:rPr>
              <w:br w:type="textWrapping"/>
            </w:r>
            <w:r>
              <w:rPr>
                <w:rFonts w:ascii="宋体" w:hAnsi="宋体" w:cs="宋体"/>
                <w:color w:val="000000"/>
                <w:kern w:val="0"/>
                <w:sz w:val="20"/>
                <w:szCs w:val="20"/>
              </w:rPr>
              <w:t>IC</w:t>
            </w:r>
            <w:r>
              <w:rPr>
                <w:rFonts w:hint="eastAsia" w:ascii="宋体" w:hAnsi="宋体" w:cs="宋体"/>
                <w:color w:val="000000"/>
                <w:kern w:val="0"/>
                <w:sz w:val="20"/>
                <w:szCs w:val="20"/>
              </w:rPr>
              <w:t>卡备用管理：当网络故障不通时，可通过</w:t>
            </w:r>
            <w:r>
              <w:rPr>
                <w:rFonts w:ascii="宋体" w:hAnsi="宋体" w:cs="宋体"/>
                <w:color w:val="000000"/>
                <w:kern w:val="0"/>
                <w:sz w:val="20"/>
                <w:szCs w:val="20"/>
              </w:rPr>
              <w:t>IC</w:t>
            </w:r>
            <w:r>
              <w:rPr>
                <w:rFonts w:hint="eastAsia" w:ascii="宋体" w:hAnsi="宋体" w:cs="宋体"/>
                <w:color w:val="000000"/>
                <w:kern w:val="0"/>
                <w:sz w:val="20"/>
                <w:szCs w:val="20"/>
              </w:rPr>
              <w:t>卡临时传递电量，保障宿舍用电。</w:t>
            </w:r>
            <w:r>
              <w:rPr>
                <w:rFonts w:ascii="宋体" w:cs="Times New Roman"/>
                <w:color w:val="000000"/>
                <w:kern w:val="0"/>
                <w:sz w:val="20"/>
                <w:szCs w:val="20"/>
              </w:rPr>
              <w:br w:type="textWrapping"/>
            </w:r>
            <w:r>
              <w:rPr>
                <w:rFonts w:hint="eastAsia" w:ascii="宋体" w:hAnsi="宋体" w:cs="宋体"/>
                <w:color w:val="000000"/>
                <w:kern w:val="0"/>
                <w:sz w:val="20"/>
                <w:szCs w:val="20"/>
              </w:rPr>
              <w:t>定时控电：用电时间定时控制，系统共有多个定时器，可按不同的日期和不同的用户组别分别进行控制其开、关，还可在不同的定时段内选用不同的单路限流值。用电情况查询：可随时查询用电情况、基础用电和交费情况。远程抄表、支持单个或按组别多个充值、单个或多个用户单元进行退费处理、可按每月</w:t>
            </w:r>
            <w:r>
              <w:rPr>
                <w:rFonts w:ascii="宋体" w:hAnsi="宋体" w:cs="宋体"/>
                <w:color w:val="000000"/>
                <w:kern w:val="0"/>
                <w:sz w:val="20"/>
                <w:szCs w:val="20"/>
              </w:rPr>
              <w:t>/</w:t>
            </w:r>
            <w:r>
              <w:rPr>
                <w:rFonts w:hint="eastAsia" w:ascii="宋体" w:hAnsi="宋体" w:cs="宋体"/>
                <w:color w:val="000000"/>
                <w:kern w:val="0"/>
                <w:sz w:val="20"/>
                <w:szCs w:val="20"/>
              </w:rPr>
              <w:t>季度</w:t>
            </w:r>
            <w:r>
              <w:rPr>
                <w:rFonts w:ascii="宋体" w:hAnsi="宋体" w:cs="宋体"/>
                <w:color w:val="000000"/>
                <w:kern w:val="0"/>
                <w:sz w:val="20"/>
                <w:szCs w:val="20"/>
              </w:rPr>
              <w:t>/</w:t>
            </w:r>
            <w:r>
              <w:rPr>
                <w:rFonts w:hint="eastAsia" w:ascii="宋体" w:hAnsi="宋体" w:cs="宋体"/>
                <w:color w:val="000000"/>
                <w:kern w:val="0"/>
                <w:sz w:val="20"/>
                <w:szCs w:val="20"/>
              </w:rPr>
              <w:t>年对各分类批量或单个设定不同的补助电量、补助（免费）电量自动下发、补助（免费）剩余电量清</w:t>
            </w:r>
            <w:r>
              <w:rPr>
                <w:rFonts w:ascii="宋体" w:cs="宋体"/>
                <w:color w:val="000000"/>
                <w:kern w:val="0"/>
                <w:sz w:val="20"/>
                <w:szCs w:val="20"/>
              </w:rPr>
              <w:t>0</w:t>
            </w:r>
            <w:r>
              <w:rPr>
                <w:rFonts w:hint="eastAsia" w:ascii="宋体" w:hAnsi="宋体" w:cs="宋体"/>
                <w:color w:val="000000"/>
                <w:kern w:val="0"/>
                <w:sz w:val="20"/>
                <w:szCs w:val="20"/>
              </w:rPr>
              <w:t>或叠加、支持个别和批量房间进行数据调换、表具进行更换。非法操作、误操作阻挡提示。角色设置：支持用户角色定义，权限分配和管理范围限制。房间、硬件可批量或个别进行各项操作：系统允许对房间和硬件进行预定义分组，当对用户进行各项操作时，均可按组进行操作。掉电数据保护、断电恢复功能。报表统计：包含各房间用电数据报表、各操作员财务账单等，报表形式多样灵活，统计准确快速。系统操作日志、账户操作日志和追踪审计。欠压运行模块：计量模块在欠压的情况下也能正常运行，电压范围在</w:t>
            </w:r>
            <w:r>
              <w:rPr>
                <w:rFonts w:ascii="宋体" w:hAnsi="宋体" w:cs="宋体"/>
                <w:color w:val="000000"/>
                <w:kern w:val="0"/>
                <w:sz w:val="20"/>
                <w:szCs w:val="20"/>
              </w:rPr>
              <w:t>170-240V</w:t>
            </w:r>
            <w:r>
              <w:rPr>
                <w:rFonts w:hint="eastAsia" w:ascii="宋体" w:hAnsi="宋体" w:cs="宋体"/>
                <w:color w:val="000000"/>
                <w:kern w:val="0"/>
                <w:sz w:val="20"/>
                <w:szCs w:val="20"/>
              </w:rPr>
              <w:t>。远程实时监控：实时监控的刷新速度是</w:t>
            </w:r>
            <w:r>
              <w:rPr>
                <w:rFonts w:ascii="宋体" w:hAnsi="宋体" w:cs="宋体"/>
                <w:color w:val="000000"/>
                <w:kern w:val="0"/>
                <w:sz w:val="20"/>
                <w:szCs w:val="20"/>
              </w:rPr>
              <w:t>6</w:t>
            </w:r>
            <w:r>
              <w:rPr>
                <w:rFonts w:hint="eastAsia" w:ascii="宋体" w:hAnsi="宋体" w:cs="宋体"/>
                <w:color w:val="000000"/>
                <w:kern w:val="0"/>
                <w:sz w:val="20"/>
                <w:szCs w:val="20"/>
              </w:rPr>
              <w:t>秒一次，当前电流、剩余电量、已用电量、用电情况等。多重备份：用电数据采用电脑、数据网关、表具三重备份。总用电负荷可设。特定使用发热电器学习、识别功能。自动恢复供电功能、自动供电次数可设、违规插座的控制使用。自带负载管理特征电器参数：硬件表具自带不低于</w:t>
            </w:r>
            <w:r>
              <w:rPr>
                <w:rFonts w:ascii="宋体" w:hAnsi="宋体" w:cs="宋体"/>
                <w:color w:val="000000"/>
                <w:kern w:val="0"/>
                <w:sz w:val="20"/>
                <w:szCs w:val="20"/>
              </w:rPr>
              <w:t>10</w:t>
            </w:r>
            <w:r>
              <w:rPr>
                <w:rFonts w:hint="eastAsia" w:ascii="宋体" w:hAnsi="宋体" w:cs="宋体"/>
                <w:color w:val="000000"/>
                <w:kern w:val="0"/>
                <w:sz w:val="20"/>
                <w:szCs w:val="20"/>
              </w:rPr>
              <w:t>类常用电器使用特征，系统自带不低于</w:t>
            </w:r>
            <w:r>
              <w:rPr>
                <w:rFonts w:ascii="宋体" w:hAnsi="宋体" w:cs="宋体"/>
                <w:color w:val="000000"/>
                <w:kern w:val="0"/>
                <w:sz w:val="20"/>
                <w:szCs w:val="20"/>
              </w:rPr>
              <w:t>30</w:t>
            </w:r>
            <w:r>
              <w:rPr>
                <w:rFonts w:hint="eastAsia" w:ascii="宋体" w:hAnsi="宋体" w:cs="宋体"/>
                <w:color w:val="000000"/>
                <w:kern w:val="0"/>
                <w:sz w:val="20"/>
                <w:szCs w:val="20"/>
              </w:rPr>
              <w:t>类常用电器使用特征的数据库，多种负载管理模式。</w:t>
            </w:r>
            <w:r>
              <w:rPr>
                <w:rFonts w:ascii="宋体" w:cs="Times New Roman"/>
                <w:color w:val="000000"/>
                <w:kern w:val="0"/>
                <w:sz w:val="20"/>
                <w:szCs w:val="20"/>
              </w:rPr>
              <w:br w:type="textWrapping"/>
            </w:r>
            <w:r>
              <w:rPr>
                <w:rFonts w:hint="eastAsia" w:ascii="宋体" w:hAnsi="宋体" w:cs="宋体"/>
                <w:color w:val="000000"/>
                <w:kern w:val="0"/>
                <w:sz w:val="20"/>
                <w:szCs w:val="20"/>
              </w:rPr>
              <w:t>能实现双回路供电、自动侦察和记录、时间控制功能、可定时自动转换为小功率输出、计划任务；数据分析：系统实现楼幢、房间</w:t>
            </w:r>
            <w:r>
              <w:rPr>
                <w:rFonts w:ascii="宋体" w:hAnsi="宋体" w:cs="宋体"/>
                <w:color w:val="000000"/>
                <w:kern w:val="0"/>
                <w:sz w:val="20"/>
                <w:szCs w:val="20"/>
              </w:rPr>
              <w:t>24</w:t>
            </w:r>
            <w:r>
              <w:rPr>
                <w:rFonts w:hint="eastAsia" w:ascii="宋体" w:hAnsi="宋体" w:cs="宋体"/>
                <w:color w:val="000000"/>
                <w:kern w:val="0"/>
                <w:sz w:val="20"/>
                <w:szCs w:val="20"/>
              </w:rPr>
              <w:t>小时用电数据统计（柱状图）分析；</w:t>
            </w:r>
            <w:r>
              <w:rPr>
                <w:rFonts w:ascii="宋体" w:hAnsi="宋体" w:cs="宋体"/>
                <w:color w:val="000000"/>
                <w:kern w:val="0"/>
                <w:sz w:val="20"/>
                <w:szCs w:val="20"/>
              </w:rPr>
              <w:t xml:space="preserve"> </w:t>
            </w:r>
            <w:r>
              <w:rPr>
                <w:rFonts w:hint="eastAsia" w:ascii="宋体" w:hAnsi="宋体" w:cs="宋体"/>
                <w:color w:val="000000"/>
                <w:kern w:val="0"/>
                <w:sz w:val="20"/>
                <w:szCs w:val="20"/>
              </w:rPr>
              <w:t>实现楼幢、房间免费电量使用周期统计分析；多种单价：用电单价需要从某一时刻变更时，之前使用的单价不需要发生改变，系统可以根据不同分组进行配置。数据采集：周期可自由设定，从</w:t>
            </w:r>
            <w:r>
              <w:rPr>
                <w:rFonts w:ascii="宋体" w:hAnsi="宋体" w:cs="宋体"/>
                <w:color w:val="000000"/>
                <w:kern w:val="0"/>
                <w:sz w:val="20"/>
                <w:szCs w:val="20"/>
              </w:rPr>
              <w:t>15</w:t>
            </w:r>
            <w:r>
              <w:rPr>
                <w:rFonts w:hint="eastAsia" w:ascii="宋体" w:hAnsi="宋体" w:cs="宋体"/>
                <w:color w:val="000000"/>
                <w:kern w:val="0"/>
                <w:sz w:val="20"/>
                <w:szCs w:val="20"/>
              </w:rPr>
              <w:t>分钟到</w:t>
            </w:r>
            <w:r>
              <w:rPr>
                <w:rFonts w:ascii="宋体" w:hAnsi="宋体" w:cs="宋体"/>
                <w:color w:val="000000"/>
                <w:kern w:val="0"/>
                <w:sz w:val="20"/>
                <w:szCs w:val="20"/>
              </w:rPr>
              <w:t>24</w:t>
            </w:r>
            <w:r>
              <w:rPr>
                <w:rFonts w:hint="eastAsia" w:ascii="宋体" w:hAnsi="宋体" w:cs="宋体"/>
                <w:color w:val="000000"/>
                <w:kern w:val="0"/>
                <w:sz w:val="20"/>
                <w:szCs w:val="20"/>
              </w:rPr>
              <w:t>小时可调，以适应数据分析需要。</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套</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0"/>
                <w:szCs w:val="20"/>
              </w:rPr>
              <w:t>1</w:t>
            </w:r>
          </w:p>
        </w:tc>
        <w:tc>
          <w:tcPr>
            <w:tcW w:w="705" w:type="dxa"/>
            <w:vAlign w:val="center"/>
          </w:tcPr>
          <w:p>
            <w:pPr>
              <w:adjustRightInd w:val="0"/>
              <w:snapToGrid w:val="0"/>
              <w:jc w:val="left"/>
              <w:rPr>
                <w:rFonts w:ascii="宋体" w:cs="Times New Roman"/>
                <w:color w:val="000000"/>
                <w:kern w:val="0"/>
                <w:sz w:val="20"/>
                <w:szCs w:val="20"/>
              </w:rPr>
            </w:pPr>
            <w:r>
              <w:rPr>
                <w:rFonts w:hint="eastAsia" w:ascii="宋体" w:hAnsi="宋体" w:cs="宋体"/>
                <w:color w:val="000000"/>
                <w:kern w:val="0"/>
                <w:sz w:val="20"/>
                <w:szCs w:val="20"/>
              </w:rPr>
              <w:t>杭州萧山机场内</w:t>
            </w:r>
          </w:p>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4</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服务器</w:t>
            </w:r>
          </w:p>
        </w:tc>
        <w:tc>
          <w:tcPr>
            <w:tcW w:w="6111" w:type="dxa"/>
          </w:tcPr>
          <w:p>
            <w:pPr>
              <w:widowControl/>
              <w:jc w:val="left"/>
              <w:textAlignment w:val="top"/>
              <w:rPr>
                <w:rFonts w:ascii="宋体" w:cs="Times New Roman"/>
                <w:color w:val="000000"/>
                <w:kern w:val="0"/>
                <w:sz w:val="20"/>
                <w:szCs w:val="20"/>
              </w:rPr>
            </w:pPr>
            <w:r>
              <w:rPr>
                <w:rFonts w:hint="eastAsia" w:ascii="宋体" w:hAnsi="宋体" w:cs="宋体"/>
                <w:color w:val="000000"/>
                <w:kern w:val="0"/>
                <w:sz w:val="20"/>
                <w:szCs w:val="20"/>
              </w:rPr>
              <w:t>戴尔（</w:t>
            </w:r>
            <w:r>
              <w:rPr>
                <w:rFonts w:ascii="宋体" w:hAnsi="宋体" w:cs="宋体"/>
                <w:color w:val="000000"/>
                <w:kern w:val="0"/>
                <w:sz w:val="20"/>
                <w:szCs w:val="20"/>
              </w:rPr>
              <w:t>DELL</w:t>
            </w:r>
            <w:r>
              <w:rPr>
                <w:rFonts w:hint="eastAsia" w:ascii="宋体" w:hAnsi="宋体" w:cs="宋体"/>
                <w:color w:val="000000"/>
                <w:kern w:val="0"/>
                <w:sz w:val="20"/>
                <w:szCs w:val="20"/>
              </w:rPr>
              <w:t>）</w:t>
            </w:r>
            <w:r>
              <w:rPr>
                <w:rFonts w:ascii="宋体" w:hAnsi="宋体" w:cs="宋体"/>
                <w:color w:val="000000"/>
                <w:kern w:val="0"/>
                <w:sz w:val="20"/>
                <w:szCs w:val="20"/>
              </w:rPr>
              <w:t>R740</w:t>
            </w:r>
            <w:r>
              <w:rPr>
                <w:rFonts w:hint="eastAsia" w:ascii="宋体" w:hAnsi="宋体" w:cs="宋体"/>
                <w:color w:val="000000"/>
                <w:kern w:val="0"/>
                <w:sz w:val="20"/>
                <w:szCs w:val="20"/>
              </w:rPr>
              <w:t>服务器主机</w:t>
            </w:r>
            <w:r>
              <w:rPr>
                <w:rFonts w:ascii="宋体" w:hAnsi="宋体" w:cs="宋体"/>
                <w:color w:val="000000"/>
                <w:kern w:val="0"/>
                <w:sz w:val="20"/>
                <w:szCs w:val="20"/>
              </w:rPr>
              <w:t xml:space="preserve"> </w:t>
            </w:r>
            <w:r>
              <w:rPr>
                <w:rFonts w:hint="eastAsia" w:ascii="宋体" w:hAnsi="宋体" w:cs="宋体"/>
                <w:color w:val="000000"/>
                <w:kern w:val="0"/>
                <w:sz w:val="20"/>
                <w:szCs w:val="20"/>
              </w:rPr>
              <w:t>单银牌</w:t>
            </w:r>
            <w:r>
              <w:rPr>
                <w:rFonts w:ascii="宋体" w:hAnsi="宋体" w:cs="宋体"/>
                <w:color w:val="000000"/>
                <w:kern w:val="0"/>
                <w:sz w:val="20"/>
                <w:szCs w:val="20"/>
              </w:rPr>
              <w:t>4116/2.1G/12</w:t>
            </w:r>
            <w:r>
              <w:rPr>
                <w:rFonts w:hint="eastAsia" w:ascii="宋体" w:hAnsi="宋体" w:cs="宋体"/>
                <w:color w:val="000000"/>
                <w:kern w:val="0"/>
                <w:sz w:val="20"/>
                <w:szCs w:val="20"/>
              </w:rPr>
              <w:t>核</w:t>
            </w:r>
            <w:r>
              <w:rPr>
                <w:rFonts w:ascii="宋体" w:hAnsi="宋体" w:cs="宋体"/>
                <w:color w:val="000000"/>
                <w:kern w:val="0"/>
                <w:sz w:val="20"/>
                <w:szCs w:val="20"/>
              </w:rPr>
              <w:t>/750W</w:t>
            </w:r>
            <w:r>
              <w:rPr>
                <w:rFonts w:hint="eastAsia" w:ascii="宋体" w:hAnsi="宋体" w:cs="宋体"/>
                <w:color w:val="000000"/>
                <w:kern w:val="0"/>
                <w:sz w:val="20"/>
                <w:szCs w:val="20"/>
              </w:rPr>
              <w:t>电源</w:t>
            </w:r>
            <w:r>
              <w:rPr>
                <w:rFonts w:ascii="宋体" w:hAnsi="宋体" w:cs="宋体"/>
                <w:color w:val="000000"/>
                <w:kern w:val="0"/>
                <w:sz w:val="20"/>
                <w:szCs w:val="20"/>
              </w:rPr>
              <w:t xml:space="preserve"> 64GB/3*600G 10K/H730(1G)</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台</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0"/>
                <w:szCs w:val="20"/>
              </w:rPr>
              <w:t>1</w:t>
            </w:r>
          </w:p>
        </w:tc>
        <w:tc>
          <w:tcPr>
            <w:tcW w:w="705" w:type="dxa"/>
            <w:vMerge w:val="restart"/>
            <w:vAlign w:val="center"/>
          </w:tcPr>
          <w:p>
            <w:pPr>
              <w:adjustRightInd w:val="0"/>
              <w:snapToGrid w:val="0"/>
              <w:jc w:val="left"/>
              <w:rPr>
                <w:rFonts w:ascii="宋体" w:cs="Times New Roman"/>
                <w:color w:val="000000"/>
                <w:kern w:val="0"/>
                <w:sz w:val="20"/>
                <w:szCs w:val="20"/>
              </w:rPr>
            </w:pPr>
            <w:r>
              <w:rPr>
                <w:rFonts w:hint="eastAsia" w:ascii="宋体" w:hAnsi="宋体" w:cs="宋体"/>
                <w:color w:val="000000"/>
                <w:kern w:val="0"/>
                <w:sz w:val="20"/>
                <w:szCs w:val="20"/>
              </w:rPr>
              <w:t>杭州萧山机场内</w:t>
            </w:r>
          </w:p>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5</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系统接入费用</w:t>
            </w:r>
          </w:p>
        </w:tc>
        <w:tc>
          <w:tcPr>
            <w:tcW w:w="611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接入原已有一卡通系统</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项</w:t>
            </w:r>
          </w:p>
        </w:tc>
        <w:tc>
          <w:tcPr>
            <w:tcW w:w="712" w:type="dxa"/>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1</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6</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超五类网络线</w:t>
            </w:r>
          </w:p>
        </w:tc>
        <w:tc>
          <w:tcPr>
            <w:tcW w:w="6111" w:type="dxa"/>
            <w:vAlign w:val="center"/>
          </w:tcPr>
          <w:p>
            <w:pPr>
              <w:widowControl/>
              <w:jc w:val="center"/>
              <w:textAlignment w:val="center"/>
              <w:rPr>
                <w:rFonts w:ascii="宋体" w:cs="Times New Roman"/>
                <w:color w:val="000000"/>
                <w:kern w:val="0"/>
                <w:sz w:val="20"/>
                <w:szCs w:val="20"/>
              </w:rPr>
            </w:pP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米</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0"/>
                <w:szCs w:val="20"/>
              </w:rPr>
              <w:t>900</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7</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控制线</w:t>
            </w:r>
          </w:p>
        </w:tc>
        <w:tc>
          <w:tcPr>
            <w:tcW w:w="6111" w:type="dxa"/>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RVSP4x1.0</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米</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2"/>
                <w:szCs w:val="22"/>
              </w:rPr>
              <w:t>1500</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8</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剩余电流断路器</w:t>
            </w:r>
          </w:p>
        </w:tc>
        <w:tc>
          <w:tcPr>
            <w:tcW w:w="6111" w:type="dxa"/>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 xml:space="preserve">10A 2P </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只</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2"/>
                <w:szCs w:val="22"/>
              </w:rPr>
              <w:t>4</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9</w:t>
            </w:r>
          </w:p>
        </w:tc>
        <w:tc>
          <w:tcPr>
            <w:tcW w:w="829" w:type="dxa"/>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类</w:t>
            </w:r>
            <w:r>
              <w:rPr>
                <w:rFonts w:ascii="宋体" w:hAnsi="宋体" w:cs="宋体"/>
                <w:color w:val="000000"/>
                <w:kern w:val="0"/>
                <w:sz w:val="20"/>
                <w:szCs w:val="20"/>
              </w:rPr>
              <w:t>4</w:t>
            </w:r>
            <w:r>
              <w:rPr>
                <w:rFonts w:hint="eastAsia" w:ascii="宋体" w:hAnsi="宋体" w:cs="宋体"/>
                <w:color w:val="000000"/>
                <w:kern w:val="0"/>
                <w:sz w:val="20"/>
                <w:szCs w:val="20"/>
              </w:rPr>
              <w:t>对非屏蔽双绞线</w:t>
            </w:r>
          </w:p>
        </w:tc>
        <w:tc>
          <w:tcPr>
            <w:tcW w:w="611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六类、十字骨架、</w:t>
            </w:r>
            <w:r>
              <w:rPr>
                <w:rFonts w:ascii="宋体" w:hAnsi="宋体" w:cs="宋体"/>
                <w:color w:val="000000"/>
                <w:kern w:val="0"/>
                <w:sz w:val="20"/>
                <w:szCs w:val="20"/>
              </w:rPr>
              <w:t>23AWG</w:t>
            </w:r>
            <w:r>
              <w:rPr>
                <w:rFonts w:hint="eastAsia" w:ascii="宋体" w:hAnsi="宋体" w:cs="宋体"/>
                <w:color w:val="000000"/>
                <w:kern w:val="0"/>
                <w:sz w:val="20"/>
                <w:szCs w:val="20"/>
              </w:rPr>
              <w:t>、</w:t>
            </w:r>
            <w:r>
              <w:rPr>
                <w:rFonts w:ascii="宋体" w:hAnsi="宋体" w:cs="宋体"/>
                <w:color w:val="000000"/>
                <w:kern w:val="0"/>
                <w:sz w:val="20"/>
                <w:szCs w:val="20"/>
              </w:rPr>
              <w:t>LSZH</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米</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2"/>
                <w:szCs w:val="22"/>
              </w:rPr>
              <w:t>1500</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10</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导线</w:t>
            </w:r>
          </w:p>
        </w:tc>
        <w:tc>
          <w:tcPr>
            <w:tcW w:w="6111" w:type="dxa"/>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BV2.5</w:t>
            </w:r>
            <w:r>
              <w:rPr>
                <w:rFonts w:hint="eastAsia" w:ascii="宋体" w:hAnsi="宋体" w:cs="宋体"/>
                <w:color w:val="000000"/>
                <w:kern w:val="0"/>
                <w:sz w:val="20"/>
                <w:szCs w:val="20"/>
              </w:rPr>
              <w:t>平方</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米</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0"/>
                <w:szCs w:val="20"/>
              </w:rPr>
              <w:t>200</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11</w:t>
            </w:r>
          </w:p>
        </w:tc>
        <w:tc>
          <w:tcPr>
            <w:tcW w:w="829" w:type="dxa"/>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PVC</w:t>
            </w:r>
            <w:r>
              <w:rPr>
                <w:rFonts w:hint="eastAsia" w:ascii="宋体" w:hAnsi="宋体" w:cs="宋体"/>
                <w:color w:val="000000"/>
                <w:kern w:val="0"/>
                <w:sz w:val="20"/>
                <w:szCs w:val="20"/>
              </w:rPr>
              <w:t>阻燃线管</w:t>
            </w:r>
          </w:p>
        </w:tc>
        <w:tc>
          <w:tcPr>
            <w:tcW w:w="6111" w:type="dxa"/>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DN20</w:t>
            </w:r>
            <w:r>
              <w:rPr>
                <w:rFonts w:hint="eastAsia" w:ascii="宋体" w:hAnsi="宋体" w:cs="宋体"/>
                <w:color w:val="000000"/>
                <w:kern w:val="0"/>
                <w:sz w:val="20"/>
                <w:szCs w:val="20"/>
              </w:rPr>
              <w:t>阻燃</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米</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0"/>
                <w:szCs w:val="20"/>
              </w:rPr>
              <w:t>2000</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12</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铁壳配电箱</w:t>
            </w:r>
          </w:p>
        </w:tc>
        <w:tc>
          <w:tcPr>
            <w:tcW w:w="6111" w:type="dxa"/>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 xml:space="preserve">30CM *30CM  </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只</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0"/>
                <w:szCs w:val="20"/>
              </w:rPr>
              <w:t>4</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ascii="宋体" w:hAnsi="宋体" w:cs="宋体"/>
                <w:color w:val="000000"/>
                <w:kern w:val="0"/>
                <w:sz w:val="20"/>
                <w:szCs w:val="20"/>
              </w:rPr>
              <w:t>13</w:t>
            </w:r>
          </w:p>
        </w:tc>
        <w:tc>
          <w:tcPr>
            <w:tcW w:w="829"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安装实施费用合计</w:t>
            </w:r>
          </w:p>
        </w:tc>
        <w:tc>
          <w:tcPr>
            <w:tcW w:w="611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包括耗材及人工</w:t>
            </w:r>
          </w:p>
        </w:tc>
        <w:tc>
          <w:tcPr>
            <w:tcW w:w="771" w:type="dxa"/>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项</w:t>
            </w:r>
          </w:p>
        </w:tc>
        <w:tc>
          <w:tcPr>
            <w:tcW w:w="712" w:type="dxa"/>
            <w:vAlign w:val="center"/>
          </w:tcPr>
          <w:p>
            <w:pPr>
              <w:widowControl/>
              <w:jc w:val="center"/>
              <w:textAlignment w:val="center"/>
              <w:rPr>
                <w:rFonts w:ascii="宋体" w:cs="Times New Roman"/>
                <w:color w:val="000000"/>
                <w:kern w:val="0"/>
                <w:sz w:val="22"/>
                <w:szCs w:val="22"/>
              </w:rPr>
            </w:pPr>
            <w:r>
              <w:rPr>
                <w:rFonts w:ascii="宋体" w:hAnsi="宋体" w:cs="宋体"/>
                <w:color w:val="000000"/>
                <w:kern w:val="0"/>
                <w:sz w:val="20"/>
                <w:szCs w:val="20"/>
              </w:rPr>
              <w:t>1</w:t>
            </w:r>
          </w:p>
        </w:tc>
        <w:tc>
          <w:tcPr>
            <w:tcW w:w="705" w:type="dxa"/>
            <w:vMerge w:val="continue"/>
            <w:vAlign w:val="center"/>
          </w:tcPr>
          <w:p>
            <w:pPr>
              <w:adjustRightInd w:val="0"/>
              <w:snapToGrid w:val="0"/>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15" w:type="dxa"/>
            <w:vAlign w:val="center"/>
          </w:tcPr>
          <w:p>
            <w:pPr>
              <w:widowControl/>
              <w:jc w:val="left"/>
              <w:textAlignment w:val="center"/>
              <w:rPr>
                <w:rFonts w:ascii="宋体" w:cs="Times New Roman"/>
                <w:color w:val="000000"/>
                <w:kern w:val="0"/>
                <w:sz w:val="20"/>
                <w:szCs w:val="20"/>
              </w:rPr>
            </w:pPr>
            <w:r>
              <w:rPr>
                <w:rFonts w:hint="eastAsia" w:ascii="宋体" w:hAnsi="宋体" w:cs="宋体"/>
                <w:color w:val="000000"/>
                <w:kern w:val="0"/>
                <w:sz w:val="20"/>
                <w:szCs w:val="20"/>
              </w:rPr>
              <w:t>合计</w:t>
            </w:r>
          </w:p>
        </w:tc>
        <w:tc>
          <w:tcPr>
            <w:tcW w:w="829" w:type="dxa"/>
            <w:vAlign w:val="center"/>
          </w:tcPr>
          <w:p>
            <w:pPr>
              <w:widowControl/>
              <w:jc w:val="center"/>
              <w:textAlignment w:val="center"/>
              <w:rPr>
                <w:rFonts w:ascii="宋体" w:cs="Times New Roman"/>
                <w:color w:val="000000"/>
                <w:kern w:val="0"/>
                <w:sz w:val="20"/>
                <w:szCs w:val="20"/>
              </w:rPr>
            </w:pPr>
          </w:p>
        </w:tc>
        <w:tc>
          <w:tcPr>
            <w:tcW w:w="6111" w:type="dxa"/>
            <w:vAlign w:val="center"/>
          </w:tcPr>
          <w:p>
            <w:pPr>
              <w:widowControl/>
              <w:jc w:val="center"/>
              <w:textAlignment w:val="center"/>
              <w:rPr>
                <w:rFonts w:ascii="宋体" w:cs="Times New Roman"/>
                <w:color w:val="000000"/>
                <w:kern w:val="0"/>
                <w:sz w:val="20"/>
                <w:szCs w:val="20"/>
              </w:rPr>
            </w:pPr>
          </w:p>
        </w:tc>
        <w:tc>
          <w:tcPr>
            <w:tcW w:w="771" w:type="dxa"/>
            <w:vAlign w:val="center"/>
          </w:tcPr>
          <w:p>
            <w:pPr>
              <w:widowControl/>
              <w:jc w:val="center"/>
              <w:textAlignment w:val="center"/>
              <w:rPr>
                <w:rFonts w:ascii="宋体" w:cs="Times New Roman"/>
                <w:color w:val="000000"/>
                <w:kern w:val="0"/>
                <w:sz w:val="20"/>
                <w:szCs w:val="20"/>
              </w:rPr>
            </w:pPr>
          </w:p>
        </w:tc>
        <w:tc>
          <w:tcPr>
            <w:tcW w:w="712" w:type="dxa"/>
            <w:vAlign w:val="center"/>
          </w:tcPr>
          <w:p>
            <w:pPr>
              <w:widowControl/>
              <w:jc w:val="center"/>
              <w:textAlignment w:val="center"/>
              <w:rPr>
                <w:rFonts w:ascii="宋体" w:cs="Times New Roman"/>
                <w:color w:val="000000"/>
                <w:kern w:val="0"/>
                <w:sz w:val="20"/>
                <w:szCs w:val="20"/>
              </w:rPr>
            </w:pPr>
          </w:p>
        </w:tc>
        <w:tc>
          <w:tcPr>
            <w:tcW w:w="705" w:type="dxa"/>
            <w:vAlign w:val="center"/>
          </w:tcPr>
          <w:p>
            <w:pPr>
              <w:adjustRightInd w:val="0"/>
              <w:snapToGrid w:val="0"/>
              <w:jc w:val="left"/>
              <w:rPr>
                <w:rFonts w:ascii="宋体" w:cs="Times New Roman"/>
                <w:sz w:val="22"/>
                <w:szCs w:val="22"/>
              </w:rPr>
            </w:pPr>
          </w:p>
        </w:tc>
      </w:tr>
    </w:tbl>
    <w:p/>
    <w:p>
      <w:pPr>
        <w:ind w:firstLine="442" w:firstLineChars="200"/>
        <w:rPr>
          <w:rFonts w:cs="Times New Roman"/>
          <w:b/>
          <w:bCs/>
          <w:sz w:val="22"/>
          <w:szCs w:val="22"/>
        </w:rPr>
      </w:pPr>
      <w:r>
        <w:rPr>
          <w:rFonts w:hint="eastAsia" w:cs="宋体"/>
          <w:b/>
          <w:bCs/>
          <w:sz w:val="22"/>
          <w:szCs w:val="22"/>
        </w:rPr>
        <w:t>一、水电联控管理系统技术要求</w:t>
      </w:r>
    </w:p>
    <w:p>
      <w:pPr>
        <w:ind w:firstLine="440" w:firstLineChars="200"/>
        <w:rPr>
          <w:rFonts w:cs="Times New Roman"/>
          <w:sz w:val="22"/>
          <w:szCs w:val="22"/>
        </w:rPr>
      </w:pPr>
      <w:r>
        <w:rPr>
          <w:sz w:val="22"/>
          <w:szCs w:val="22"/>
        </w:rPr>
        <w:t>1</w:t>
      </w:r>
      <w:r>
        <w:rPr>
          <w:rFonts w:hint="eastAsia" w:cs="宋体"/>
          <w:sz w:val="22"/>
          <w:szCs w:val="22"/>
        </w:rPr>
        <w:t>、系统是为提高水、电表能耗参数的综合计费管理水平而设计的。它以全自动的抄表方式取代了传统的人工抄表方式，具有网络结构自适应、免调试、免维护、运行稳定、方便扩展的特点。系统对用户水、电的使用状况进行实时采集，实现数据的集中存储和统一管理，减少了人工劳动，极大地提高了工作效率，为有关部门管理、统计、分析能源使用情况提供依据，使管理更科学、更高效。</w:t>
      </w:r>
    </w:p>
    <w:p>
      <w:pPr>
        <w:ind w:firstLine="440" w:firstLineChars="200"/>
        <w:rPr>
          <w:rFonts w:cs="Times New Roman"/>
          <w:sz w:val="22"/>
          <w:szCs w:val="22"/>
        </w:rPr>
      </w:pPr>
      <w:r>
        <w:rPr>
          <w:sz w:val="22"/>
          <w:szCs w:val="22"/>
        </w:rPr>
        <w:t>2</w:t>
      </w:r>
      <w:r>
        <w:rPr>
          <w:rFonts w:hint="eastAsia" w:cs="宋体"/>
          <w:sz w:val="22"/>
          <w:szCs w:val="22"/>
        </w:rPr>
        <w:t>、系统具有良好的兼容性和扩展性，可以实现对水、电表进行管理，实现与杭州机场后勤微信服务号对接，可以实现能源监测系统平台的对接。与已有的系统整合为一个统一的管理平台，通过“杭州机场后勤服务维信号”平台统一管理、统一身份认证、统一权限管理、统一设备监控管理、实现杭州机场后勤微信服务号线上充值及线下充值两种充值方式；线上充值线下直接使用。实现远程预付费、水电联控实现水表欠费不停水但是断电的功能。</w:t>
      </w:r>
    </w:p>
    <w:p>
      <w:pPr>
        <w:ind w:firstLine="440" w:firstLineChars="200"/>
        <w:rPr>
          <w:rFonts w:cs="Times New Roman"/>
          <w:sz w:val="22"/>
          <w:szCs w:val="22"/>
        </w:rPr>
      </w:pPr>
      <w:r>
        <w:rPr>
          <w:sz w:val="22"/>
          <w:szCs w:val="22"/>
        </w:rPr>
        <w:t>3</w:t>
      </w:r>
      <w:r>
        <w:rPr>
          <w:rFonts w:hint="eastAsia" w:cs="宋体"/>
          <w:sz w:val="22"/>
          <w:szCs w:val="22"/>
        </w:rPr>
        <w:t>、对于每个终端用户表具的数据读取只需要</w:t>
      </w:r>
      <w:r>
        <w:rPr>
          <w:sz w:val="22"/>
          <w:szCs w:val="22"/>
        </w:rPr>
        <w:t>0.1</w:t>
      </w:r>
      <w:r>
        <w:rPr>
          <w:rFonts w:hint="eastAsia" w:cs="宋体"/>
          <w:sz w:val="22"/>
          <w:szCs w:val="22"/>
        </w:rPr>
        <w:t>秒，通过系统软件界面，可以实时地看到各个终端用户当前的用能情况使用状态，实现实时监测，所见所得，同时在对每个终端用户进行用能通、断控制的时候，由软件发出的控制命令也能在</w:t>
      </w:r>
      <w:r>
        <w:rPr>
          <w:sz w:val="22"/>
          <w:szCs w:val="22"/>
        </w:rPr>
        <w:t>0.1</w:t>
      </w:r>
      <w:r>
        <w:rPr>
          <w:rFonts w:hint="eastAsia" w:cs="宋体"/>
          <w:sz w:val="22"/>
          <w:szCs w:val="22"/>
        </w:rPr>
        <w:t>秒内完成，实现了远程控制即时生效。</w:t>
      </w:r>
    </w:p>
    <w:p>
      <w:pPr>
        <w:ind w:firstLine="440" w:firstLineChars="200"/>
        <w:rPr>
          <w:rFonts w:cs="Times New Roman"/>
          <w:sz w:val="22"/>
          <w:szCs w:val="22"/>
        </w:rPr>
      </w:pPr>
      <w:r>
        <w:rPr>
          <w:sz w:val="22"/>
          <w:szCs w:val="22"/>
        </w:rPr>
        <w:t>4</w:t>
      </w:r>
      <w:r>
        <w:rPr>
          <w:rFonts w:hint="eastAsia" w:cs="宋体"/>
          <w:sz w:val="22"/>
          <w:szCs w:val="22"/>
        </w:rPr>
        <w:t>、采用</w:t>
      </w:r>
      <w:r>
        <w:rPr>
          <w:sz w:val="22"/>
          <w:szCs w:val="22"/>
        </w:rPr>
        <w:t>B/S(</w:t>
      </w:r>
      <w:r>
        <w:rPr>
          <w:rFonts w:hint="eastAsia" w:cs="宋体"/>
          <w:sz w:val="22"/>
          <w:szCs w:val="22"/>
        </w:rPr>
        <w:t>浏览器</w:t>
      </w:r>
      <w:r>
        <w:rPr>
          <w:sz w:val="22"/>
          <w:szCs w:val="22"/>
        </w:rPr>
        <w:t>/</w:t>
      </w:r>
      <w:r>
        <w:rPr>
          <w:rFonts w:hint="eastAsia" w:cs="宋体"/>
          <w:sz w:val="22"/>
          <w:szCs w:val="22"/>
        </w:rPr>
        <w:t>服务器）架构，客户端不需要安装软件，只需要一个浏览器就可以使用，支持目前各大主流浏览器。软件升级维护方便，客户端基本实现零维护量，软件升级只需更新服务器即可。</w:t>
      </w:r>
    </w:p>
    <w:p>
      <w:pPr>
        <w:ind w:firstLine="440" w:firstLineChars="200"/>
        <w:rPr>
          <w:rFonts w:cs="Times New Roman"/>
          <w:sz w:val="22"/>
          <w:szCs w:val="22"/>
        </w:rPr>
      </w:pPr>
      <w:r>
        <w:rPr>
          <w:sz w:val="22"/>
          <w:szCs w:val="22"/>
        </w:rPr>
        <w:t>5</w:t>
      </w:r>
      <w:r>
        <w:rPr>
          <w:rFonts w:hint="eastAsia" w:cs="宋体"/>
          <w:sz w:val="22"/>
          <w:szCs w:val="22"/>
        </w:rPr>
        <w:t>、要求系统具有“一卡通”系统和第三方支付功能，实现“在线充值、退费、查询”等操作，保无论是表具与网关之间的数据，还是网关与上层软件之间的数据，又或者是表具与上层软件之间直接传输的数据，都经过了加密处理，防止数据在传输过程中被窃取或修改，保证了实时数据传输的安全。</w:t>
      </w:r>
    </w:p>
    <w:p>
      <w:pPr>
        <w:ind w:firstLine="440" w:firstLineChars="200"/>
        <w:rPr>
          <w:rFonts w:cs="Times New Roman"/>
          <w:sz w:val="22"/>
          <w:szCs w:val="22"/>
        </w:rPr>
      </w:pPr>
      <w:r>
        <w:rPr>
          <w:sz w:val="22"/>
          <w:szCs w:val="22"/>
        </w:rPr>
        <w:t>7</w:t>
      </w:r>
      <w:r>
        <w:rPr>
          <w:rFonts w:hint="eastAsia" w:cs="宋体"/>
          <w:sz w:val="22"/>
          <w:szCs w:val="22"/>
        </w:rPr>
        <w:t>、系统在表具、网关、服务器上都保存了数据，形成了三层数据备份，在系统发生故障时，不至于数据丢失，保证了历史数据存储的安全，提高了系统的稳定型和容错性。</w:t>
      </w:r>
    </w:p>
    <w:p>
      <w:pPr>
        <w:ind w:firstLine="440" w:firstLineChars="200"/>
        <w:rPr>
          <w:rFonts w:cs="Times New Roman"/>
          <w:sz w:val="22"/>
          <w:szCs w:val="22"/>
        </w:rPr>
      </w:pPr>
      <w:r>
        <w:rPr>
          <w:sz w:val="22"/>
          <w:szCs w:val="22"/>
        </w:rPr>
        <w:t>8</w:t>
      </w:r>
      <w:r>
        <w:rPr>
          <w:rFonts w:hint="eastAsia" w:cs="宋体"/>
          <w:sz w:val="22"/>
          <w:szCs w:val="22"/>
        </w:rPr>
        <w:t>、在负载管理方面，系统除了在数据中自带有常用的负载特性数据外，还支持现场学习不常用的负载数据特性。系统自带不低于</w:t>
      </w:r>
      <w:r>
        <w:rPr>
          <w:sz w:val="22"/>
          <w:szCs w:val="22"/>
        </w:rPr>
        <w:t>30</w:t>
      </w:r>
      <w:r>
        <w:rPr>
          <w:rFonts w:hint="eastAsia" w:cs="宋体"/>
          <w:sz w:val="22"/>
          <w:szCs w:val="22"/>
        </w:rPr>
        <w:t>类常用电器使用特征数据库，硬件表具自带不低于</w:t>
      </w:r>
      <w:r>
        <w:rPr>
          <w:sz w:val="22"/>
          <w:szCs w:val="22"/>
        </w:rPr>
        <w:t>10</w:t>
      </w:r>
      <w:r>
        <w:rPr>
          <w:rFonts w:hint="eastAsia" w:cs="宋体"/>
          <w:sz w:val="22"/>
          <w:szCs w:val="22"/>
        </w:rPr>
        <w:t>类常用电器使用特征数据库。</w:t>
      </w:r>
    </w:p>
    <w:p>
      <w:pPr>
        <w:ind w:firstLine="440" w:firstLineChars="200"/>
        <w:rPr>
          <w:rFonts w:cs="Times New Roman"/>
          <w:sz w:val="22"/>
          <w:szCs w:val="22"/>
        </w:rPr>
      </w:pPr>
      <w:r>
        <w:rPr>
          <w:sz w:val="22"/>
          <w:szCs w:val="22"/>
        </w:rPr>
        <w:t>9</w:t>
      </w:r>
      <w:r>
        <w:rPr>
          <w:rFonts w:hint="eastAsia" w:cs="宋体"/>
          <w:sz w:val="22"/>
          <w:szCs w:val="22"/>
        </w:rPr>
        <w:t>、系统运行或者用户使用出现异常情况时，将实时地生成报警信息，包括通讯报警、采集偏差报警、低电（水）量报警、负载报警、过流报警等，并能生成报表打印，用户通过这些报警可及时的处理异常，以保证系统的正常运行及员工的正常用水、用电。</w:t>
      </w:r>
    </w:p>
    <w:p>
      <w:pPr>
        <w:ind w:firstLine="440" w:firstLineChars="200"/>
        <w:rPr>
          <w:rFonts w:cs="Times New Roman"/>
          <w:sz w:val="22"/>
          <w:szCs w:val="22"/>
        </w:rPr>
      </w:pPr>
      <w:r>
        <w:rPr>
          <w:sz w:val="22"/>
          <w:szCs w:val="22"/>
        </w:rPr>
        <w:t>10</w:t>
      </w:r>
      <w:r>
        <w:rPr>
          <w:rFonts w:hint="eastAsia" w:cs="宋体"/>
          <w:sz w:val="22"/>
          <w:szCs w:val="22"/>
        </w:rPr>
        <w:t>、标准设置：支持用户自定义设置各类负载识别值，作为所有终端用电用户都须遵守的负载限制。管理人员可针对不同的终端用电用户设置不同的负载使用权限。</w:t>
      </w:r>
    </w:p>
    <w:p>
      <w:pPr>
        <w:ind w:firstLine="440" w:firstLineChars="200"/>
        <w:rPr>
          <w:rFonts w:cs="Times New Roman"/>
          <w:sz w:val="22"/>
          <w:szCs w:val="22"/>
        </w:rPr>
      </w:pPr>
      <w:r>
        <w:rPr>
          <w:sz w:val="22"/>
          <w:szCs w:val="22"/>
        </w:rPr>
        <w:t>11</w:t>
      </w:r>
      <w:r>
        <w:rPr>
          <w:rFonts w:hint="eastAsia" w:cs="宋体"/>
          <w:sz w:val="22"/>
          <w:szCs w:val="22"/>
        </w:rPr>
        <w:t>、系统带有丰富、直观、实用的数据分析功能，包括天用电量分析、建筑用电分布、</w:t>
      </w:r>
      <w:r>
        <w:rPr>
          <w:sz w:val="22"/>
          <w:szCs w:val="22"/>
        </w:rPr>
        <w:t>24</w:t>
      </w:r>
      <w:r>
        <w:rPr>
          <w:rFonts w:hint="eastAsia" w:cs="宋体"/>
          <w:sz w:val="22"/>
          <w:szCs w:val="22"/>
        </w:rPr>
        <w:t>小时电量分析、购买次数分析、购买量分析、单笔购买量分析、剩余量分析等，并通过柱状图、饼状图等图表方式展示。</w:t>
      </w:r>
    </w:p>
    <w:p>
      <w:pPr>
        <w:ind w:firstLine="440" w:firstLineChars="200"/>
        <w:rPr>
          <w:rFonts w:cs="Times New Roman"/>
          <w:sz w:val="22"/>
          <w:szCs w:val="22"/>
        </w:rPr>
      </w:pPr>
      <w:r>
        <w:rPr>
          <w:sz w:val="22"/>
          <w:szCs w:val="22"/>
        </w:rPr>
        <w:t>12</w:t>
      </w:r>
      <w:r>
        <w:rPr>
          <w:rFonts w:hint="eastAsia" w:cs="宋体"/>
          <w:sz w:val="22"/>
          <w:szCs w:val="22"/>
        </w:rPr>
        <w:t>、财务管理主要是对帐户费用的管理，包括充值、退费、下发补助、核销补助、打印凭证、未传输充值记录、冻结解冻等。</w:t>
      </w:r>
    </w:p>
    <w:p>
      <w:pPr>
        <w:ind w:firstLine="440" w:firstLineChars="200"/>
        <w:rPr>
          <w:rFonts w:cs="Times New Roman"/>
          <w:sz w:val="22"/>
          <w:szCs w:val="22"/>
        </w:rPr>
      </w:pPr>
      <w:r>
        <w:rPr>
          <w:sz w:val="22"/>
          <w:szCs w:val="22"/>
        </w:rPr>
        <w:t>13</w:t>
      </w:r>
      <w:r>
        <w:rPr>
          <w:rFonts w:hint="eastAsia" w:cs="宋体"/>
          <w:sz w:val="22"/>
          <w:szCs w:val="22"/>
        </w:rPr>
        <w:t>、查询统计包括系统查询统计、用量查询统计、财务查询统计三大块，系统查询统计主要是针对每个操作人员的操作日志，用量查询统计主要是针对用户在能耗使用方面的用量及花费，财务查询统计主要是针对每个操作人员的财务操作。</w:t>
      </w:r>
    </w:p>
    <w:p>
      <w:pPr>
        <w:ind w:firstLine="440" w:firstLineChars="200"/>
        <w:rPr>
          <w:rFonts w:cs="Times New Roman"/>
          <w:sz w:val="22"/>
          <w:szCs w:val="22"/>
        </w:rPr>
      </w:pPr>
      <w:r>
        <w:rPr>
          <w:sz w:val="22"/>
          <w:szCs w:val="22"/>
        </w:rPr>
        <w:t>14</w:t>
      </w:r>
      <w:r>
        <w:rPr>
          <w:rFonts w:hint="eastAsia" w:cs="宋体"/>
          <w:sz w:val="22"/>
          <w:szCs w:val="22"/>
        </w:rPr>
        <w:t>、系统实现用电计量计费：计量模块的精度达</w:t>
      </w:r>
      <w:r>
        <w:rPr>
          <w:sz w:val="22"/>
          <w:szCs w:val="22"/>
        </w:rPr>
        <w:t>1</w:t>
      </w:r>
      <w:r>
        <w:rPr>
          <w:rFonts w:hint="eastAsia" w:cs="宋体"/>
          <w:sz w:val="22"/>
          <w:szCs w:val="22"/>
        </w:rPr>
        <w:t>级；</w:t>
      </w:r>
    </w:p>
    <w:p>
      <w:pPr>
        <w:ind w:firstLine="440" w:firstLineChars="200"/>
        <w:rPr>
          <w:rFonts w:cs="Times New Roman"/>
          <w:sz w:val="22"/>
          <w:szCs w:val="22"/>
        </w:rPr>
      </w:pPr>
      <w:r>
        <w:rPr>
          <w:sz w:val="22"/>
          <w:szCs w:val="22"/>
        </w:rPr>
        <w:t>15</w:t>
      </w:r>
      <w:r>
        <w:rPr>
          <w:rFonts w:hint="eastAsia" w:cs="宋体"/>
          <w:sz w:val="22"/>
          <w:szCs w:val="22"/>
        </w:rPr>
        <w:t>、预购电量、无费关断，数据下发小于</w:t>
      </w:r>
      <w:r>
        <w:rPr>
          <w:sz w:val="22"/>
          <w:szCs w:val="22"/>
        </w:rPr>
        <w:t>10S</w:t>
      </w:r>
      <w:r>
        <w:rPr>
          <w:rFonts w:hint="eastAsia" w:cs="宋体"/>
          <w:sz w:val="22"/>
          <w:szCs w:val="22"/>
        </w:rPr>
        <w:t>；</w:t>
      </w:r>
    </w:p>
    <w:p>
      <w:pPr>
        <w:ind w:firstLine="440" w:firstLineChars="200"/>
        <w:rPr>
          <w:rFonts w:cs="Times New Roman"/>
          <w:sz w:val="22"/>
          <w:szCs w:val="22"/>
        </w:rPr>
      </w:pPr>
      <w:r>
        <w:rPr>
          <w:sz w:val="22"/>
          <w:szCs w:val="22"/>
        </w:rPr>
        <w:t>16</w:t>
      </w:r>
      <w:r>
        <w:rPr>
          <w:rFonts w:hint="eastAsia" w:cs="宋体"/>
          <w:sz w:val="22"/>
          <w:szCs w:val="22"/>
        </w:rPr>
        <w:t>、定时控电：用电时间定时控制，系统共有多个定时器，可按不同的日期和不同的用户组别分别进行控制其开、关，还可在不同的定时段内选用不同的单路限流值。</w:t>
      </w:r>
    </w:p>
    <w:p>
      <w:pPr>
        <w:ind w:firstLine="440" w:firstLineChars="200"/>
        <w:rPr>
          <w:rFonts w:cs="Times New Roman"/>
          <w:sz w:val="22"/>
          <w:szCs w:val="22"/>
        </w:rPr>
      </w:pPr>
      <w:r>
        <w:rPr>
          <w:sz w:val="22"/>
          <w:szCs w:val="22"/>
        </w:rPr>
        <w:t>17</w:t>
      </w:r>
      <w:r>
        <w:rPr>
          <w:rFonts w:hint="eastAsia" w:cs="宋体"/>
          <w:sz w:val="22"/>
          <w:szCs w:val="22"/>
        </w:rPr>
        <w:t>、远程抄表、支持单个或按组别多个充值、单个或多个用户单元进行退费处理、可按每月</w:t>
      </w:r>
      <w:r>
        <w:rPr>
          <w:sz w:val="22"/>
          <w:szCs w:val="22"/>
        </w:rPr>
        <w:t>/</w:t>
      </w:r>
      <w:r>
        <w:rPr>
          <w:rFonts w:hint="eastAsia" w:cs="宋体"/>
          <w:sz w:val="22"/>
          <w:szCs w:val="22"/>
        </w:rPr>
        <w:t>季度</w:t>
      </w:r>
      <w:r>
        <w:rPr>
          <w:sz w:val="22"/>
          <w:szCs w:val="22"/>
        </w:rPr>
        <w:t>/</w:t>
      </w:r>
      <w:r>
        <w:rPr>
          <w:rFonts w:hint="eastAsia" w:cs="宋体"/>
          <w:sz w:val="22"/>
          <w:szCs w:val="22"/>
        </w:rPr>
        <w:t>年对各分类批量或单个设定不同的补助电量、补助（免费）电量自动下发、补助（免费）剩余电量清</w:t>
      </w:r>
      <w:r>
        <w:rPr>
          <w:sz w:val="22"/>
          <w:szCs w:val="22"/>
        </w:rPr>
        <w:t>0</w:t>
      </w:r>
      <w:r>
        <w:rPr>
          <w:rFonts w:hint="eastAsia" w:cs="宋体"/>
          <w:sz w:val="22"/>
          <w:szCs w:val="22"/>
        </w:rPr>
        <w:t>或叠加、支持个别和批量房间进行数据调换、表具进行更换。</w:t>
      </w:r>
    </w:p>
    <w:p>
      <w:pPr>
        <w:ind w:firstLine="440" w:firstLineChars="200"/>
        <w:rPr>
          <w:rFonts w:cs="Times New Roman"/>
          <w:sz w:val="22"/>
          <w:szCs w:val="22"/>
        </w:rPr>
      </w:pPr>
      <w:r>
        <w:rPr>
          <w:sz w:val="22"/>
          <w:szCs w:val="22"/>
        </w:rPr>
        <w:t>18</w:t>
      </w:r>
      <w:r>
        <w:rPr>
          <w:rFonts w:hint="eastAsia" w:cs="宋体"/>
          <w:sz w:val="22"/>
          <w:szCs w:val="22"/>
        </w:rPr>
        <w:t>、非法操作、误操作阻挡提示。</w:t>
      </w:r>
    </w:p>
    <w:p>
      <w:pPr>
        <w:ind w:firstLine="440" w:firstLineChars="200"/>
        <w:rPr>
          <w:rFonts w:cs="Times New Roman"/>
          <w:sz w:val="22"/>
          <w:szCs w:val="22"/>
        </w:rPr>
      </w:pPr>
      <w:r>
        <w:rPr>
          <w:sz w:val="22"/>
          <w:szCs w:val="22"/>
        </w:rPr>
        <w:t>19</w:t>
      </w:r>
      <w:r>
        <w:rPr>
          <w:rFonts w:hint="eastAsia" w:cs="宋体"/>
          <w:sz w:val="22"/>
          <w:szCs w:val="22"/>
        </w:rPr>
        <w:t>、角色设置：支持用户角色定义，权限分配和管理范围限制。</w:t>
      </w:r>
    </w:p>
    <w:p>
      <w:pPr>
        <w:ind w:firstLine="440" w:firstLineChars="200"/>
        <w:rPr>
          <w:rFonts w:cs="Times New Roman"/>
          <w:sz w:val="22"/>
          <w:szCs w:val="22"/>
        </w:rPr>
      </w:pPr>
      <w:r>
        <w:rPr>
          <w:sz w:val="22"/>
          <w:szCs w:val="22"/>
        </w:rPr>
        <w:t>20</w:t>
      </w:r>
      <w:r>
        <w:rPr>
          <w:rFonts w:hint="eastAsia" w:cs="宋体"/>
          <w:sz w:val="22"/>
          <w:szCs w:val="22"/>
        </w:rPr>
        <w:t>、房间、硬件可批量或个别进行各项操作：系统允许对房间和硬件进行预定义分组，当对用户进行各项操作时，均可按组进行操作。</w:t>
      </w:r>
    </w:p>
    <w:p>
      <w:pPr>
        <w:ind w:firstLine="440" w:firstLineChars="200"/>
        <w:rPr>
          <w:rFonts w:cs="Times New Roman"/>
          <w:sz w:val="22"/>
          <w:szCs w:val="22"/>
        </w:rPr>
      </w:pPr>
      <w:r>
        <w:rPr>
          <w:sz w:val="22"/>
          <w:szCs w:val="22"/>
        </w:rPr>
        <w:t>21</w:t>
      </w:r>
      <w:r>
        <w:rPr>
          <w:rFonts w:hint="eastAsia" w:cs="宋体"/>
          <w:sz w:val="22"/>
          <w:szCs w:val="22"/>
        </w:rPr>
        <w:t>、掉电数据保护、断电恢复功能。</w:t>
      </w:r>
    </w:p>
    <w:p>
      <w:pPr>
        <w:ind w:firstLine="440" w:firstLineChars="200"/>
        <w:rPr>
          <w:rFonts w:cs="Times New Roman"/>
          <w:sz w:val="22"/>
          <w:szCs w:val="22"/>
        </w:rPr>
      </w:pPr>
      <w:r>
        <w:rPr>
          <w:sz w:val="22"/>
          <w:szCs w:val="22"/>
        </w:rPr>
        <w:t>22</w:t>
      </w:r>
      <w:r>
        <w:rPr>
          <w:rFonts w:hint="eastAsia" w:cs="宋体"/>
          <w:sz w:val="22"/>
          <w:szCs w:val="22"/>
        </w:rPr>
        <w:t>、远程实时监控：实时监控的刷新速度是</w:t>
      </w:r>
      <w:r>
        <w:rPr>
          <w:sz w:val="22"/>
          <w:szCs w:val="22"/>
        </w:rPr>
        <w:t>6</w:t>
      </w:r>
      <w:r>
        <w:rPr>
          <w:rFonts w:hint="eastAsia" w:cs="宋体"/>
          <w:sz w:val="22"/>
          <w:szCs w:val="22"/>
        </w:rPr>
        <w:t>秒一次，当前电流、剩余电量、已用电量、用电情况等。</w:t>
      </w:r>
    </w:p>
    <w:p>
      <w:pPr>
        <w:ind w:firstLine="440" w:firstLineChars="200"/>
        <w:rPr>
          <w:rFonts w:cs="Times New Roman"/>
          <w:sz w:val="22"/>
          <w:szCs w:val="22"/>
        </w:rPr>
      </w:pPr>
      <w:r>
        <w:rPr>
          <w:sz w:val="22"/>
          <w:szCs w:val="22"/>
        </w:rPr>
        <w:t>23</w:t>
      </w:r>
      <w:r>
        <w:rPr>
          <w:rFonts w:hint="eastAsia" w:cs="宋体"/>
          <w:sz w:val="22"/>
          <w:szCs w:val="22"/>
        </w:rPr>
        <w:t>、多重备份：用电数据采用电脑、数据网关、表具三重备份。</w:t>
      </w:r>
    </w:p>
    <w:p>
      <w:pPr>
        <w:ind w:firstLine="440" w:firstLineChars="200"/>
        <w:rPr>
          <w:rFonts w:cs="Times New Roman"/>
          <w:sz w:val="22"/>
          <w:szCs w:val="22"/>
        </w:rPr>
      </w:pPr>
      <w:r>
        <w:rPr>
          <w:sz w:val="22"/>
          <w:szCs w:val="22"/>
        </w:rPr>
        <w:t>24</w:t>
      </w:r>
      <w:r>
        <w:rPr>
          <w:rFonts w:hint="eastAsia" w:cs="宋体"/>
          <w:sz w:val="22"/>
          <w:szCs w:val="22"/>
        </w:rPr>
        <w:t>、自动恢复供电功能、自动供电次数可设、违规插座的控制使用。</w:t>
      </w:r>
    </w:p>
    <w:p>
      <w:pPr>
        <w:ind w:firstLine="440" w:firstLineChars="200"/>
        <w:rPr>
          <w:rFonts w:cs="Times New Roman"/>
          <w:sz w:val="22"/>
          <w:szCs w:val="22"/>
        </w:rPr>
      </w:pPr>
      <w:r>
        <w:rPr>
          <w:sz w:val="22"/>
          <w:szCs w:val="22"/>
        </w:rPr>
        <w:t>25</w:t>
      </w:r>
      <w:r>
        <w:rPr>
          <w:rFonts w:hint="eastAsia" w:cs="宋体"/>
          <w:sz w:val="22"/>
          <w:szCs w:val="22"/>
        </w:rPr>
        <w:t>、能实现双回路供电、自动侦察和记录、时间控制功能、可定时自动转换为小功率输出、计划任务；</w:t>
      </w:r>
    </w:p>
    <w:p>
      <w:pPr>
        <w:ind w:firstLine="440" w:firstLineChars="200"/>
        <w:rPr>
          <w:rFonts w:cs="Times New Roman"/>
          <w:sz w:val="22"/>
          <w:szCs w:val="22"/>
        </w:rPr>
      </w:pPr>
      <w:r>
        <w:rPr>
          <w:sz w:val="22"/>
          <w:szCs w:val="22"/>
        </w:rPr>
        <w:t>26</w:t>
      </w:r>
      <w:r>
        <w:rPr>
          <w:rFonts w:hint="eastAsia" w:cs="宋体"/>
          <w:sz w:val="22"/>
          <w:szCs w:val="22"/>
        </w:rPr>
        <w:t>、多种单价：用电单价需要从某一时刻变更时，之前使用的单价不需要发生改变，系统可以根据不同分组进行配置。</w:t>
      </w:r>
    </w:p>
    <w:p>
      <w:pPr>
        <w:ind w:firstLine="440" w:firstLineChars="200"/>
        <w:rPr>
          <w:rFonts w:cs="Times New Roman"/>
          <w:sz w:val="22"/>
          <w:szCs w:val="22"/>
        </w:rPr>
      </w:pPr>
      <w:r>
        <w:rPr>
          <w:sz w:val="22"/>
          <w:szCs w:val="22"/>
        </w:rPr>
        <w:t>27</w:t>
      </w:r>
      <w:r>
        <w:rPr>
          <w:rFonts w:hint="eastAsia" w:cs="宋体"/>
          <w:sz w:val="22"/>
          <w:szCs w:val="22"/>
        </w:rPr>
        <w:t>、数据采集：周期可自由设定，从</w:t>
      </w:r>
      <w:r>
        <w:rPr>
          <w:sz w:val="22"/>
          <w:szCs w:val="22"/>
        </w:rPr>
        <w:t>15</w:t>
      </w:r>
      <w:r>
        <w:rPr>
          <w:rFonts w:hint="eastAsia" w:cs="宋体"/>
          <w:sz w:val="22"/>
          <w:szCs w:val="22"/>
        </w:rPr>
        <w:t>分钟到</w:t>
      </w:r>
      <w:r>
        <w:rPr>
          <w:sz w:val="22"/>
          <w:szCs w:val="22"/>
        </w:rPr>
        <w:t>24</w:t>
      </w:r>
      <w:r>
        <w:rPr>
          <w:rFonts w:hint="eastAsia" w:cs="宋体"/>
          <w:sz w:val="22"/>
          <w:szCs w:val="22"/>
        </w:rPr>
        <w:t>小时可调，以适应数据分析需要。</w:t>
      </w:r>
    </w:p>
    <w:p>
      <w:pPr>
        <w:ind w:firstLine="440" w:firstLineChars="200"/>
        <w:rPr>
          <w:rFonts w:cs="Times New Roman"/>
          <w:sz w:val="22"/>
          <w:szCs w:val="22"/>
        </w:rPr>
      </w:pPr>
      <w:r>
        <w:rPr>
          <w:sz w:val="22"/>
          <w:szCs w:val="22"/>
        </w:rPr>
        <w:t>28</w:t>
      </w:r>
      <w:r>
        <w:rPr>
          <w:rFonts w:hint="eastAsia" w:cs="宋体"/>
          <w:sz w:val="22"/>
          <w:szCs w:val="22"/>
        </w:rPr>
        <w:t>、水电表应符合原有的安装空间及安装方式。</w:t>
      </w:r>
    </w:p>
    <w:p>
      <w:pPr>
        <w:ind w:firstLine="440" w:firstLineChars="200"/>
        <w:rPr>
          <w:rFonts w:cs="Times New Roman"/>
          <w:sz w:val="22"/>
          <w:szCs w:val="22"/>
        </w:rPr>
      </w:pPr>
      <w:r>
        <w:rPr>
          <w:sz w:val="22"/>
          <w:szCs w:val="22"/>
        </w:rPr>
        <w:t>29</w:t>
      </w:r>
      <w:r>
        <w:rPr>
          <w:rFonts w:hint="eastAsia" w:cs="宋体"/>
          <w:sz w:val="22"/>
          <w:szCs w:val="22"/>
        </w:rPr>
        <w:t>、数据网关及水电控管理系统断电或故障不影响每间宿舍的正常供水供电。</w:t>
      </w:r>
    </w:p>
    <w:p>
      <w:pPr>
        <w:ind w:firstLine="440" w:firstLineChars="200"/>
        <w:rPr>
          <w:rFonts w:cs="Times New Roman"/>
          <w:sz w:val="22"/>
          <w:szCs w:val="22"/>
        </w:rPr>
      </w:pPr>
      <w:r>
        <w:rPr>
          <w:sz w:val="22"/>
          <w:szCs w:val="22"/>
        </w:rPr>
        <w:t>30</w:t>
      </w:r>
      <w:r>
        <w:rPr>
          <w:rFonts w:hint="eastAsia" w:cs="宋体"/>
          <w:sz w:val="22"/>
          <w:szCs w:val="22"/>
        </w:rPr>
        <w:t>、水电表需具有省级技术监督部门颁发的计量器具制造许可证。智能电表的准确度为</w:t>
      </w:r>
      <w:r>
        <w:rPr>
          <w:sz w:val="22"/>
          <w:szCs w:val="22"/>
        </w:rPr>
        <w:t>1</w:t>
      </w:r>
      <w:r>
        <w:rPr>
          <w:rFonts w:hint="eastAsia" w:cs="宋体"/>
          <w:sz w:val="22"/>
          <w:szCs w:val="22"/>
        </w:rPr>
        <w:t>，水表的准确度为</w:t>
      </w:r>
      <w:r>
        <w:rPr>
          <w:sz w:val="22"/>
          <w:szCs w:val="22"/>
        </w:rPr>
        <w:t>2.0</w:t>
      </w:r>
      <w:r>
        <w:rPr>
          <w:rFonts w:hint="eastAsia" w:cs="宋体"/>
          <w:sz w:val="22"/>
          <w:szCs w:val="22"/>
        </w:rPr>
        <w:t>。</w:t>
      </w:r>
    </w:p>
    <w:p>
      <w:pPr>
        <w:ind w:firstLine="442" w:firstLineChars="200"/>
        <w:rPr>
          <w:rFonts w:cs="Times New Roman"/>
          <w:b/>
          <w:bCs/>
          <w:sz w:val="22"/>
          <w:szCs w:val="22"/>
        </w:rPr>
      </w:pPr>
      <w:r>
        <w:rPr>
          <w:rFonts w:hint="eastAsia" w:cs="宋体"/>
          <w:b/>
          <w:bCs/>
          <w:sz w:val="22"/>
          <w:szCs w:val="22"/>
        </w:rPr>
        <w:t>二、材料品牌推荐：</w:t>
      </w:r>
    </w:p>
    <w:p>
      <w:pPr>
        <w:ind w:firstLine="440" w:firstLineChars="200"/>
        <w:rPr>
          <w:rFonts w:cs="Times New Roman"/>
          <w:sz w:val="22"/>
          <w:szCs w:val="22"/>
        </w:rPr>
      </w:pPr>
      <w:r>
        <w:rPr>
          <w:sz w:val="22"/>
          <w:szCs w:val="22"/>
        </w:rPr>
        <w:t>1</w:t>
      </w:r>
      <w:r>
        <w:rPr>
          <w:rFonts w:hint="eastAsia" w:cs="宋体"/>
          <w:sz w:val="22"/>
          <w:szCs w:val="22"/>
        </w:rPr>
        <w:t>、智能电表品牌电表：常工电子</w:t>
      </w:r>
      <w:r>
        <w:rPr>
          <w:rFonts w:hint="eastAsia"/>
          <w:sz w:val="22"/>
          <w:szCs w:val="22"/>
        </w:rPr>
        <w:t>、</w:t>
      </w:r>
      <w:r>
        <w:rPr>
          <w:rFonts w:hint="eastAsia" w:cs="宋体"/>
          <w:sz w:val="22"/>
          <w:szCs w:val="22"/>
        </w:rPr>
        <w:t>亿玛</w:t>
      </w:r>
      <w:r>
        <w:rPr>
          <w:rFonts w:hint="eastAsia"/>
          <w:sz w:val="22"/>
          <w:szCs w:val="22"/>
        </w:rPr>
        <w:t>、</w:t>
      </w:r>
      <w:r>
        <w:rPr>
          <w:rFonts w:hint="eastAsia" w:cs="宋体"/>
          <w:sz w:val="22"/>
          <w:szCs w:val="22"/>
        </w:rPr>
        <w:t>森维或同档次及以上品牌。</w:t>
      </w:r>
    </w:p>
    <w:p>
      <w:pPr>
        <w:ind w:firstLine="440" w:firstLineChars="200"/>
        <w:rPr>
          <w:rFonts w:cs="Times New Roman"/>
          <w:sz w:val="22"/>
          <w:szCs w:val="22"/>
        </w:rPr>
      </w:pPr>
      <w:r>
        <w:rPr>
          <w:sz w:val="22"/>
          <w:szCs w:val="22"/>
        </w:rPr>
        <w:t>2</w:t>
      </w:r>
      <w:r>
        <w:rPr>
          <w:rFonts w:hint="eastAsia" w:cs="宋体"/>
          <w:sz w:val="22"/>
          <w:szCs w:val="22"/>
        </w:rPr>
        <w:t>、智能水表品牌为：常工电子</w:t>
      </w:r>
      <w:r>
        <w:rPr>
          <w:sz w:val="22"/>
          <w:szCs w:val="22"/>
        </w:rPr>
        <w:t>.</w:t>
      </w:r>
      <w:r>
        <w:rPr>
          <w:rFonts w:hint="eastAsia" w:cs="宋体"/>
          <w:sz w:val="22"/>
          <w:szCs w:val="22"/>
        </w:rPr>
        <w:t>三川智慧</w:t>
      </w:r>
      <w:r>
        <w:rPr>
          <w:rFonts w:hint="eastAsia"/>
          <w:sz w:val="22"/>
          <w:szCs w:val="22"/>
        </w:rPr>
        <w:t>、</w:t>
      </w:r>
      <w:r>
        <w:rPr>
          <w:rFonts w:hint="eastAsia" w:cs="宋体"/>
          <w:sz w:val="22"/>
          <w:szCs w:val="22"/>
        </w:rPr>
        <w:t>连利或同档次及以上品牌。</w:t>
      </w:r>
    </w:p>
    <w:p>
      <w:pPr>
        <w:ind w:firstLine="440" w:firstLineChars="200"/>
        <w:rPr>
          <w:rFonts w:cs="Times New Roman"/>
          <w:sz w:val="22"/>
          <w:szCs w:val="22"/>
        </w:rPr>
      </w:pPr>
      <w:r>
        <w:rPr>
          <w:sz w:val="22"/>
          <w:szCs w:val="22"/>
        </w:rPr>
        <w:t>3</w:t>
      </w:r>
      <w:r>
        <w:rPr>
          <w:rFonts w:hint="eastAsia" w:cs="宋体"/>
          <w:sz w:val="22"/>
          <w:szCs w:val="22"/>
        </w:rPr>
        <w:t>、导线品牌为：万马、熊猫、赛格或同档次及以上品牌。</w:t>
      </w:r>
    </w:p>
    <w:p>
      <w:pPr>
        <w:ind w:firstLine="440" w:firstLineChars="200"/>
        <w:rPr>
          <w:rFonts w:cs="Times New Roman"/>
          <w:sz w:val="22"/>
          <w:szCs w:val="22"/>
        </w:rPr>
      </w:pPr>
      <w:r>
        <w:rPr>
          <w:sz w:val="22"/>
          <w:szCs w:val="22"/>
        </w:rPr>
        <w:t>4</w:t>
      </w:r>
      <w:r>
        <w:rPr>
          <w:rFonts w:hint="eastAsia" w:cs="宋体"/>
          <w:sz w:val="22"/>
          <w:szCs w:val="22"/>
        </w:rPr>
        <w:t>、管线品牌为：中财、鸿雁、伟星或同档次及以上品牌。</w:t>
      </w:r>
    </w:p>
    <w:p>
      <w:pPr>
        <w:ind w:firstLine="440" w:firstLineChars="200"/>
        <w:rPr>
          <w:rFonts w:cs="Times New Roman"/>
          <w:sz w:val="22"/>
          <w:szCs w:val="22"/>
        </w:rPr>
      </w:pPr>
      <w:r>
        <w:rPr>
          <w:sz w:val="22"/>
          <w:szCs w:val="22"/>
        </w:rPr>
        <w:t>5</w:t>
      </w:r>
      <w:r>
        <w:rPr>
          <w:rFonts w:hint="eastAsia" w:cs="宋体"/>
          <w:sz w:val="22"/>
          <w:szCs w:val="22"/>
        </w:rPr>
        <w:t>、网络线品牌为：赛格、普天、安普或同档次及以上品牌。</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pStyle w:val="51"/>
      </w:pPr>
      <w:bookmarkStart w:id="73" w:name="_Toc321925454"/>
      <w:r>
        <w:rPr>
          <w:rFonts w:hint="eastAsia"/>
        </w:rPr>
        <w:t xml:space="preserve">第四章  </w:t>
      </w:r>
      <w:r>
        <w:t>合同条款</w:t>
      </w:r>
      <w:bookmarkEnd w:id="73"/>
    </w:p>
    <w:p>
      <w:pPr>
        <w:adjustRightInd w:val="0"/>
        <w:snapToGrid w:val="0"/>
        <w:spacing w:line="360" w:lineRule="exact"/>
        <w:ind w:firstLine="452"/>
        <w:jc w:val="left"/>
        <w:rPr>
          <w:rFonts w:ascii="宋体" w:hAnsi="宋体"/>
          <w:b/>
          <w:sz w:val="22"/>
        </w:rPr>
      </w:pPr>
    </w:p>
    <w:p>
      <w:pPr>
        <w:jc w:val="left"/>
        <w:rPr>
          <w:sz w:val="32"/>
          <w:szCs w:val="32"/>
        </w:rPr>
      </w:pPr>
    </w:p>
    <w:p>
      <w:pPr>
        <w:snapToGrid w:val="0"/>
        <w:spacing w:line="360" w:lineRule="exact"/>
        <w:ind w:firstLine="440" w:firstLineChars="200"/>
        <w:jc w:val="left"/>
        <w:rPr>
          <w:rFonts w:ascii="宋体" w:hAnsi="宋体"/>
          <w:sz w:val="22"/>
        </w:rPr>
      </w:pPr>
    </w:p>
    <w:p>
      <w:pPr>
        <w:snapToGrid w:val="0"/>
        <w:spacing w:line="360" w:lineRule="exact"/>
        <w:ind w:firstLine="440" w:firstLineChars="200"/>
        <w:jc w:val="left"/>
        <w:rPr>
          <w:rFonts w:ascii="宋体" w:hAnsi="宋体"/>
          <w:sz w:val="22"/>
        </w:rPr>
      </w:pPr>
    </w:p>
    <w:p>
      <w:pPr>
        <w:spacing w:line="560" w:lineRule="exact"/>
        <w:ind w:firstLine="883" w:firstLineChars="200"/>
        <w:jc w:val="center"/>
        <w:rPr>
          <w:rFonts w:ascii="方正小标宋简体" w:hAnsi="仿宋" w:eastAsia="方正小标宋简体"/>
          <w:b/>
          <w:sz w:val="44"/>
          <w:szCs w:val="44"/>
        </w:rPr>
      </w:pPr>
      <w:r>
        <w:rPr>
          <w:rFonts w:hint="eastAsia" w:ascii="方正小标宋简体" w:hAnsi="仿宋" w:eastAsia="方正小标宋简体"/>
          <w:b/>
          <w:sz w:val="44"/>
          <w:szCs w:val="44"/>
        </w:rPr>
        <w:t>杭州萧山国际机场【】采购合同</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adjustRightInd w:val="0"/>
        <w:snapToGrid w:val="0"/>
        <w:spacing w:line="560" w:lineRule="exact"/>
        <w:ind w:firstLine="452"/>
        <w:rPr>
          <w:rFonts w:ascii="仿宋_GB2312" w:hAnsi="仿宋" w:eastAsia="仿宋_GB2312"/>
          <w:b/>
          <w:sz w:val="30"/>
          <w:szCs w:val="30"/>
        </w:rPr>
      </w:pPr>
      <w:r>
        <w:rPr>
          <w:rFonts w:hint="eastAsia" w:ascii="仿宋_GB2312" w:hAnsi="仿宋" w:eastAsia="仿宋_GB2312"/>
          <w:b/>
          <w:sz w:val="30"/>
          <w:szCs w:val="30"/>
        </w:rPr>
        <w:t>甲方：杭州萧山国际机场有限公司</w:t>
      </w:r>
    </w:p>
    <w:p>
      <w:pPr>
        <w:adjustRightInd w:val="0"/>
        <w:snapToGrid w:val="0"/>
        <w:spacing w:line="560" w:lineRule="exact"/>
        <w:ind w:firstLine="452"/>
        <w:rPr>
          <w:rFonts w:ascii="仿宋_GB2312" w:hAnsi="仿宋" w:eastAsia="仿宋_GB2312"/>
          <w:b/>
          <w:sz w:val="30"/>
          <w:szCs w:val="30"/>
        </w:rPr>
      </w:pPr>
      <w:r>
        <w:rPr>
          <w:rFonts w:hint="eastAsia" w:ascii="仿宋_GB2312" w:hAnsi="仿宋" w:eastAsia="仿宋_GB2312"/>
          <w:b/>
          <w:sz w:val="30"/>
          <w:szCs w:val="30"/>
        </w:rPr>
        <w:t>住所地：杭州萧山国际机场内</w:t>
      </w:r>
    </w:p>
    <w:p>
      <w:pPr>
        <w:adjustRightInd w:val="0"/>
        <w:snapToGrid w:val="0"/>
        <w:spacing w:line="560" w:lineRule="exact"/>
        <w:rPr>
          <w:rFonts w:ascii="仿宋_GB2312" w:hAnsi="仿宋" w:eastAsia="仿宋_GB2312"/>
          <w:b/>
          <w:sz w:val="30"/>
          <w:szCs w:val="30"/>
        </w:rPr>
      </w:pPr>
    </w:p>
    <w:p>
      <w:pPr>
        <w:adjustRightInd w:val="0"/>
        <w:snapToGrid w:val="0"/>
        <w:spacing w:line="560" w:lineRule="exact"/>
        <w:ind w:firstLine="452"/>
        <w:rPr>
          <w:rFonts w:ascii="仿宋_GB2312" w:hAnsi="仿宋" w:eastAsia="仿宋_GB2312"/>
          <w:b/>
          <w:sz w:val="30"/>
          <w:szCs w:val="30"/>
        </w:rPr>
      </w:pPr>
      <w:r>
        <w:rPr>
          <w:rFonts w:hint="eastAsia" w:ascii="仿宋_GB2312" w:hAnsi="仿宋" w:eastAsia="仿宋_GB2312"/>
          <w:b/>
          <w:sz w:val="30"/>
          <w:szCs w:val="30"/>
        </w:rPr>
        <w:t>乙方:</w:t>
      </w:r>
    </w:p>
    <w:p>
      <w:pPr>
        <w:adjustRightInd w:val="0"/>
        <w:snapToGrid w:val="0"/>
        <w:spacing w:line="560" w:lineRule="exact"/>
        <w:ind w:firstLine="452"/>
        <w:rPr>
          <w:rFonts w:ascii="仿宋_GB2312" w:hAnsi="仿宋" w:eastAsia="仿宋_GB2312"/>
          <w:sz w:val="30"/>
          <w:szCs w:val="30"/>
        </w:rPr>
      </w:pPr>
      <w:r>
        <w:rPr>
          <w:rFonts w:hint="eastAsia" w:ascii="仿宋_GB2312" w:hAnsi="仿宋" w:eastAsia="仿宋_GB2312"/>
          <w:b/>
          <w:sz w:val="30"/>
          <w:szCs w:val="30"/>
        </w:rPr>
        <w:t>住所地:</w:t>
      </w:r>
    </w:p>
    <w:p>
      <w:pPr>
        <w:adjustRightInd w:val="0"/>
        <w:snapToGrid w:val="0"/>
        <w:spacing w:line="560" w:lineRule="exact"/>
        <w:ind w:firstLine="450"/>
        <w:rPr>
          <w:rFonts w:ascii="仿宋_GB2312" w:hAnsi="仿宋" w:eastAsia="仿宋_GB2312"/>
          <w:sz w:val="30"/>
          <w:szCs w:val="30"/>
        </w:rPr>
      </w:pP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甲、乙双方根据《中华人民共和国合同法》等相关法律法规，就相关产品采购事宜，在互利、平等的原则基础上，经协商一致，特签订本合同，以共同遵守。</w:t>
      </w:r>
    </w:p>
    <w:p>
      <w:pPr>
        <w:spacing w:line="560" w:lineRule="exact"/>
        <w:ind w:firstLine="593"/>
        <w:rPr>
          <w:rFonts w:ascii="仿宋_GB2312" w:hAnsi="宋体" w:eastAsia="仿宋_GB2312"/>
          <w:b/>
          <w:bCs/>
          <w:sz w:val="30"/>
          <w:szCs w:val="30"/>
        </w:rPr>
      </w:pPr>
      <w:r>
        <w:rPr>
          <w:rFonts w:hint="eastAsia" w:ascii="仿宋_GB2312" w:hAnsi="宋体" w:eastAsia="仿宋_GB2312"/>
          <w:b/>
          <w:bCs/>
          <w:sz w:val="30"/>
          <w:szCs w:val="30"/>
        </w:rPr>
        <w:t>一、产品规格型号及参数</w:t>
      </w:r>
    </w:p>
    <w:tbl>
      <w:tblPr>
        <w:tblStyle w:val="58"/>
        <w:tblW w:w="10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559"/>
        <w:gridCol w:w="1820"/>
        <w:gridCol w:w="2150"/>
        <w:gridCol w:w="1180"/>
        <w:gridCol w:w="113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71" w:type="dxa"/>
            <w:vAlign w:val="center"/>
          </w:tcPr>
          <w:p>
            <w:pPr>
              <w:pStyle w:val="132"/>
              <w:spacing w:line="560" w:lineRule="exact"/>
              <w:jc w:val="center"/>
              <w:rPr>
                <w:rFonts w:ascii="仿宋_GB2312" w:eastAsia="仿宋_GB2312"/>
                <w:b/>
                <w:sz w:val="30"/>
                <w:szCs w:val="30"/>
              </w:rPr>
            </w:pPr>
            <w:r>
              <w:rPr>
                <w:rFonts w:hint="eastAsia" w:ascii="仿宋_GB2312" w:eastAsia="仿宋_GB2312"/>
                <w:b/>
                <w:sz w:val="30"/>
                <w:szCs w:val="30"/>
              </w:rPr>
              <w:t>序号</w:t>
            </w:r>
          </w:p>
        </w:tc>
        <w:tc>
          <w:tcPr>
            <w:tcW w:w="1559" w:type="dxa"/>
            <w:vAlign w:val="center"/>
          </w:tcPr>
          <w:p>
            <w:pPr>
              <w:pStyle w:val="132"/>
              <w:spacing w:line="560" w:lineRule="exact"/>
              <w:jc w:val="center"/>
              <w:rPr>
                <w:rFonts w:ascii="仿宋_GB2312" w:eastAsia="仿宋_GB2312"/>
                <w:b/>
                <w:sz w:val="30"/>
                <w:szCs w:val="30"/>
              </w:rPr>
            </w:pPr>
            <w:r>
              <w:rPr>
                <w:rFonts w:hint="eastAsia" w:ascii="仿宋_GB2312" w:eastAsia="仿宋_GB2312"/>
                <w:b/>
                <w:sz w:val="30"/>
                <w:szCs w:val="30"/>
              </w:rPr>
              <w:t>产品名称</w:t>
            </w:r>
          </w:p>
        </w:tc>
        <w:tc>
          <w:tcPr>
            <w:tcW w:w="1820" w:type="dxa"/>
            <w:vAlign w:val="center"/>
          </w:tcPr>
          <w:p>
            <w:pPr>
              <w:pStyle w:val="132"/>
              <w:spacing w:line="560" w:lineRule="exact"/>
              <w:jc w:val="center"/>
              <w:rPr>
                <w:rFonts w:ascii="仿宋_GB2312" w:eastAsia="仿宋_GB2312"/>
                <w:b/>
                <w:sz w:val="30"/>
                <w:szCs w:val="30"/>
              </w:rPr>
            </w:pPr>
            <w:r>
              <w:rPr>
                <w:rFonts w:hint="eastAsia" w:ascii="仿宋_GB2312" w:eastAsia="仿宋_GB2312"/>
                <w:b/>
                <w:sz w:val="30"/>
                <w:szCs w:val="30"/>
              </w:rPr>
              <w:t>品牌型号</w:t>
            </w:r>
          </w:p>
        </w:tc>
        <w:tc>
          <w:tcPr>
            <w:tcW w:w="2150" w:type="dxa"/>
            <w:vAlign w:val="center"/>
          </w:tcPr>
          <w:p>
            <w:pPr>
              <w:pStyle w:val="132"/>
              <w:spacing w:line="560" w:lineRule="exact"/>
              <w:jc w:val="center"/>
              <w:rPr>
                <w:rFonts w:ascii="仿宋_GB2312" w:eastAsia="仿宋_GB2312"/>
                <w:b/>
                <w:sz w:val="30"/>
                <w:szCs w:val="30"/>
              </w:rPr>
            </w:pPr>
            <w:r>
              <w:rPr>
                <w:rFonts w:hint="eastAsia" w:ascii="仿宋_GB2312" w:eastAsia="仿宋_GB2312"/>
                <w:b/>
                <w:sz w:val="30"/>
                <w:szCs w:val="30"/>
              </w:rPr>
              <w:t>单位</w:t>
            </w:r>
          </w:p>
        </w:tc>
        <w:tc>
          <w:tcPr>
            <w:tcW w:w="1180" w:type="dxa"/>
            <w:vAlign w:val="center"/>
          </w:tcPr>
          <w:p>
            <w:pPr>
              <w:pStyle w:val="132"/>
              <w:spacing w:line="560" w:lineRule="exact"/>
              <w:jc w:val="center"/>
              <w:rPr>
                <w:rFonts w:ascii="仿宋_GB2312" w:eastAsia="仿宋_GB2312"/>
                <w:b/>
                <w:sz w:val="30"/>
                <w:szCs w:val="30"/>
              </w:rPr>
            </w:pPr>
            <w:r>
              <w:rPr>
                <w:rFonts w:hint="eastAsia" w:ascii="仿宋_GB2312" w:eastAsia="仿宋_GB2312"/>
                <w:b/>
                <w:sz w:val="30"/>
                <w:szCs w:val="30"/>
              </w:rPr>
              <w:t>数量</w:t>
            </w:r>
          </w:p>
        </w:tc>
        <w:tc>
          <w:tcPr>
            <w:tcW w:w="1134" w:type="dxa"/>
            <w:vAlign w:val="center"/>
          </w:tcPr>
          <w:p>
            <w:pPr>
              <w:pStyle w:val="132"/>
              <w:spacing w:line="560" w:lineRule="exact"/>
              <w:jc w:val="center"/>
              <w:rPr>
                <w:rFonts w:ascii="仿宋_GB2312" w:eastAsia="仿宋_GB2312"/>
                <w:b/>
                <w:sz w:val="30"/>
                <w:szCs w:val="30"/>
              </w:rPr>
            </w:pPr>
            <w:r>
              <w:rPr>
                <w:rFonts w:hint="eastAsia" w:ascii="仿宋_GB2312" w:eastAsia="仿宋_GB2312"/>
                <w:b/>
                <w:sz w:val="30"/>
                <w:szCs w:val="30"/>
              </w:rPr>
              <w:t>单价</w:t>
            </w:r>
          </w:p>
        </w:tc>
        <w:tc>
          <w:tcPr>
            <w:tcW w:w="1476" w:type="dxa"/>
            <w:vAlign w:val="center"/>
          </w:tcPr>
          <w:p>
            <w:pPr>
              <w:pStyle w:val="132"/>
              <w:spacing w:line="560" w:lineRule="exact"/>
              <w:jc w:val="center"/>
              <w:rPr>
                <w:rFonts w:ascii="仿宋_GB2312" w:eastAsia="仿宋_GB2312"/>
                <w:b/>
                <w:sz w:val="30"/>
                <w:szCs w:val="30"/>
              </w:rPr>
            </w:pPr>
            <w:r>
              <w:rPr>
                <w:rFonts w:hint="eastAsia" w:ascii="仿宋_GB2312" w:eastAsia="仿宋_GB2312"/>
                <w:b/>
                <w:sz w:val="30"/>
                <w:szCs w:val="3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871" w:type="dxa"/>
            <w:vAlign w:val="center"/>
          </w:tcPr>
          <w:p>
            <w:pPr>
              <w:pStyle w:val="132"/>
              <w:spacing w:line="560" w:lineRule="exact"/>
              <w:jc w:val="center"/>
              <w:rPr>
                <w:rFonts w:ascii="仿宋_GB2312" w:eastAsia="仿宋_GB2312"/>
                <w:sz w:val="24"/>
                <w:szCs w:val="24"/>
              </w:rPr>
            </w:pPr>
          </w:p>
        </w:tc>
        <w:tc>
          <w:tcPr>
            <w:tcW w:w="1559" w:type="dxa"/>
            <w:vAlign w:val="center"/>
          </w:tcPr>
          <w:p>
            <w:pPr>
              <w:pStyle w:val="132"/>
              <w:spacing w:line="560" w:lineRule="exact"/>
              <w:jc w:val="center"/>
              <w:rPr>
                <w:rFonts w:ascii="仿宋_GB2312" w:eastAsia="仿宋_GB2312"/>
                <w:sz w:val="24"/>
                <w:szCs w:val="24"/>
              </w:rPr>
            </w:pPr>
          </w:p>
        </w:tc>
        <w:tc>
          <w:tcPr>
            <w:tcW w:w="1820" w:type="dxa"/>
            <w:vAlign w:val="center"/>
          </w:tcPr>
          <w:p>
            <w:pPr>
              <w:pStyle w:val="132"/>
              <w:spacing w:line="560" w:lineRule="exact"/>
              <w:jc w:val="center"/>
              <w:rPr>
                <w:rFonts w:ascii="仿宋_GB2312" w:hAnsi="宋体" w:eastAsia="仿宋_GB2312"/>
                <w:sz w:val="24"/>
                <w:szCs w:val="24"/>
              </w:rPr>
            </w:pPr>
          </w:p>
        </w:tc>
        <w:tc>
          <w:tcPr>
            <w:tcW w:w="2150" w:type="dxa"/>
            <w:vAlign w:val="center"/>
          </w:tcPr>
          <w:p>
            <w:pPr>
              <w:pStyle w:val="132"/>
              <w:spacing w:line="560" w:lineRule="exact"/>
              <w:jc w:val="center"/>
              <w:rPr>
                <w:rFonts w:ascii="仿宋_GB2312" w:eastAsia="仿宋_GB2312"/>
                <w:sz w:val="24"/>
                <w:szCs w:val="24"/>
              </w:rPr>
            </w:pPr>
          </w:p>
        </w:tc>
        <w:tc>
          <w:tcPr>
            <w:tcW w:w="1180" w:type="dxa"/>
            <w:vAlign w:val="center"/>
          </w:tcPr>
          <w:p>
            <w:pPr>
              <w:pStyle w:val="132"/>
              <w:spacing w:line="560" w:lineRule="exact"/>
              <w:ind w:firstLine="120" w:firstLineChars="50"/>
              <w:jc w:val="center"/>
              <w:rPr>
                <w:rFonts w:ascii="仿宋_GB2312" w:eastAsia="仿宋_GB2312"/>
                <w:sz w:val="24"/>
                <w:szCs w:val="24"/>
              </w:rPr>
            </w:pPr>
          </w:p>
        </w:tc>
        <w:tc>
          <w:tcPr>
            <w:tcW w:w="1134" w:type="dxa"/>
            <w:vAlign w:val="center"/>
          </w:tcPr>
          <w:p>
            <w:pPr>
              <w:pStyle w:val="132"/>
              <w:spacing w:line="560" w:lineRule="exact"/>
              <w:jc w:val="center"/>
              <w:rPr>
                <w:rFonts w:ascii="仿宋_GB2312" w:eastAsia="仿宋_GB2312"/>
                <w:sz w:val="24"/>
                <w:szCs w:val="24"/>
              </w:rPr>
            </w:pPr>
          </w:p>
        </w:tc>
        <w:tc>
          <w:tcPr>
            <w:tcW w:w="1476" w:type="dxa"/>
            <w:vAlign w:val="center"/>
          </w:tcPr>
          <w:p>
            <w:pPr>
              <w:pStyle w:val="132"/>
              <w:spacing w:line="560" w:lineRule="exact"/>
              <w:ind w:firstLine="120" w:firstLineChars="5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vAlign w:val="center"/>
          </w:tcPr>
          <w:p>
            <w:pPr>
              <w:pStyle w:val="132"/>
              <w:spacing w:line="560" w:lineRule="exact"/>
              <w:jc w:val="center"/>
              <w:rPr>
                <w:rFonts w:ascii="仿宋_GB2312" w:eastAsia="仿宋_GB2312"/>
                <w:sz w:val="24"/>
                <w:szCs w:val="24"/>
              </w:rPr>
            </w:pPr>
            <w:r>
              <w:rPr>
                <w:rFonts w:hint="eastAsia" w:ascii="仿宋_GB2312" w:eastAsia="仿宋_GB2312"/>
                <w:sz w:val="24"/>
                <w:szCs w:val="24"/>
              </w:rPr>
              <w:t>合计</w:t>
            </w:r>
          </w:p>
        </w:tc>
        <w:tc>
          <w:tcPr>
            <w:tcW w:w="9319" w:type="dxa"/>
            <w:gridSpan w:val="6"/>
          </w:tcPr>
          <w:p>
            <w:pPr>
              <w:pStyle w:val="132"/>
              <w:spacing w:line="560" w:lineRule="exact"/>
              <w:jc w:val="right"/>
              <w:rPr>
                <w:rFonts w:ascii="仿宋_GB2312" w:eastAsia="仿宋_GB2312"/>
                <w:sz w:val="24"/>
                <w:szCs w:val="24"/>
              </w:rPr>
            </w:pPr>
          </w:p>
        </w:tc>
      </w:tr>
    </w:tbl>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备注：1、</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 xml:space="preserve">      2、</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二、合同金额</w:t>
      </w:r>
    </w:p>
    <w:p>
      <w:pPr>
        <w:spacing w:line="560" w:lineRule="exact"/>
        <w:ind w:firstLine="576" w:firstLineChars="192"/>
        <w:rPr>
          <w:rFonts w:ascii="仿宋_GB2312" w:hAnsi="仿宋" w:eastAsia="仿宋_GB2312"/>
          <w:sz w:val="30"/>
          <w:szCs w:val="30"/>
        </w:rPr>
      </w:pPr>
      <w:r>
        <w:rPr>
          <w:rFonts w:hint="eastAsia" w:ascii="仿宋_GB2312" w:hAnsi="仿宋" w:eastAsia="仿宋_GB2312"/>
          <w:sz w:val="30"/>
          <w:szCs w:val="30"/>
        </w:rPr>
        <w:t>本合同金额为固定总价合同，合同金额为（大写）：人民币    ，（小写）</w:t>
      </w:r>
      <w:r>
        <w:rPr>
          <w:rFonts w:ascii="Arial" w:hAnsi="Arial" w:eastAsia="仿宋_GB2312" w:cs="Arial"/>
          <w:sz w:val="30"/>
          <w:szCs w:val="30"/>
        </w:rPr>
        <w:t>¥</w:t>
      </w:r>
      <w:r>
        <w:rPr>
          <w:rFonts w:hint="eastAsia" w:ascii="Arial" w:hAnsi="Arial" w:eastAsia="仿宋_GB2312" w:cs="Arial"/>
          <w:sz w:val="30"/>
          <w:szCs w:val="30"/>
        </w:rPr>
        <w:t xml:space="preserve">       </w:t>
      </w:r>
      <w:r>
        <w:rPr>
          <w:rFonts w:hint="eastAsia" w:ascii="仿宋_GB2312" w:hAnsi="仿宋" w:eastAsia="仿宋_GB2312"/>
          <w:sz w:val="30"/>
          <w:szCs w:val="30"/>
        </w:rPr>
        <w:t>。本合同价为杭州萧山国际机场内交货价，含产品价格、运输费、包装费、保险费、税费等所有费用。甲方不再承担其他任何费用。</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三、技术资料</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1.乙方应在交付合同产品时同时向甲方提供使用产品的有关技术资料。</w:t>
      </w:r>
    </w:p>
    <w:p>
      <w:pPr>
        <w:adjustRightInd w:val="0"/>
        <w:snapToGrid w:val="0"/>
        <w:spacing w:line="560" w:lineRule="exact"/>
        <w:ind w:firstLine="602" w:firstLineChars="200"/>
        <w:rPr>
          <w:rFonts w:ascii="仿宋_GB2312" w:hAnsi="仿宋" w:eastAsia="仿宋_GB2312"/>
          <w:sz w:val="30"/>
          <w:szCs w:val="30"/>
        </w:rPr>
      </w:pPr>
      <w:r>
        <w:rPr>
          <w:rFonts w:hint="eastAsia" w:ascii="仿宋_GB2312" w:hAnsi="仿宋" w:eastAsia="仿宋_GB2312"/>
          <w:b/>
          <w:sz w:val="30"/>
          <w:szCs w:val="30"/>
        </w:rPr>
        <w:t>2.</w:t>
      </w:r>
      <w:r>
        <w:rPr>
          <w:rFonts w:hint="eastAsia" w:ascii="仿宋_GB2312" w:hAnsi="仿宋" w:eastAsia="仿宋_GB2312"/>
          <w:sz w:val="30"/>
          <w:szCs w:val="30"/>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四、知识产权</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乙方应保证所提供的产品或其任何一部分均不会侵犯任何第三方的知识产权等合法权益。如因乙方违反本条保证并导致甲方遭受损失的，甲方有权解除本合同，乙方须向甲方承担赔偿责任。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五、产权担保</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六、转包或分包</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2.如有未经甲方书面同意的转让和分包行为，甲方有权解除合同，并有权要求乙方承担合同总金额【10%】的违约金。</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七、产品包装、发运及运输</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乙方应在产品发运前对其按满足运输距离、防潮、防震、防锈和防破损装卸等要求进行包装，以保证产品安全运达甲方指定地点。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使用说明书、质量检验证明书、技术资料、随配附件和工具以及清单一并附于产品内同时向甲方交付。如资料和工具、附件不全的，视为乙方未完全履行交付义务。</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 乙方在产品发运手续办理完毕后【24】小时内必须书面通知甲方，以便甲方准备接货。</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 产品在本合同规定的交货地点交付甲方前发生的一切风险包括产品运输风险均由乙方负责。</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 产品在规定的交付期限内由乙方送达甲方指定的交货地点并经甲方签收后视为交付，乙方同时必须在产品到达的当天立即通知甲方产品已送达。</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八、交货期、交货方式及交货地点</w:t>
      </w:r>
    </w:p>
    <w:p>
      <w:pPr>
        <w:adjustRightInd w:val="0"/>
        <w:snapToGrid w:val="0"/>
        <w:spacing w:line="560" w:lineRule="exact"/>
        <w:ind w:firstLine="450" w:firstLineChars="150"/>
        <w:rPr>
          <w:rFonts w:ascii="仿宋_GB2312" w:hAnsi="仿宋" w:eastAsia="仿宋_GB2312"/>
          <w:sz w:val="30"/>
          <w:szCs w:val="30"/>
        </w:rPr>
      </w:pPr>
      <w:r>
        <w:rPr>
          <w:rFonts w:hint="eastAsia" w:ascii="仿宋_GB2312" w:hAnsi="仿宋" w:eastAsia="仿宋_GB2312"/>
          <w:sz w:val="30"/>
          <w:szCs w:val="30"/>
        </w:rPr>
        <w:t>1. 交货期：合同签订之日起</w:t>
      </w:r>
      <w:r>
        <w:rPr>
          <w:rFonts w:ascii="仿宋_GB2312" w:hAnsi="仿宋" w:eastAsia="仿宋_GB2312"/>
          <w:sz w:val="30"/>
          <w:szCs w:val="30"/>
        </w:rPr>
        <w:t xml:space="preserve">    </w:t>
      </w:r>
      <w:r>
        <w:rPr>
          <w:rFonts w:hint="eastAsia" w:ascii="仿宋_GB2312" w:hAnsi="仿宋" w:eastAsia="仿宋_GB2312"/>
          <w:sz w:val="30"/>
          <w:szCs w:val="30"/>
        </w:rPr>
        <w:t>日内</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交货方式：乙方送货上门</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 交货地点：杭州萧山国际机场内</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九、安装与验收</w:t>
      </w:r>
    </w:p>
    <w:p>
      <w:pPr>
        <w:pStyle w:val="139"/>
        <w:adjustRightInd w:val="0"/>
        <w:snapToGrid w:val="0"/>
        <w:spacing w:line="560" w:lineRule="exact"/>
        <w:ind w:firstLine="602" w:firstLineChars="200"/>
        <w:rPr>
          <w:rFonts w:ascii="仿宋_GB2312" w:hAnsi="宋体" w:eastAsia="仿宋_GB2312"/>
          <w:sz w:val="30"/>
          <w:szCs w:val="30"/>
        </w:rPr>
      </w:pPr>
      <w:r>
        <w:rPr>
          <w:rFonts w:hint="eastAsia" w:ascii="仿宋_GB2312" w:hAnsi="宋体" w:eastAsia="仿宋_GB2312"/>
          <w:b/>
          <w:sz w:val="30"/>
          <w:szCs w:val="30"/>
        </w:rPr>
        <w:t>1.</w:t>
      </w:r>
      <w:r>
        <w:rPr>
          <w:rFonts w:hint="eastAsia" w:ascii="仿宋_GB2312" w:hAnsi="宋体" w:eastAsia="仿宋_GB2312"/>
          <w:sz w:val="30"/>
          <w:szCs w:val="30"/>
        </w:rPr>
        <w:t>甲方对乙方交付的货物依据甲方要求和国家有关质量标准进行现场初步验收，产品外观、数量、品种、规格和说明书等资料符合甲方要求的，视为初步验收合格，给予签收，初步验收不合格的不予签收并在到货之日起【7】日内以书面或电话形式向乙方提出异议。乙方在甲方初步验收完毕后，负责在【7】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7】日内以书面方式向乙方提出相关异议。</w:t>
      </w:r>
    </w:p>
    <w:p>
      <w:pPr>
        <w:pStyle w:val="139"/>
        <w:adjustRightInd w:val="0"/>
        <w:snapToGrid w:val="0"/>
        <w:spacing w:line="560" w:lineRule="exact"/>
        <w:ind w:firstLine="602" w:firstLineChars="200"/>
        <w:rPr>
          <w:rFonts w:ascii="仿宋_GB2312" w:hAnsi="宋体" w:eastAsia="仿宋_GB2312"/>
          <w:sz w:val="30"/>
          <w:szCs w:val="30"/>
        </w:rPr>
      </w:pPr>
      <w:r>
        <w:rPr>
          <w:rFonts w:hint="eastAsia" w:ascii="仿宋_GB2312" w:hAnsi="宋体" w:eastAsia="仿宋_GB2312"/>
          <w:b/>
          <w:sz w:val="30"/>
          <w:szCs w:val="30"/>
        </w:rPr>
        <w:t>2.</w:t>
      </w:r>
      <w:r>
        <w:rPr>
          <w:rFonts w:hint="eastAsia" w:ascii="仿宋_GB2312" w:hAnsi="宋体" w:eastAsia="仿宋_GB2312"/>
          <w:sz w:val="30"/>
          <w:szCs w:val="30"/>
        </w:rPr>
        <w:t>乙方交货前应对产品作出全面检查和对验收文件进行整理，并列出清单，作为甲方收货验收和使用的技术条件依据，乙方检验的结果应随货物交甲方。</w:t>
      </w:r>
    </w:p>
    <w:p>
      <w:pPr>
        <w:pStyle w:val="139"/>
        <w:adjustRightInd w:val="0"/>
        <w:snapToGrid w:val="0"/>
        <w:spacing w:line="560" w:lineRule="exact"/>
        <w:ind w:firstLine="602" w:firstLineChars="200"/>
        <w:rPr>
          <w:rFonts w:ascii="仿宋_GB2312" w:hAnsi="宋体" w:eastAsia="仿宋_GB2312"/>
          <w:sz w:val="30"/>
          <w:szCs w:val="30"/>
        </w:rPr>
      </w:pPr>
      <w:r>
        <w:rPr>
          <w:rFonts w:hint="eastAsia" w:ascii="仿宋_GB2312" w:hAnsi="宋体" w:eastAsia="仿宋_GB2312"/>
          <w:b/>
          <w:sz w:val="30"/>
          <w:szCs w:val="30"/>
        </w:rPr>
        <w:t>3.</w:t>
      </w:r>
      <w:r>
        <w:rPr>
          <w:rFonts w:hint="eastAsia" w:ascii="仿宋_GB2312" w:hAnsi="宋体" w:eastAsia="仿宋_GB2312"/>
          <w:sz w:val="30"/>
          <w:szCs w:val="30"/>
        </w:rPr>
        <w:t>乙方应当在收到甲方前述第1款异议之日起【7 】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pStyle w:val="139"/>
        <w:adjustRightInd w:val="0"/>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4.具体的安装要求：</w:t>
      </w:r>
    </w:p>
    <w:p>
      <w:pPr>
        <w:adjustRightInd w:val="0"/>
        <w:snapToGrid w:val="0"/>
        <w:spacing w:line="560" w:lineRule="exact"/>
        <w:ind w:firstLine="450" w:firstLineChars="150"/>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.1</w:t>
      </w:r>
      <w:r>
        <w:rPr>
          <w:rFonts w:hint="eastAsia" w:ascii="仿宋_GB2312" w:hAnsi="仿宋" w:eastAsia="仿宋_GB2312"/>
          <w:sz w:val="30"/>
          <w:szCs w:val="30"/>
        </w:rPr>
        <w:t>乙方应在货物发运前对其按满足运输距离、防潮、防震、防锈和防破损装卸等要求进行包装，以保证货物安全运达甲方指定地点。</w:t>
      </w:r>
    </w:p>
    <w:p>
      <w:pPr>
        <w:adjustRightInd w:val="0"/>
        <w:snapToGrid w:val="0"/>
        <w:spacing w:line="560" w:lineRule="exact"/>
        <w:ind w:firstLine="450" w:firstLineChars="150"/>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.2</w:t>
      </w:r>
      <w:r>
        <w:rPr>
          <w:rFonts w:hint="eastAsia" w:ascii="仿宋_GB2312" w:hAnsi="仿宋" w:eastAsia="仿宋_GB2312"/>
          <w:sz w:val="30"/>
          <w:szCs w:val="30"/>
        </w:rPr>
        <w:t>使用说明书、质量检验证明书、随配附件和工具以及清单一并附于货物内。</w:t>
      </w:r>
    </w:p>
    <w:p>
      <w:pPr>
        <w:adjustRightInd w:val="0"/>
        <w:snapToGrid w:val="0"/>
        <w:spacing w:line="560" w:lineRule="exact"/>
        <w:ind w:firstLine="450" w:firstLineChars="150"/>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.3</w:t>
      </w:r>
      <w:r>
        <w:rPr>
          <w:rFonts w:hint="eastAsia" w:ascii="仿宋_GB2312" w:hAnsi="仿宋" w:eastAsia="仿宋_GB2312"/>
          <w:sz w:val="30"/>
          <w:szCs w:val="30"/>
        </w:rPr>
        <w:t>乙方在货物发运手续办理完毕后24小时内必须书面通知甲方，以便甲方准备接货。</w:t>
      </w:r>
    </w:p>
    <w:p>
      <w:pPr>
        <w:adjustRightInd w:val="0"/>
        <w:snapToGrid w:val="0"/>
        <w:spacing w:line="560" w:lineRule="exact"/>
        <w:ind w:firstLine="450" w:firstLineChars="150"/>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.4</w:t>
      </w:r>
      <w:r>
        <w:rPr>
          <w:rFonts w:hint="eastAsia" w:ascii="仿宋_GB2312" w:hAnsi="仿宋" w:eastAsia="仿宋_GB2312"/>
          <w:sz w:val="30"/>
          <w:szCs w:val="30"/>
        </w:rPr>
        <w:t>货物在本合同规定的交货地点交付甲方前发生的一切风险包括货物运输风险均由乙方负责。</w:t>
      </w:r>
    </w:p>
    <w:p>
      <w:pPr>
        <w:ind w:firstLine="450" w:firstLineChars="150"/>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.5</w:t>
      </w:r>
      <w:r>
        <w:rPr>
          <w:rFonts w:hint="eastAsia" w:ascii="仿宋_GB2312" w:hAnsi="仿宋" w:eastAsia="仿宋_GB2312"/>
          <w:sz w:val="30"/>
          <w:szCs w:val="30"/>
        </w:rPr>
        <w:t>货物在规定的交付期限内由乙方送达甲方指定的交货地点视为交付，乙方同时必须在货物到达的当天立即通知甲方货物已送达。</w:t>
      </w:r>
    </w:p>
    <w:p>
      <w:pPr>
        <w:ind w:firstLine="450" w:firstLineChars="150"/>
        <w:rPr>
          <w:rFonts w:ascii="仿宋_GB2312" w:hAnsi="仿宋" w:eastAsia="仿宋_GB2312"/>
          <w:sz w:val="30"/>
          <w:szCs w:val="30"/>
        </w:rPr>
      </w:pPr>
      <w:r>
        <w:rPr>
          <w:rFonts w:hint="eastAsia" w:ascii="仿宋_GB2312" w:hAnsi="仿宋" w:eastAsia="仿宋_GB2312"/>
          <w:sz w:val="30"/>
          <w:szCs w:val="30"/>
        </w:rPr>
        <w:t>5.具体的验收要求：按照国家质量标准验收</w:t>
      </w:r>
    </w:p>
    <w:p>
      <w:pPr>
        <w:ind w:firstLine="450" w:firstLineChars="150"/>
        <w:rPr>
          <w:rFonts w:ascii="仿宋_GB2312" w:hAnsi="宋体" w:eastAsia="仿宋_GB2312"/>
          <w:sz w:val="30"/>
          <w:szCs w:val="30"/>
        </w:rPr>
      </w:pP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十、货款支付</w:t>
      </w:r>
    </w:p>
    <w:p>
      <w:pPr>
        <w:pStyle w:val="49"/>
        <w:snapToGrid w:val="0"/>
        <w:spacing w:before="0" w:beforeAutospacing="0" w:after="0" w:afterAutospacing="0" w:line="360" w:lineRule="exact"/>
        <w:ind w:firstLine="600" w:firstLineChars="200"/>
        <w:jc w:val="both"/>
        <w:rPr>
          <w:rFonts w:ascii="仿宋_GB2312" w:hAnsi="仿宋" w:eastAsia="仿宋_GB2312" w:cstheme="minorBidi"/>
          <w:color w:val="auto"/>
          <w:kern w:val="2"/>
          <w:sz w:val="30"/>
          <w:szCs w:val="30"/>
        </w:rPr>
      </w:pPr>
      <w:r>
        <w:rPr>
          <w:rFonts w:hint="eastAsia" w:ascii="仿宋_GB2312" w:hAnsi="仿宋" w:eastAsia="仿宋_GB2312" w:cstheme="minorBidi"/>
          <w:color w:val="auto"/>
          <w:kern w:val="2"/>
          <w:sz w:val="30"/>
          <w:szCs w:val="30"/>
        </w:rPr>
        <w:t>1.设备安装调试完成后，并经甲方验收合格后【15】个工作日内，支付至合同总金额的95%。</w:t>
      </w:r>
    </w:p>
    <w:p>
      <w:pPr>
        <w:pStyle w:val="49"/>
        <w:snapToGrid w:val="0"/>
        <w:spacing w:before="0" w:beforeAutospacing="0" w:after="0" w:afterAutospacing="0" w:line="360" w:lineRule="exact"/>
        <w:ind w:firstLine="600" w:firstLineChars="200"/>
        <w:jc w:val="both"/>
        <w:rPr>
          <w:rFonts w:ascii="仿宋_GB2312" w:hAnsi="仿宋" w:eastAsia="仿宋_GB2312" w:cstheme="minorBidi"/>
          <w:color w:val="auto"/>
          <w:kern w:val="2"/>
          <w:sz w:val="30"/>
          <w:szCs w:val="30"/>
        </w:rPr>
      </w:pPr>
      <w:r>
        <w:rPr>
          <w:rFonts w:hint="eastAsia" w:ascii="仿宋_GB2312" w:hAnsi="仿宋" w:eastAsia="仿宋_GB2312" w:cstheme="minorBidi"/>
          <w:color w:val="auto"/>
          <w:kern w:val="2"/>
          <w:sz w:val="30"/>
          <w:szCs w:val="30"/>
        </w:rPr>
        <w:t>2</w:t>
      </w:r>
      <w:r>
        <w:rPr>
          <w:rFonts w:ascii="仿宋_GB2312" w:hAnsi="仿宋" w:eastAsia="仿宋_GB2312" w:cstheme="minorBidi"/>
          <w:color w:val="auto"/>
          <w:kern w:val="2"/>
          <w:sz w:val="30"/>
          <w:szCs w:val="30"/>
        </w:rPr>
        <w:t>.</w:t>
      </w:r>
      <w:r>
        <w:rPr>
          <w:rFonts w:hint="eastAsia"/>
        </w:rPr>
        <w:t xml:space="preserve"> </w:t>
      </w:r>
      <w:r>
        <w:rPr>
          <w:rFonts w:hint="eastAsia" w:ascii="仿宋_GB2312" w:hAnsi="仿宋" w:eastAsia="仿宋_GB2312" w:cstheme="minorBidi"/>
          <w:color w:val="auto"/>
          <w:kern w:val="2"/>
          <w:sz w:val="30"/>
          <w:szCs w:val="30"/>
        </w:rPr>
        <w:t>质量保证金为合同总价5%，质量保证金于质量保证期满后【十五】工作日内一并无息支付。</w:t>
      </w:r>
    </w:p>
    <w:p>
      <w:pPr>
        <w:pStyle w:val="49"/>
        <w:spacing w:before="0" w:after="0" w:line="360" w:lineRule="exact"/>
        <w:ind w:firstLine="600" w:firstLineChars="200"/>
        <w:rPr>
          <w:rFonts w:ascii="仿宋_GB2312" w:hAnsi="仿宋" w:eastAsia="仿宋_GB2312" w:cstheme="minorBidi"/>
          <w:color w:val="auto"/>
          <w:kern w:val="2"/>
          <w:sz w:val="30"/>
          <w:szCs w:val="30"/>
        </w:rPr>
      </w:pPr>
      <w:r>
        <w:rPr>
          <w:rFonts w:ascii="仿宋_GB2312" w:hAnsi="仿宋" w:eastAsia="仿宋_GB2312" w:cstheme="minorBidi"/>
          <w:color w:val="auto"/>
          <w:kern w:val="2"/>
          <w:sz w:val="30"/>
          <w:szCs w:val="30"/>
        </w:rPr>
        <w:t>3</w:t>
      </w:r>
      <w:r>
        <w:rPr>
          <w:rFonts w:hint="eastAsia" w:ascii="仿宋_GB2312" w:hAnsi="仿宋" w:eastAsia="仿宋_GB2312" w:cstheme="minorBidi"/>
          <w:color w:val="auto"/>
          <w:kern w:val="2"/>
          <w:sz w:val="30"/>
          <w:szCs w:val="30"/>
        </w:rPr>
        <w:t>.乙方在甲方付款前开具正式增值税发票。</w:t>
      </w:r>
    </w:p>
    <w:p>
      <w:pPr>
        <w:pStyle w:val="49"/>
        <w:spacing w:before="0" w:after="0" w:line="360" w:lineRule="exact"/>
        <w:ind w:firstLine="602" w:firstLineChars="200"/>
        <w:rPr>
          <w:rFonts w:ascii="仿宋_GB2312" w:eastAsia="仿宋_GB2312"/>
          <w:b/>
          <w:color w:val="444444"/>
          <w:sz w:val="30"/>
          <w:szCs w:val="30"/>
          <w:lang w:val="zh-CN"/>
        </w:rPr>
      </w:pPr>
      <w:r>
        <w:rPr>
          <w:rFonts w:hint="eastAsia" w:ascii="仿宋_GB2312" w:eastAsia="仿宋_GB2312"/>
          <w:b/>
          <w:color w:val="444444"/>
          <w:sz w:val="30"/>
          <w:szCs w:val="30"/>
        </w:rPr>
        <w:t>十一、</w:t>
      </w:r>
      <w:r>
        <w:rPr>
          <w:rFonts w:hint="eastAsia" w:ascii="仿宋_GB2312" w:eastAsia="仿宋_GB2312"/>
          <w:b/>
          <w:color w:val="444444"/>
          <w:sz w:val="30"/>
          <w:szCs w:val="30"/>
          <w:lang w:val="zh-CN"/>
        </w:rPr>
        <w:t>履约保证金</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1．乙方应在收到甲方中标通知书后【7】日内，向甲方支付合同总价的【10% 】作为履约保证金。如果逾期未缴纳，甲方有权解除本合同，并要求乙方承担由此给甲方造成的损失。</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2．在合同履行期间，如果乙方存在违约情形，甲方有权优先从履约保证金中扣除相应款项，并书面通知乙方。乙方自收到书面通知之日起【7 】日内补足履约保证金。如果乙方不及时补足履约保证金，视为乙方违约，甲方有权解除合同，并要求乙方承担相应的违约责任。待合同约定服务内容全部履行并完毕，乙方不存在任何违约情形并收到甲方书面认可后【7 】日内，甲方无息返还履约保证金。</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十二、税费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本合同执行中相关的一切税费均由乙方负担。</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十三、免费质保期及服务内容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乙方保证其所供应的产品符合相关产品质量标准，不存在任何质量瑕疵或因质量瑕疵而导致的安全隐患，且为未经使用的全新产品。</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乙方应为产品提供【24 】个月的免费质保期(含工时费和零部件费)，时间自甲方最终签署安装验收合格报告之日起计算。</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 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 乙方提供【2 】小时售后服务，在接到报修通知后，维修人员应在【2】小时内赶到杭州萧山国际机场，并连续进行维修，直到产品恢复正常。修复部分的质保期自修复之日起重新开始计算。</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 免费质保期结束的【 7 】天前，乙方负责对产品进行一次全面的检修和维护，并由甲方验收认可。甲方验收认可并不免除乙方对于验收认可后发生的但尚在质保期限内的产品故障或损坏的维修、退换货义务。</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6、若乙方提供的产品属于伪劣产品或者假冒产品或者欺诈甲方，使得甲方遭受损失，乙方应向甲方承担违约责任，同时，甲方可依法寻求其他法律救济。</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十四、违约责任</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甲方无故逾期支付货款的,甲方应按逾期付款总额每日【0.05】%向乙方支付违约金。</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2. 乙方逾期交付产品和本合同规定的文件资料的，或者未按甲方时间要求完成安装调试并通过甲方终验收的，乙方应按合同总额每日【0.05】%向甲方支付违约金，由甲方从货款中扣除。逾期超过约定日期【15】个工作日的，甲方可解除本合同。乙方因逾期交货或因其他违约行为导致甲方解除合同的，乙方应向甲方支付合同总额【10 】%的违约金，且全额没收乙方的履约保证金，如造成甲方损失超过违约金的，超出部分由乙方继续承担赔偿责任。 </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 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并没收全部履约保证金。</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 乙方不在约定期限内派人维修或维修质量验收不合格的，甲方可以委托他人修理，费用由乙方承担，甲方与第三方确认后可直接从质保金中扣除；履约保证金不足以抵扣的，继续向乙方追偿。</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7．对于本合同项下乙方应支付的赔偿款或违约金，甲方有权从应付乙方的货款及履约保证金中直接扣除，不足的部分，继续向乙方追偿。</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十五、不可抗力事件处理</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在合同有效期内，任何一方因不可抗力事件导致不能履行合同，则合同履行期可延长，其延长期与不可抗力影响期相同。</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不可抗力事件发生后，遭遇不可抗力的一方应立即通知对方，并寄送有关官方权威机构出具的证明。</w:t>
      </w:r>
    </w:p>
    <w:p>
      <w:pPr>
        <w:spacing w:line="560" w:lineRule="exact"/>
        <w:ind w:firstLine="570" w:firstLineChars="190"/>
        <w:rPr>
          <w:rFonts w:ascii="仿宋_GB2312" w:hAnsi="仿宋" w:eastAsia="仿宋_GB2312"/>
          <w:sz w:val="30"/>
          <w:szCs w:val="30"/>
        </w:rPr>
      </w:pPr>
      <w:r>
        <w:rPr>
          <w:rFonts w:hint="eastAsia" w:ascii="仿宋_GB2312" w:hAnsi="仿宋" w:eastAsia="仿宋_GB2312"/>
          <w:sz w:val="30"/>
          <w:szCs w:val="30"/>
        </w:rPr>
        <w:t>3. 不可抗力事件延续【140 】天以上，双方应通过友好协商，确定是否继续履行合同；协商无法达成一致的，本合同自动终止，双方互不承担赔偿或违约责任。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十六、争议解决</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双方在执行合同中所发生的一切争议，应通过协商解决。如协商不成，由甲方所在地的人民法院管辖审理。</w:t>
      </w:r>
    </w:p>
    <w:p>
      <w:pPr>
        <w:adjustRightInd w:val="0"/>
        <w:snapToGrid w:val="0"/>
        <w:spacing w:line="56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十七、合同组成文件包含下列内容，且解释顺序如下：</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1.本合同协议书</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2.中标通知书</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3.招标文件</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4.投标书及其附件</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5.标准、规范及有关技术文件</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十八、合同生效及其它</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合同经双方法定代表人或授权代表签字（包含签章）并加盖单位公章或者合同章之日起生效。</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2.本合同未尽事宜，双方可签订补充协议予以执行；未达成补充协议的，遵照《合同法》及有关法律法规执行。</w:t>
      </w:r>
    </w:p>
    <w:p>
      <w:pPr>
        <w:tabs>
          <w:tab w:val="right" w:pos="8306"/>
        </w:tabs>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3.本合同一式陆份，甲执四份，乙方持二份，具有同等法律效力。</w:t>
      </w: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（以下为签署页）</w:t>
      </w:r>
    </w:p>
    <w:p>
      <w:pPr>
        <w:tabs>
          <w:tab w:val="right" w:pos="8306"/>
        </w:tabs>
        <w:adjustRightInd w:val="0"/>
        <w:snapToGrid w:val="0"/>
        <w:spacing w:line="560" w:lineRule="exact"/>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ab/>
      </w:r>
    </w:p>
    <w:p>
      <w:pPr>
        <w:adjustRightInd w:val="0"/>
        <w:snapToGrid w:val="0"/>
        <w:spacing w:line="560" w:lineRule="exact"/>
        <w:ind w:left="4800" w:hanging="4800" w:hangingChars="1600"/>
        <w:rPr>
          <w:rFonts w:ascii="仿宋_GB2312" w:hAnsi="仿宋" w:eastAsia="仿宋_GB2312"/>
          <w:sz w:val="30"/>
          <w:szCs w:val="30"/>
        </w:rPr>
      </w:pPr>
      <w:r>
        <w:rPr>
          <w:rFonts w:hint="eastAsia" w:ascii="仿宋_GB2312" w:hAnsi="仿宋" w:eastAsia="仿宋_GB2312"/>
          <w:sz w:val="30"/>
          <w:szCs w:val="30"/>
        </w:rPr>
        <w:t>甲方：杭州萧山国际机场有限公司  乙方：</w:t>
      </w:r>
    </w:p>
    <w:p>
      <w:pPr>
        <w:adjustRightInd w:val="0"/>
        <w:snapToGrid w:val="0"/>
        <w:spacing w:line="560" w:lineRule="exact"/>
        <w:ind w:left="6750" w:hanging="6750"/>
        <w:rPr>
          <w:rFonts w:ascii="仿宋_GB2312" w:hAnsi="仿宋" w:eastAsia="仿宋_GB2312"/>
          <w:sz w:val="30"/>
          <w:szCs w:val="30"/>
        </w:rPr>
      </w:pPr>
      <w:r>
        <w:rPr>
          <w:rFonts w:hint="eastAsia" w:ascii="仿宋_GB2312" w:hAnsi="仿宋" w:eastAsia="仿宋_GB2312"/>
          <w:sz w:val="30"/>
          <w:szCs w:val="30"/>
        </w:rPr>
        <w:t>地址：杭州萧山国际机场内        地址：</w:t>
      </w:r>
    </w:p>
    <w:p>
      <w:pPr>
        <w:adjustRightInd w:val="0"/>
        <w:snapToGrid w:val="0"/>
        <w:spacing w:line="560" w:lineRule="exact"/>
        <w:ind w:left="6750" w:hanging="6750"/>
        <w:rPr>
          <w:rFonts w:ascii="仿宋_GB2312" w:hAnsi="仿宋" w:eastAsia="仿宋_GB2312"/>
          <w:sz w:val="30"/>
          <w:szCs w:val="30"/>
        </w:rPr>
      </w:pPr>
    </w:p>
    <w:p>
      <w:pPr>
        <w:adjustRightInd w:val="0"/>
        <w:snapToGrid w:val="0"/>
        <w:spacing w:line="560" w:lineRule="exact"/>
        <w:rPr>
          <w:rFonts w:ascii="仿宋_GB2312" w:hAnsi="仿宋" w:eastAsia="仿宋_GB2312"/>
          <w:sz w:val="30"/>
          <w:szCs w:val="30"/>
        </w:rPr>
      </w:pPr>
      <w:r>
        <w:rPr>
          <w:rFonts w:hint="eastAsia" w:ascii="仿宋_GB2312" w:hAnsi="仿宋" w:eastAsia="仿宋_GB2312"/>
          <w:sz w:val="30"/>
          <w:szCs w:val="30"/>
        </w:rPr>
        <w:t>法定代表人：                     法定代表人：</w:t>
      </w:r>
    </w:p>
    <w:p>
      <w:pPr>
        <w:adjustRightInd w:val="0"/>
        <w:snapToGrid w:val="0"/>
        <w:spacing w:line="560" w:lineRule="exact"/>
        <w:rPr>
          <w:rFonts w:ascii="仿宋_GB2312" w:hAnsi="仿宋" w:eastAsia="仿宋_GB2312"/>
          <w:sz w:val="30"/>
          <w:szCs w:val="30"/>
        </w:rPr>
      </w:pPr>
      <w:r>
        <w:rPr>
          <w:rFonts w:hint="eastAsia" w:ascii="仿宋_GB2312" w:hAnsi="仿宋" w:eastAsia="仿宋_GB2312"/>
          <w:sz w:val="30"/>
          <w:szCs w:val="30"/>
        </w:rPr>
        <w:t>或                               或</w:t>
      </w:r>
    </w:p>
    <w:p>
      <w:pPr>
        <w:adjustRightInd w:val="0"/>
        <w:snapToGrid w:val="0"/>
        <w:spacing w:line="560" w:lineRule="exact"/>
        <w:rPr>
          <w:rFonts w:ascii="仿宋_GB2312" w:hAnsi="仿宋" w:eastAsia="仿宋_GB2312"/>
          <w:sz w:val="30"/>
          <w:szCs w:val="30"/>
        </w:rPr>
      </w:pPr>
      <w:r>
        <w:rPr>
          <w:rFonts w:hint="eastAsia" w:ascii="仿宋_GB2312" w:hAnsi="仿宋" w:eastAsia="仿宋_GB2312"/>
          <w:sz w:val="30"/>
          <w:szCs w:val="30"/>
        </w:rPr>
        <w:t>授权代表：                       授权代表：</w:t>
      </w:r>
    </w:p>
    <w:p>
      <w:pPr>
        <w:adjustRightInd w:val="0"/>
        <w:snapToGrid w:val="0"/>
        <w:spacing w:line="560" w:lineRule="exact"/>
        <w:rPr>
          <w:rFonts w:ascii="仿宋_GB2312" w:hAnsi="仿宋" w:eastAsia="仿宋_GB2312"/>
          <w:b/>
          <w:sz w:val="30"/>
          <w:szCs w:val="30"/>
        </w:rPr>
      </w:pPr>
      <w:r>
        <w:rPr>
          <w:rFonts w:hint="eastAsia" w:ascii="仿宋_GB2312" w:hAnsi="仿宋" w:eastAsia="仿宋_GB2312"/>
          <w:sz w:val="30"/>
          <w:szCs w:val="30"/>
        </w:rPr>
        <w:t xml:space="preserve">签字日期：                       签字日期： </w:t>
      </w:r>
    </w:p>
    <w:p>
      <w:pPr>
        <w:adjustRightInd w:val="0"/>
        <w:snapToGrid w:val="0"/>
        <w:spacing w:line="560" w:lineRule="exact"/>
        <w:ind w:firstLine="600" w:firstLineChars="200"/>
        <w:rPr>
          <w:rFonts w:ascii="仿宋_GB2312" w:hAnsi="仿宋" w:eastAsia="仿宋_GB2312"/>
          <w:b/>
          <w:sz w:val="30"/>
          <w:szCs w:val="30"/>
        </w:rPr>
      </w:pPr>
      <w:r>
        <w:rPr>
          <w:rFonts w:hint="eastAsia" w:ascii="仿宋_GB2312" w:hAnsi="仿宋" w:eastAsia="仿宋_GB2312"/>
          <w:sz w:val="30"/>
          <w:szCs w:val="30"/>
        </w:rPr>
        <w:t>年  月  日                      年  月  日</w:t>
      </w:r>
    </w:p>
    <w:p>
      <w:pPr>
        <w:spacing w:line="560" w:lineRule="exact"/>
        <w:ind w:firstLine="600" w:firstLineChars="200"/>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
    <w:p/>
    <w:p/>
    <w:p/>
    <w:p>
      <w:pPr>
        <w:pStyle w:val="123"/>
        <w:spacing w:line="360" w:lineRule="exact"/>
        <w:ind w:firstLine="723"/>
        <w:rPr>
          <w:rFonts w:ascii="宋体" w:hAnsi="宋体"/>
          <w:b/>
          <w:color w:val="auto"/>
          <w:sz w:val="36"/>
          <w:szCs w:val="36"/>
        </w:rPr>
      </w:pPr>
      <w:r>
        <w:rPr>
          <w:rFonts w:hint="eastAsia" w:ascii="宋体" w:hAnsi="宋体"/>
          <w:b/>
          <w:color w:val="auto"/>
          <w:sz w:val="36"/>
          <w:szCs w:val="36"/>
        </w:rPr>
        <w:t>杭州萧山国际机场有限公司廉洁自律承诺书</w:t>
      </w:r>
    </w:p>
    <w:p>
      <w:pPr>
        <w:pStyle w:val="128"/>
        <w:adjustRightInd w:val="0"/>
        <w:snapToGrid w:val="0"/>
        <w:ind w:firstLine="442"/>
        <w:rPr>
          <w:rFonts w:ascii="宋体" w:hAnsi="宋体"/>
          <w:b/>
          <w:sz w:val="22"/>
          <w:szCs w:val="22"/>
        </w:rPr>
      </w:pPr>
    </w:p>
    <w:p>
      <w:pPr>
        <w:pStyle w:val="128"/>
        <w:adjustRightInd w:val="0"/>
        <w:snapToGrid w:val="0"/>
        <w:ind w:firstLine="0" w:firstLineChars="0"/>
        <w:rPr>
          <w:rFonts w:ascii="宋体" w:hAnsi="宋体"/>
          <w:b/>
          <w:sz w:val="30"/>
          <w:szCs w:val="30"/>
        </w:rPr>
      </w:pPr>
      <w:r>
        <w:rPr>
          <w:rFonts w:hint="eastAsia" w:ascii="宋体" w:hAnsi="宋体"/>
          <w:b/>
          <w:sz w:val="30"/>
          <w:szCs w:val="30"/>
        </w:rPr>
        <w:t>杭州萧山国际机场有限公司：</w:t>
      </w:r>
    </w:p>
    <w:p>
      <w:pPr>
        <w:pStyle w:val="128"/>
        <w:adjustRightInd w:val="0"/>
        <w:snapToGrid w:val="0"/>
        <w:ind w:firstLine="600"/>
        <w:rPr>
          <w:rFonts w:ascii="宋体" w:hAnsi="宋体"/>
          <w:sz w:val="30"/>
          <w:szCs w:val="30"/>
        </w:rPr>
      </w:pPr>
      <w:r>
        <w:rPr>
          <w:rFonts w:hint="eastAsia" w:ascii="宋体" w:hAnsi="宋体"/>
          <w:sz w:val="30"/>
          <w:szCs w:val="30"/>
        </w:rPr>
        <w:t>我单位响应贵公司项目招标要求，参加项目投标。在投标过程中及中标后，我们将严格遵守国家法律法规和贵司招标文件要求，并郑重作出如下承诺和保证：</w:t>
      </w:r>
    </w:p>
    <w:p>
      <w:pPr>
        <w:pStyle w:val="128"/>
        <w:adjustRightInd w:val="0"/>
        <w:snapToGrid w:val="0"/>
        <w:ind w:firstLine="600"/>
        <w:rPr>
          <w:rFonts w:ascii="宋体" w:hAnsi="宋体"/>
          <w:sz w:val="30"/>
          <w:szCs w:val="30"/>
        </w:rPr>
      </w:pPr>
      <w:r>
        <w:rPr>
          <w:rFonts w:hint="eastAsia" w:ascii="宋体" w:hAnsi="宋体"/>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128"/>
        <w:adjustRightInd w:val="0"/>
        <w:snapToGrid w:val="0"/>
        <w:ind w:firstLine="600"/>
        <w:rPr>
          <w:rFonts w:ascii="宋体" w:hAnsi="宋体"/>
          <w:sz w:val="30"/>
          <w:szCs w:val="30"/>
        </w:rPr>
      </w:pPr>
      <w:r>
        <w:rPr>
          <w:rFonts w:hint="eastAsia" w:ascii="宋体" w:hAnsi="宋体"/>
          <w:sz w:val="30"/>
          <w:szCs w:val="30"/>
        </w:rPr>
        <w:t>二、不以任何名义为贵公司有关人员或项目第三方人员报销应由贵公司或个人支付的费用；</w:t>
      </w:r>
    </w:p>
    <w:p>
      <w:pPr>
        <w:pStyle w:val="128"/>
        <w:adjustRightInd w:val="0"/>
        <w:snapToGrid w:val="0"/>
        <w:ind w:firstLine="600"/>
        <w:rPr>
          <w:rFonts w:ascii="宋体" w:hAnsi="宋体"/>
          <w:sz w:val="30"/>
          <w:szCs w:val="30"/>
        </w:rPr>
      </w:pPr>
      <w:r>
        <w:rPr>
          <w:rFonts w:hint="eastAsia" w:ascii="宋体" w:hAnsi="宋体"/>
          <w:sz w:val="30"/>
          <w:szCs w:val="30"/>
        </w:rPr>
        <w:t>三、不向贵公司有关人员或项目第三方人员提供宴请、旅游、和健身娱乐等活动；</w:t>
      </w:r>
    </w:p>
    <w:p>
      <w:pPr>
        <w:pStyle w:val="128"/>
        <w:adjustRightInd w:val="0"/>
        <w:snapToGrid w:val="0"/>
        <w:ind w:firstLine="600"/>
        <w:rPr>
          <w:rFonts w:ascii="宋体" w:hAnsi="宋体"/>
          <w:sz w:val="30"/>
          <w:szCs w:val="30"/>
        </w:rPr>
      </w:pPr>
      <w:r>
        <w:rPr>
          <w:rFonts w:hint="eastAsia" w:ascii="宋体" w:hAnsi="宋体"/>
          <w:sz w:val="30"/>
          <w:szCs w:val="30"/>
        </w:rPr>
        <w:t>四、不为贵公司有关人员或项目第三方人员出国（境）、旅游等提供方便；</w:t>
      </w:r>
    </w:p>
    <w:p>
      <w:pPr>
        <w:pStyle w:val="128"/>
        <w:adjustRightInd w:val="0"/>
        <w:snapToGrid w:val="0"/>
        <w:ind w:firstLine="600"/>
        <w:rPr>
          <w:rFonts w:ascii="宋体" w:hAnsi="宋体"/>
          <w:sz w:val="30"/>
          <w:szCs w:val="30"/>
        </w:rPr>
      </w:pPr>
      <w:r>
        <w:rPr>
          <w:rFonts w:hint="eastAsia" w:ascii="宋体" w:hAnsi="宋体"/>
          <w:sz w:val="30"/>
          <w:szCs w:val="30"/>
        </w:rPr>
        <w:t>五、不为贵公司有关人员或项目第三方人员个人装修住房、婚丧嫁娶、配偶子女工作安排等提供好处或便利条件；</w:t>
      </w:r>
    </w:p>
    <w:p>
      <w:pPr>
        <w:pStyle w:val="128"/>
        <w:adjustRightInd w:val="0"/>
        <w:snapToGrid w:val="0"/>
        <w:ind w:firstLine="600"/>
        <w:rPr>
          <w:rFonts w:ascii="宋体" w:hAnsi="宋体"/>
          <w:sz w:val="30"/>
          <w:szCs w:val="30"/>
        </w:rPr>
      </w:pPr>
      <w:r>
        <w:rPr>
          <w:rFonts w:hint="eastAsia" w:ascii="宋体" w:hAnsi="宋体"/>
          <w:sz w:val="30"/>
          <w:szCs w:val="30"/>
        </w:rPr>
        <w:t>六、严格遵守国家招标投标法、合同法等法律规定，诚实守信，合法经营，坚决杜绝各种违法违纪行为。</w:t>
      </w:r>
    </w:p>
    <w:p>
      <w:pPr>
        <w:pStyle w:val="128"/>
        <w:adjustRightInd w:val="0"/>
        <w:snapToGrid w:val="0"/>
        <w:ind w:firstLine="600"/>
        <w:rPr>
          <w:rFonts w:ascii="宋体" w:hAnsi="宋体"/>
          <w:sz w:val="30"/>
          <w:szCs w:val="30"/>
        </w:rPr>
      </w:pPr>
      <w:r>
        <w:rPr>
          <w:rFonts w:ascii="宋体" w:hAnsi="宋体"/>
          <w:sz w:val="30"/>
          <w:szCs w:val="30"/>
        </w:rPr>
        <w:t>七</w:t>
      </w:r>
      <w:r>
        <w:rPr>
          <w:rFonts w:hint="eastAsia" w:ascii="宋体" w:hAnsi="宋体"/>
          <w:sz w:val="30"/>
          <w:szCs w:val="30"/>
        </w:rPr>
        <w:t>、若发现贵公司有关人员或项目第三方人员有故意设置障碍或推诿刁难我方人员参与正常投标项目建设活动以索要好处等行为，我单位将及时向贵公司纪检监察部门举报，举报电话：0571－86661113。</w:t>
      </w:r>
    </w:p>
    <w:p>
      <w:pPr>
        <w:pStyle w:val="128"/>
        <w:adjustRightInd w:val="0"/>
        <w:snapToGrid w:val="0"/>
        <w:ind w:firstLine="600"/>
        <w:rPr>
          <w:rFonts w:ascii="宋体" w:hAnsi="宋体"/>
          <w:sz w:val="30"/>
          <w:szCs w:val="30"/>
        </w:rPr>
      </w:pPr>
      <w:r>
        <w:rPr>
          <w:rFonts w:hint="eastAsia" w:ascii="宋体" w:hAnsi="宋体"/>
          <w:sz w:val="30"/>
          <w:szCs w:val="30"/>
        </w:rPr>
        <w:t>八、为约束廉洁自律行为从法律上提供保障措施，我方同意向贵公司缴纳的履约保证金中的10%作为廉洁自律担保金。</w:t>
      </w:r>
    </w:p>
    <w:p>
      <w:pPr>
        <w:pStyle w:val="128"/>
        <w:adjustRightInd w:val="0"/>
        <w:snapToGrid w:val="0"/>
        <w:ind w:firstLine="600"/>
        <w:rPr>
          <w:rFonts w:ascii="宋体" w:hAnsi="宋体"/>
          <w:sz w:val="30"/>
          <w:szCs w:val="30"/>
        </w:rPr>
      </w:pPr>
      <w:r>
        <w:rPr>
          <w:rFonts w:hint="eastAsia" w:ascii="宋体" w:hAnsi="宋体"/>
          <w:sz w:val="30"/>
          <w:szCs w:val="30"/>
        </w:rPr>
        <w:t>如违反上述廉洁自律承诺，贵公司有权：</w:t>
      </w:r>
    </w:p>
    <w:p>
      <w:pPr>
        <w:pStyle w:val="128"/>
        <w:numPr>
          <w:ilvl w:val="0"/>
          <w:numId w:val="5"/>
        </w:numPr>
        <w:adjustRightInd w:val="0"/>
        <w:snapToGrid w:val="0"/>
        <w:ind w:firstLineChars="0"/>
        <w:rPr>
          <w:rFonts w:ascii="宋体" w:hAnsi="宋体"/>
          <w:sz w:val="30"/>
          <w:szCs w:val="30"/>
        </w:rPr>
      </w:pPr>
      <w:r>
        <w:rPr>
          <w:rFonts w:hint="eastAsia" w:ascii="宋体" w:hAnsi="宋体"/>
          <w:sz w:val="30"/>
          <w:szCs w:val="30"/>
        </w:rPr>
        <w:t>立即取消我单位投标、中标或在建项目的实施资格；</w:t>
      </w:r>
    </w:p>
    <w:p>
      <w:pPr>
        <w:pStyle w:val="128"/>
        <w:numPr>
          <w:ilvl w:val="0"/>
          <w:numId w:val="5"/>
        </w:numPr>
        <w:adjustRightInd w:val="0"/>
        <w:snapToGrid w:val="0"/>
        <w:ind w:firstLineChars="0"/>
        <w:rPr>
          <w:rFonts w:ascii="宋体" w:hAnsi="宋体"/>
          <w:sz w:val="30"/>
          <w:szCs w:val="30"/>
        </w:rPr>
      </w:pPr>
      <w:r>
        <w:rPr>
          <w:rFonts w:hint="eastAsia" w:ascii="宋体" w:hAnsi="宋体"/>
          <w:sz w:val="30"/>
          <w:szCs w:val="30"/>
        </w:rPr>
        <w:t>廉洁自律担保金不予退还我单位；</w:t>
      </w:r>
    </w:p>
    <w:p>
      <w:pPr>
        <w:pStyle w:val="128"/>
        <w:numPr>
          <w:ilvl w:val="0"/>
          <w:numId w:val="5"/>
        </w:numPr>
        <w:adjustRightInd w:val="0"/>
        <w:snapToGrid w:val="0"/>
        <w:ind w:firstLineChars="0"/>
        <w:rPr>
          <w:rFonts w:ascii="宋体" w:hAnsi="宋体"/>
          <w:sz w:val="30"/>
          <w:szCs w:val="30"/>
        </w:rPr>
      </w:pPr>
      <w:r>
        <w:rPr>
          <w:rFonts w:hint="eastAsia" w:ascii="宋体" w:hAnsi="宋体"/>
          <w:sz w:val="30"/>
          <w:szCs w:val="30"/>
        </w:rPr>
        <w:t>拒绝我单位在一定时期内进入贵公司进行项目建设或其它经营活动；</w:t>
      </w:r>
    </w:p>
    <w:p>
      <w:pPr>
        <w:pStyle w:val="128"/>
        <w:numPr>
          <w:ilvl w:val="0"/>
          <w:numId w:val="5"/>
        </w:numPr>
        <w:adjustRightInd w:val="0"/>
        <w:snapToGrid w:val="0"/>
        <w:ind w:firstLineChars="0"/>
        <w:rPr>
          <w:rFonts w:ascii="宋体" w:hAnsi="宋体"/>
          <w:sz w:val="30"/>
          <w:szCs w:val="30"/>
        </w:rPr>
      </w:pPr>
      <w:r>
        <w:rPr>
          <w:rFonts w:hint="eastAsia" w:ascii="宋体" w:hAnsi="宋体"/>
          <w:sz w:val="30"/>
          <w:szCs w:val="30"/>
        </w:rPr>
        <w:t>由此引起的相应损失均由我单位承担。</w:t>
      </w:r>
    </w:p>
    <w:p>
      <w:pPr>
        <w:pStyle w:val="128"/>
        <w:adjustRightInd w:val="0"/>
        <w:snapToGrid w:val="0"/>
        <w:ind w:firstLine="600"/>
        <w:rPr>
          <w:rFonts w:ascii="宋体" w:hAnsi="宋体"/>
          <w:sz w:val="30"/>
          <w:szCs w:val="30"/>
        </w:rPr>
      </w:pPr>
    </w:p>
    <w:p>
      <w:pPr>
        <w:pStyle w:val="128"/>
        <w:adjustRightInd w:val="0"/>
        <w:snapToGrid w:val="0"/>
        <w:ind w:firstLine="600"/>
        <w:rPr>
          <w:rFonts w:ascii="宋体" w:hAnsi="宋体"/>
          <w:sz w:val="30"/>
          <w:szCs w:val="30"/>
        </w:rPr>
      </w:pPr>
    </w:p>
    <w:p>
      <w:pPr>
        <w:pStyle w:val="128"/>
        <w:adjustRightInd w:val="0"/>
        <w:snapToGrid w:val="0"/>
        <w:ind w:firstLine="600"/>
        <w:rPr>
          <w:rFonts w:ascii="宋体" w:hAnsi="宋体"/>
          <w:sz w:val="30"/>
          <w:szCs w:val="30"/>
        </w:rPr>
      </w:pPr>
    </w:p>
    <w:p>
      <w:pPr>
        <w:pStyle w:val="128"/>
        <w:adjustRightInd w:val="0"/>
        <w:snapToGrid w:val="0"/>
        <w:ind w:firstLine="600"/>
        <w:rPr>
          <w:rFonts w:ascii="宋体" w:hAnsi="宋体"/>
          <w:sz w:val="30"/>
          <w:szCs w:val="30"/>
        </w:rPr>
      </w:pPr>
    </w:p>
    <w:p>
      <w:pPr>
        <w:pStyle w:val="128"/>
        <w:adjustRightInd w:val="0"/>
        <w:snapToGrid w:val="0"/>
        <w:ind w:firstLine="600"/>
        <w:rPr>
          <w:rFonts w:ascii="宋体" w:hAnsi="宋体"/>
          <w:sz w:val="30"/>
          <w:szCs w:val="30"/>
        </w:rPr>
      </w:pPr>
      <w:r>
        <w:rPr>
          <w:rFonts w:hint="eastAsia" w:ascii="宋体" w:hAnsi="宋体"/>
          <w:sz w:val="30"/>
          <w:szCs w:val="30"/>
        </w:rPr>
        <w:t>（以下为签署页）</w:t>
      </w:r>
    </w:p>
    <w:p>
      <w:pPr>
        <w:pStyle w:val="128"/>
        <w:adjustRightInd w:val="0"/>
        <w:snapToGrid w:val="0"/>
        <w:ind w:firstLine="600"/>
        <w:rPr>
          <w:rFonts w:ascii="宋体" w:hAnsi="宋体"/>
          <w:sz w:val="30"/>
          <w:szCs w:val="30"/>
        </w:rPr>
      </w:pPr>
    </w:p>
    <w:p>
      <w:pPr>
        <w:pStyle w:val="128"/>
        <w:adjustRightInd w:val="0"/>
        <w:snapToGrid w:val="0"/>
        <w:ind w:firstLine="600"/>
        <w:rPr>
          <w:rFonts w:ascii="宋体" w:hAnsi="宋体"/>
          <w:sz w:val="30"/>
          <w:szCs w:val="30"/>
        </w:rPr>
      </w:pPr>
      <w:r>
        <w:rPr>
          <w:rFonts w:hint="eastAsia" w:ascii="宋体" w:hAnsi="宋体"/>
          <w:sz w:val="30"/>
          <w:szCs w:val="30"/>
        </w:rPr>
        <w:t xml:space="preserve">承诺人单位名称（盖章）：            </w:t>
      </w:r>
    </w:p>
    <w:p>
      <w:pPr>
        <w:pStyle w:val="128"/>
        <w:adjustRightInd w:val="0"/>
        <w:snapToGrid w:val="0"/>
        <w:ind w:firstLine="600"/>
        <w:rPr>
          <w:rFonts w:ascii="宋体" w:hAnsi="宋体"/>
          <w:sz w:val="30"/>
          <w:szCs w:val="30"/>
        </w:rPr>
      </w:pPr>
      <w:r>
        <w:rPr>
          <w:rFonts w:hint="eastAsia" w:ascii="宋体" w:hAnsi="宋体"/>
          <w:sz w:val="30"/>
          <w:szCs w:val="30"/>
        </w:rPr>
        <w:t xml:space="preserve">法定代表人 ：                    </w:t>
      </w:r>
    </w:p>
    <w:p>
      <w:pPr>
        <w:pStyle w:val="128"/>
        <w:adjustRightInd w:val="0"/>
        <w:snapToGrid w:val="0"/>
        <w:ind w:firstLine="600"/>
        <w:rPr>
          <w:rFonts w:ascii="宋体" w:hAnsi="宋体"/>
          <w:sz w:val="30"/>
          <w:szCs w:val="30"/>
        </w:rPr>
      </w:pPr>
      <w:r>
        <w:rPr>
          <w:rFonts w:hint="eastAsia" w:ascii="宋体" w:hAnsi="宋体"/>
          <w:sz w:val="30"/>
          <w:szCs w:val="30"/>
        </w:rPr>
        <w:t xml:space="preserve">或                            </w:t>
      </w:r>
    </w:p>
    <w:p>
      <w:pPr>
        <w:pStyle w:val="128"/>
        <w:adjustRightInd w:val="0"/>
        <w:snapToGrid w:val="0"/>
        <w:ind w:firstLine="600"/>
        <w:rPr>
          <w:rFonts w:ascii="宋体" w:hAnsi="宋体"/>
          <w:sz w:val="30"/>
          <w:szCs w:val="30"/>
        </w:rPr>
      </w:pPr>
      <w:r>
        <w:rPr>
          <w:rFonts w:hint="eastAsia" w:ascii="宋体" w:hAnsi="宋体"/>
          <w:sz w:val="30"/>
          <w:szCs w:val="30"/>
        </w:rPr>
        <w:t xml:space="preserve">委托代理人：                   </w:t>
      </w:r>
    </w:p>
    <w:p>
      <w:pPr>
        <w:pStyle w:val="128"/>
        <w:adjustRightInd w:val="0"/>
        <w:snapToGrid w:val="0"/>
        <w:ind w:firstLine="602"/>
        <w:rPr>
          <w:rFonts w:ascii="宋体" w:hAnsi="宋体"/>
          <w:b/>
          <w:sz w:val="30"/>
          <w:szCs w:val="30"/>
        </w:rPr>
      </w:pPr>
    </w:p>
    <w:p>
      <w:pPr>
        <w:pStyle w:val="51"/>
        <w:rPr>
          <w:rFonts w:ascii="宋体" w:hAnsi="宋体" w:eastAsia="宋体"/>
          <w:b w:val="0"/>
          <w:sz w:val="30"/>
          <w:szCs w:val="30"/>
        </w:rPr>
      </w:pPr>
      <w:r>
        <w:rPr>
          <w:rFonts w:hint="eastAsia" w:ascii="宋体" w:hAnsi="宋体" w:eastAsia="宋体"/>
          <w:b w:val="0"/>
          <w:sz w:val="30"/>
          <w:szCs w:val="30"/>
        </w:rPr>
        <w:t xml:space="preserve">                           年     月     日</w:t>
      </w:r>
    </w:p>
    <w:p/>
    <w:p/>
    <w:p/>
    <w:p/>
    <w:p/>
    <w:p>
      <w:pPr>
        <w:pStyle w:val="128"/>
        <w:adjustRightInd w:val="0"/>
        <w:snapToGrid w:val="0"/>
        <w:ind w:firstLine="600"/>
        <w:rPr>
          <w:rFonts w:ascii="宋体" w:hAnsi="宋体"/>
          <w:sz w:val="30"/>
          <w:szCs w:val="30"/>
        </w:rPr>
      </w:pPr>
      <w:r>
        <w:rPr>
          <w:rFonts w:hint="eastAsia" w:ascii="宋体" w:hAnsi="宋体"/>
          <w:sz w:val="30"/>
          <w:szCs w:val="30"/>
        </w:rPr>
        <w:t>廉洁自律担保金缴纳与退还</w:t>
      </w:r>
    </w:p>
    <w:p>
      <w:pPr>
        <w:pStyle w:val="128"/>
        <w:adjustRightInd w:val="0"/>
        <w:snapToGrid w:val="0"/>
        <w:ind w:firstLine="600"/>
        <w:rPr>
          <w:rFonts w:ascii="宋体" w:hAnsi="宋体"/>
          <w:sz w:val="30"/>
          <w:szCs w:val="30"/>
        </w:rPr>
      </w:pPr>
      <w:r>
        <w:rPr>
          <w:rFonts w:hint="eastAsia" w:ascii="宋体" w:hAnsi="宋体"/>
          <w:sz w:val="30"/>
          <w:szCs w:val="30"/>
        </w:rPr>
        <w:t>1. 中标人向招标人提供履约保证金的缴纳凭证或银行保函，将履约保证金的10%作为廉洁自律担保金。</w:t>
      </w:r>
    </w:p>
    <w:p>
      <w:pPr>
        <w:pStyle w:val="128"/>
        <w:adjustRightInd w:val="0"/>
        <w:snapToGrid w:val="0"/>
        <w:ind w:firstLine="600"/>
        <w:rPr>
          <w:rFonts w:ascii="宋体" w:hAnsi="宋体"/>
          <w:sz w:val="30"/>
          <w:szCs w:val="30"/>
        </w:rPr>
      </w:pPr>
      <w:r>
        <w:rPr>
          <w:rFonts w:hint="eastAsia" w:ascii="宋体" w:hAnsi="宋体"/>
          <w:sz w:val="30"/>
          <w:szCs w:val="30"/>
        </w:rPr>
        <w:t>2.廉洁自律担保金的退还，若该项目缴纳质保金的，与质保金同时退还；若未缴纳质保金的，与合同履约保证金同时退还。</w:t>
      </w:r>
    </w:p>
    <w:p>
      <w:pPr>
        <w:pStyle w:val="128"/>
        <w:adjustRightInd w:val="0"/>
        <w:snapToGrid w:val="0"/>
        <w:ind w:firstLine="600"/>
        <w:rPr>
          <w:rFonts w:ascii="宋体" w:hAnsi="宋体"/>
          <w:sz w:val="30"/>
          <w:szCs w:val="30"/>
        </w:rPr>
      </w:pPr>
      <w:r>
        <w:rPr>
          <w:rFonts w:hint="eastAsia" w:ascii="宋体" w:hAnsi="宋体"/>
          <w:sz w:val="30"/>
          <w:szCs w:val="30"/>
        </w:rPr>
        <w:t>3.如在退还后发现中标人存在违反廉洁自律承诺书的，贵单位有权随时要求向中标人追偿与廉洁自律担保金同等金额的违约金。</w:t>
      </w:r>
    </w:p>
    <w:p>
      <w:pPr>
        <w:rPr>
          <w:rFonts w:ascii="宋体" w:hAnsi="宋体"/>
        </w:rPr>
      </w:pPr>
    </w:p>
    <w:p>
      <w:pPr>
        <w:rPr>
          <w:rFonts w:ascii="宋体" w:hAnsi="宋体"/>
        </w:rPr>
      </w:pPr>
    </w:p>
    <w:p/>
    <w:p>
      <w:pPr>
        <w:pStyle w:val="51"/>
        <w:rPr>
          <w:rFonts w:ascii="宋体" w:hAnsi="宋体" w:eastAsia="宋体"/>
          <w:b w:val="0"/>
          <w:sz w:val="22"/>
          <w:szCs w:val="22"/>
        </w:rPr>
      </w:pPr>
      <w:r>
        <w:rPr>
          <w:rFonts w:ascii="宋体" w:hAnsi="宋体"/>
          <w:sz w:val="22"/>
          <w:szCs w:val="22"/>
        </w:rPr>
        <w:br w:type="page"/>
      </w:r>
    </w:p>
    <w:p>
      <w:pPr>
        <w:pStyle w:val="51"/>
        <w:ind w:firstLine="420" w:firstLineChars="0"/>
        <w:rPr>
          <w:rFonts w:ascii="宋体" w:hAnsi="宋体"/>
        </w:rPr>
      </w:pPr>
      <w:bookmarkStart w:id="74" w:name="_Toc90452722"/>
      <w:bookmarkStart w:id="75" w:name="_Toc206217401"/>
    </w:p>
    <w:bookmarkEnd w:id="74"/>
    <w:bookmarkEnd w:id="75"/>
    <w:p>
      <w:pPr>
        <w:pStyle w:val="2"/>
        <w:spacing w:before="0" w:after="0"/>
        <w:rPr>
          <w:rFonts w:ascii="Calibri" w:hAnsi="Calibri" w:eastAsia="黑体" w:cs="Calibri"/>
          <w:kern w:val="0"/>
          <w:sz w:val="32"/>
        </w:rPr>
      </w:pPr>
      <w:bookmarkStart w:id="76" w:name="_Toc275274581"/>
      <w:r>
        <w:br w:type="page"/>
      </w:r>
      <w:bookmarkStart w:id="77" w:name="_Toc448002987"/>
      <w:bookmarkStart w:id="78" w:name="_Toc321925456"/>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77"/>
      <w:bookmarkEnd w:id="78"/>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作废标处理，</w:t>
      </w:r>
      <w:r>
        <w:rPr>
          <w:rFonts w:ascii="宋体" w:hAnsi="宋体" w:cs="Calibri"/>
          <w:bCs/>
          <w:kern w:val="0"/>
          <w:sz w:val="22"/>
          <w:szCs w:val="22"/>
        </w:rPr>
        <w:t>不再进行详细评审：</w:t>
      </w:r>
    </w:p>
    <w:p>
      <w:pPr>
        <w:spacing w:line="360" w:lineRule="exact"/>
        <w:ind w:firstLine="471"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1"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1"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供货</w:t>
      </w:r>
      <w:r>
        <w:rPr>
          <w:rFonts w:ascii="宋体" w:hAnsi="宋体" w:cs="Calibri"/>
          <w:sz w:val="22"/>
          <w:szCs w:val="22"/>
        </w:rPr>
        <w:t>期不满足招标文件要求的；</w:t>
      </w:r>
    </w:p>
    <w:p>
      <w:pPr>
        <w:spacing w:line="360" w:lineRule="exact"/>
        <w:ind w:firstLine="471"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1"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1"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Ansi="宋体" w:cs="Calibri"/>
          <w:b/>
          <w:sz w:val="22"/>
          <w:szCs w:val="22"/>
        </w:rPr>
        <w:t>废标处理</w:t>
      </w:r>
      <w:r>
        <w:rPr>
          <w:rFonts w:hAnsi="宋体" w:cs="Calibri"/>
          <w:sz w:val="22"/>
          <w:szCs w:val="22"/>
        </w:rPr>
        <w:t>。</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szCs w:val="22"/>
        </w:rPr>
      </w:pPr>
      <w:r>
        <w:rPr>
          <w:rFonts w:ascii="宋体" w:hAnsi="宋体" w:cs="Calibri"/>
          <w:b/>
          <w:sz w:val="22"/>
          <w:szCs w:val="22"/>
        </w:rPr>
        <w:t>3.3</w:t>
      </w:r>
      <w:r>
        <w:rPr>
          <w:rFonts w:hint="eastAsia" w:ascii="宋体" w:hAnsi="宋体"/>
          <w:b/>
          <w:color w:val="000000"/>
          <w:sz w:val="22"/>
          <w:szCs w:val="22"/>
        </w:rPr>
        <w:t>评标细则</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3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3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算术平均值与次低价的算术平均值作为评标基准价，如有效投标报价的数量小于4个，则评标基准价为所有有效投标报价的算术平均值与最低价的算术平均值。</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投标人的投标价等于评标基准价的得70分，每高于评标基准价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31"/>
        <w:adjustRightInd w:val="0"/>
        <w:snapToGrid w:val="0"/>
        <w:spacing w:line="360" w:lineRule="exact"/>
        <w:ind w:firstLine="440" w:firstLineChars="200"/>
        <w:rPr>
          <w:rFonts w:hAnsi="宋体"/>
          <w:color w:val="000000"/>
          <w:sz w:val="22"/>
          <w:szCs w:val="22"/>
        </w:rPr>
      </w:pPr>
      <w:r>
        <w:rPr>
          <w:rFonts w:hint="eastAsia" w:hAnsi="宋体" w:cs="Calibri"/>
          <w:sz w:val="22"/>
          <w:szCs w:val="22"/>
        </w:rPr>
        <w:t xml:space="preserve">2、资信及技术评分  </w:t>
      </w:r>
      <w:r>
        <w:rPr>
          <w:rFonts w:hAnsi="宋体"/>
          <w:color w:val="000000"/>
          <w:sz w:val="22"/>
          <w:szCs w:val="22"/>
        </w:rPr>
        <w:t xml:space="preserve"> 6-30</w:t>
      </w:r>
      <w:r>
        <w:rPr>
          <w:rFonts w:hint="eastAsia" w:hAnsi="宋体"/>
          <w:color w:val="000000"/>
          <w:sz w:val="22"/>
          <w:szCs w:val="22"/>
        </w:rPr>
        <w:t>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tbl>
      <w:tblPr>
        <w:tblStyle w:val="58"/>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center"/>
          </w:tcPr>
          <w:p>
            <w:pPr>
              <w:snapToGrid w:val="0"/>
              <w:jc w:val="center"/>
              <w:rPr>
                <w:rFonts w:ascii="宋体" w:cs="Times New Roman"/>
                <w:b/>
                <w:bCs/>
                <w:sz w:val="22"/>
                <w:szCs w:val="22"/>
              </w:rPr>
            </w:pPr>
            <w:r>
              <w:rPr>
                <w:rFonts w:hint="eastAsia" w:ascii="宋体" w:hAnsi="宋体" w:cs="宋体"/>
                <w:b/>
                <w:bCs/>
                <w:sz w:val="22"/>
                <w:szCs w:val="22"/>
              </w:rPr>
              <w:t>评定项目</w:t>
            </w:r>
          </w:p>
        </w:tc>
        <w:tc>
          <w:tcPr>
            <w:tcW w:w="1701" w:type="dxa"/>
            <w:vAlign w:val="center"/>
          </w:tcPr>
          <w:p>
            <w:pPr>
              <w:snapToGrid w:val="0"/>
              <w:jc w:val="center"/>
              <w:rPr>
                <w:rFonts w:ascii="宋体" w:cs="Times New Roman"/>
                <w:b/>
                <w:bCs/>
                <w:sz w:val="22"/>
                <w:szCs w:val="22"/>
              </w:rPr>
            </w:pPr>
            <w:r>
              <w:rPr>
                <w:rFonts w:hint="eastAsia" w:ascii="宋体" w:hAnsi="宋体" w:cs="宋体"/>
                <w:b/>
                <w:bCs/>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sz w:val="22"/>
                <w:szCs w:val="22"/>
              </w:rPr>
            </w:pPr>
            <w:r>
              <w:rPr>
                <w:rFonts w:hint="eastAsia" w:ascii="宋体" w:hAnsi="宋体" w:cs="宋体"/>
                <w:sz w:val="22"/>
                <w:szCs w:val="22"/>
              </w:rPr>
              <w:t>工期承诺及组织保证措施的可行性、合理性</w:t>
            </w:r>
          </w:p>
        </w:tc>
        <w:tc>
          <w:tcPr>
            <w:tcW w:w="1701" w:type="dxa"/>
          </w:tcPr>
          <w:p>
            <w:pPr>
              <w:pStyle w:val="23"/>
              <w:snapToGrid w:val="0"/>
              <w:spacing w:after="0"/>
              <w:jc w:val="center"/>
              <w:rPr>
                <w:rFonts w:ascii="宋体"/>
                <w:sz w:val="22"/>
                <w:szCs w:val="22"/>
              </w:rPr>
            </w:pPr>
            <w:r>
              <w:rPr>
                <w:rFonts w:ascii="宋体" w:hAnsi="宋体" w:cs="宋体"/>
                <w:sz w:val="22"/>
                <w:szCs w:val="22"/>
              </w:rPr>
              <w:t>1—</w:t>
            </w:r>
            <w:r>
              <w:rPr>
                <w:rFonts w:hint="eastAsia" w:ascii="宋体" w:hAnsi="宋体" w:cs="宋体"/>
                <w:sz w:val="22"/>
                <w:szCs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sz w:val="22"/>
                <w:szCs w:val="22"/>
              </w:rPr>
            </w:pPr>
            <w:r>
              <w:rPr>
                <w:rFonts w:hint="eastAsia" w:ascii="宋体" w:hAnsi="宋体" w:cs="宋体"/>
                <w:sz w:val="22"/>
                <w:szCs w:val="22"/>
              </w:rPr>
              <w:t>计量表计的精确度</w:t>
            </w:r>
          </w:p>
        </w:tc>
        <w:tc>
          <w:tcPr>
            <w:tcW w:w="1701" w:type="dxa"/>
          </w:tcPr>
          <w:p>
            <w:pPr>
              <w:pStyle w:val="23"/>
              <w:snapToGrid w:val="0"/>
              <w:spacing w:after="0"/>
              <w:jc w:val="center"/>
              <w:rPr>
                <w:rFonts w:ascii="宋体"/>
                <w:sz w:val="22"/>
                <w:szCs w:val="22"/>
              </w:rPr>
            </w:pPr>
            <w:r>
              <w:rPr>
                <w:rFonts w:ascii="宋体" w:hAnsi="宋体" w:cs="宋体"/>
                <w:sz w:val="22"/>
                <w:szCs w:val="22"/>
              </w:rPr>
              <w:t>1—</w:t>
            </w:r>
            <w:r>
              <w:rPr>
                <w:rFonts w:hint="eastAsia" w:ascii="宋体" w:hAnsi="宋体" w:cs="宋体"/>
                <w:sz w:val="22"/>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sz w:val="22"/>
                <w:szCs w:val="22"/>
              </w:rPr>
            </w:pPr>
            <w:r>
              <w:rPr>
                <w:rFonts w:hint="eastAsia" w:ascii="宋体" w:hAnsi="宋体" w:cs="宋体"/>
                <w:sz w:val="22"/>
                <w:szCs w:val="22"/>
              </w:rPr>
              <w:t>产品的质量保证期说明</w:t>
            </w:r>
          </w:p>
        </w:tc>
        <w:tc>
          <w:tcPr>
            <w:tcW w:w="1701" w:type="dxa"/>
            <w:vAlign w:val="center"/>
          </w:tcPr>
          <w:p>
            <w:pPr>
              <w:snapToGrid w:val="0"/>
              <w:jc w:val="center"/>
              <w:rPr>
                <w:rFonts w:ascii="宋体" w:cs="Times New Roman"/>
                <w:b/>
                <w:bCs/>
                <w:sz w:val="22"/>
                <w:szCs w:val="22"/>
              </w:rPr>
            </w:pPr>
            <w:r>
              <w:rPr>
                <w:rFonts w:ascii="宋体" w:hAnsi="宋体" w:cs="宋体"/>
                <w:sz w:val="22"/>
                <w:szCs w:val="22"/>
              </w:rPr>
              <w:t>1—</w:t>
            </w:r>
            <w:r>
              <w:rPr>
                <w:rFonts w:hint="eastAsia" w:ascii="宋体" w:hAnsi="宋体" w:cs="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sz w:val="22"/>
                <w:szCs w:val="22"/>
              </w:rPr>
            </w:pPr>
            <w:r>
              <w:rPr>
                <w:rFonts w:hint="eastAsia" w:ascii="宋体" w:hAnsi="宋体" w:cs="宋体"/>
                <w:sz w:val="22"/>
                <w:szCs w:val="22"/>
              </w:rPr>
              <w:t>产品及原材料品牌优劣性</w:t>
            </w:r>
          </w:p>
        </w:tc>
        <w:tc>
          <w:tcPr>
            <w:tcW w:w="1701" w:type="dxa"/>
            <w:vAlign w:val="center"/>
          </w:tcPr>
          <w:p>
            <w:pPr>
              <w:snapToGrid w:val="0"/>
              <w:jc w:val="center"/>
              <w:rPr>
                <w:rFonts w:ascii="宋体" w:cs="Times New Roman"/>
                <w:sz w:val="22"/>
                <w:szCs w:val="22"/>
                <w:highlight w:val="yellow"/>
              </w:rPr>
            </w:pPr>
            <w:r>
              <w:rPr>
                <w:rFonts w:ascii="宋体" w:hAnsi="宋体" w:cs="宋体"/>
                <w:sz w:val="22"/>
                <w:szCs w:val="22"/>
              </w:rPr>
              <w:t>1</w:t>
            </w:r>
            <w:r>
              <w:rPr>
                <w:rFonts w:hint="eastAsia" w:ascii="宋体" w:hAnsi="宋体" w:cs="宋体"/>
                <w:sz w:val="22"/>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sz w:val="22"/>
                <w:szCs w:val="22"/>
              </w:rPr>
            </w:pPr>
            <w:r>
              <w:rPr>
                <w:rFonts w:hint="eastAsia" w:ascii="宋体" w:hAnsi="宋体" w:cs="宋体"/>
                <w:sz w:val="22"/>
                <w:szCs w:val="22"/>
              </w:rPr>
              <w:t>水表、电表产品智能程度及创新功能</w:t>
            </w:r>
          </w:p>
        </w:tc>
        <w:tc>
          <w:tcPr>
            <w:tcW w:w="1701" w:type="dxa"/>
            <w:vAlign w:val="center"/>
          </w:tcPr>
          <w:p>
            <w:pPr>
              <w:widowControl/>
              <w:snapToGrid w:val="0"/>
              <w:jc w:val="center"/>
              <w:rPr>
                <w:rFonts w:ascii="宋体" w:cs="Times New Roman"/>
                <w:sz w:val="22"/>
                <w:szCs w:val="22"/>
              </w:rPr>
            </w:pPr>
            <w:r>
              <w:rPr>
                <w:rFonts w:hint="eastAsia" w:ascii="宋体" w:hAnsi="宋体" w:cs="宋体"/>
                <w:sz w:val="22"/>
                <w:szCs w:val="22"/>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sz w:val="22"/>
                <w:szCs w:val="22"/>
              </w:rPr>
            </w:pPr>
            <w:r>
              <w:rPr>
                <w:rFonts w:hint="eastAsia" w:ascii="宋体" w:hAnsi="宋体" w:cs="宋体"/>
                <w:sz w:val="22"/>
                <w:szCs w:val="22"/>
              </w:rPr>
              <w:t>产品的技术服务和售后服务的内容，措施和承诺</w:t>
            </w:r>
          </w:p>
        </w:tc>
        <w:tc>
          <w:tcPr>
            <w:tcW w:w="1701" w:type="dxa"/>
            <w:vAlign w:val="center"/>
          </w:tcPr>
          <w:p>
            <w:pPr>
              <w:widowControl/>
              <w:snapToGrid w:val="0"/>
              <w:jc w:val="center"/>
              <w:rPr>
                <w:rFonts w:ascii="宋体" w:cs="Times New Roman"/>
                <w:sz w:val="22"/>
                <w:szCs w:val="22"/>
              </w:rPr>
            </w:pPr>
            <w:r>
              <w:rPr>
                <w:rFonts w:hint="eastAsia" w:ascii="宋体" w:hAnsi="宋体" w:cs="宋体"/>
                <w:sz w:val="22"/>
                <w:szCs w:val="22"/>
              </w:rPr>
              <w:t>1－7分</w:t>
            </w:r>
          </w:p>
        </w:tc>
      </w:tr>
    </w:tbl>
    <w:p>
      <w:pPr>
        <w:pStyle w:val="31"/>
        <w:adjustRightInd w:val="0"/>
        <w:snapToGrid w:val="0"/>
        <w:spacing w:line="360" w:lineRule="exact"/>
        <w:ind w:firstLine="440" w:firstLineChars="200"/>
        <w:rPr>
          <w:rFonts w:hAnsi="宋体" w:cs="Calibri"/>
          <w:sz w:val="22"/>
          <w:szCs w:val="22"/>
        </w:rPr>
      </w:pPr>
    </w:p>
    <w:p>
      <w:pPr>
        <w:pStyle w:val="31"/>
        <w:spacing w:line="360" w:lineRule="exact"/>
        <w:rPr>
          <w:rFonts w:hAnsi="宋体" w:cs="Calibri"/>
          <w:b/>
          <w:sz w:val="22"/>
          <w:szCs w:val="22"/>
        </w:rPr>
      </w:pPr>
      <w:r>
        <w:rPr>
          <w:rFonts w:hAnsi="宋体" w:cs="Calibri"/>
          <w:b/>
          <w:sz w:val="22"/>
          <w:szCs w:val="22"/>
        </w:rPr>
        <w:t>3.4推荐中标候选人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2" w:firstLineChars="200"/>
        <w:rPr>
          <w:rFonts w:hAnsi="宋体" w:cs="Calibri"/>
          <w:b/>
          <w:sz w:val="22"/>
          <w:szCs w:val="22"/>
        </w:rPr>
      </w:pPr>
      <w:r>
        <w:rPr>
          <w:rFonts w:hint="eastAsia" w:hAnsi="宋体" w:cs="Calibri"/>
          <w:b/>
          <w:sz w:val="22"/>
          <w:szCs w:val="22"/>
        </w:rPr>
        <w:t>4.4招标人对评标、定标结果不负责解释。</w:t>
      </w:r>
    </w:p>
    <w:p>
      <w:pPr>
        <w:widowControl/>
        <w:jc w:val="left"/>
        <w:rPr>
          <w:rFonts w:ascii="Cambria" w:hAnsi="Cambria" w:eastAsia="黑体" w:cs="Times New Roman"/>
          <w:b/>
          <w:bCs/>
          <w:kern w:val="0"/>
          <w:sz w:val="32"/>
          <w:szCs w:val="32"/>
        </w:rPr>
      </w:pPr>
      <w:r>
        <w:br w:type="page"/>
      </w:r>
    </w:p>
    <w:p>
      <w:pPr>
        <w:pStyle w:val="51"/>
      </w:pPr>
      <w:bookmarkStart w:id="79" w:name="_Toc321925457"/>
      <w:r>
        <w:t>第</w:t>
      </w:r>
      <w:r>
        <w:rPr>
          <w:rFonts w:hint="eastAsia"/>
        </w:rPr>
        <w:t>六</w:t>
      </w:r>
      <w:r>
        <w:t>章  投标文件格式</w:t>
      </w:r>
      <w:bookmarkEnd w:id="76"/>
      <w:bookmarkEnd w:id="79"/>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二、</w:t>
      </w:r>
      <w:r>
        <w:rPr>
          <w:rFonts w:cs="Calibri" w:asciiTheme="minorEastAsia" w:hAnsiTheme="minorEastAsia"/>
          <w:color w:val="000000"/>
          <w:sz w:val="22"/>
          <w:szCs w:val="22"/>
        </w:rPr>
        <w:t>法定代表人资格证明书；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三、</w:t>
      </w:r>
      <w:r>
        <w:rPr>
          <w:rFonts w:cs="Calibri" w:asciiTheme="minorEastAsia" w:hAnsiTheme="minorEastAsia"/>
          <w:color w:val="000000"/>
          <w:sz w:val="22"/>
          <w:szCs w:val="22"/>
        </w:rPr>
        <w:t>授权委托书；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四、</w:t>
      </w:r>
      <w:r>
        <w:rPr>
          <w:rFonts w:cs="Calibri" w:asciiTheme="minorEastAsia" w:hAnsiTheme="minorEastAsia"/>
          <w:color w:val="000000"/>
          <w:sz w:val="22"/>
          <w:szCs w:val="22"/>
        </w:rPr>
        <w:t>投标报价表；</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五、</w:t>
      </w:r>
      <w:r>
        <w:rPr>
          <w:rFonts w:ascii="宋体" w:hAnsi="宋体" w:cs="Calibri"/>
          <w:sz w:val="22"/>
          <w:szCs w:val="22"/>
        </w:rPr>
        <w:t>投标人资格证明文件：</w:t>
      </w:r>
    </w:p>
    <w:p>
      <w:pPr>
        <w:adjustRightInd w:val="0"/>
        <w:snapToGrid w:val="0"/>
        <w:spacing w:line="400" w:lineRule="exact"/>
        <w:ind w:firstLine="440" w:firstLineChars="200"/>
        <w:rPr>
          <w:rFonts w:ascii="宋体" w:hAnsi="宋体" w:cs="Calibri"/>
          <w:sz w:val="22"/>
          <w:szCs w:val="22"/>
        </w:rPr>
      </w:pPr>
      <w:r>
        <w:rPr>
          <w:rFonts w:ascii="宋体" w:hAnsi="宋体" w:cs="Calibri"/>
          <w:sz w:val="22"/>
          <w:szCs w:val="22"/>
        </w:rPr>
        <w:t>（1）</w:t>
      </w:r>
      <w:r>
        <w:rPr>
          <w:rFonts w:cs="Calibri" w:asciiTheme="minorEastAsia" w:hAnsiTheme="minorEastAsia"/>
          <w:color w:val="000000"/>
          <w:sz w:val="22"/>
          <w:szCs w:val="22"/>
        </w:rPr>
        <w:t>投标人一般情况</w:t>
      </w:r>
      <w:r>
        <w:rPr>
          <w:rFonts w:hint="eastAsia" w:cs="Calibri" w:asciiTheme="minorEastAsia" w:hAnsiTheme="minorEastAsia"/>
          <w:color w:val="000000"/>
          <w:sz w:val="22"/>
          <w:szCs w:val="22"/>
        </w:rPr>
        <w:t>及</w:t>
      </w:r>
      <w:r>
        <w:rPr>
          <w:rFonts w:cs="Calibri" w:asciiTheme="minorEastAsia" w:hAnsiTheme="minorEastAsia"/>
          <w:color w:val="000000"/>
          <w:sz w:val="22"/>
          <w:szCs w:val="22"/>
        </w:rPr>
        <w:t>有关证明投标人法律地位的文件</w:t>
      </w:r>
      <w:r>
        <w:rPr>
          <w:rFonts w:hint="eastAsia" w:ascii="宋体" w:hAnsi="宋体" w:cs="Calibri"/>
          <w:sz w:val="22"/>
          <w:szCs w:val="22"/>
        </w:rPr>
        <w:t>（附营业执照、税务登记证、</w:t>
      </w:r>
      <w:r>
        <w:rPr>
          <w:rFonts w:ascii="宋体" w:hAnsi="宋体" w:cs="Calibri"/>
          <w:sz w:val="22"/>
          <w:szCs w:val="22"/>
        </w:rPr>
        <w:t>一般纳税人证明材料</w:t>
      </w:r>
      <w:r>
        <w:rPr>
          <w:rFonts w:hint="eastAsia" w:ascii="宋体" w:hAnsi="宋体" w:cs="Calibri"/>
          <w:sz w:val="22"/>
          <w:szCs w:val="22"/>
        </w:rPr>
        <w:t>、相关</w:t>
      </w:r>
      <w:r>
        <w:rPr>
          <w:rFonts w:ascii="宋体" w:hAnsi="宋体" w:cs="Calibri"/>
          <w:sz w:val="22"/>
          <w:szCs w:val="22"/>
        </w:rPr>
        <w:t>产品质量认证证书</w:t>
      </w:r>
      <w:r>
        <w:rPr>
          <w:rFonts w:hint="eastAsia" w:ascii="宋体" w:hAnsi="宋体" w:cs="Arial"/>
          <w:kern w:val="0"/>
          <w:sz w:val="22"/>
          <w:szCs w:val="22"/>
        </w:rPr>
        <w:t>、</w:t>
      </w:r>
      <w:r>
        <w:rPr>
          <w:rFonts w:hint="eastAsia" w:ascii="宋体" w:hAnsi="宋体" w:cs="Calibri"/>
          <w:sz w:val="22"/>
          <w:szCs w:val="22"/>
        </w:rPr>
        <w:t>相关</w:t>
      </w:r>
      <w:r>
        <w:rPr>
          <w:rFonts w:ascii="宋体" w:hAnsi="宋体" w:cs="Calibri"/>
          <w:sz w:val="22"/>
          <w:szCs w:val="22"/>
        </w:rPr>
        <w:t>产品鉴定证书</w:t>
      </w:r>
      <w:r>
        <w:rPr>
          <w:rFonts w:hint="eastAsia" w:ascii="宋体" w:hAnsi="宋体" w:cs="Calibri"/>
          <w:sz w:val="22"/>
          <w:szCs w:val="22"/>
        </w:rPr>
        <w:t>等）。</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Calibri"/>
          <w:sz w:val="22"/>
          <w:szCs w:val="22"/>
        </w:rPr>
        <w:t>（2）</w:t>
      </w:r>
      <w:r>
        <w:rPr>
          <w:rFonts w:hint="eastAsia" w:ascii="宋体" w:hAnsi="宋体" w:cs="宋体"/>
          <w:sz w:val="22"/>
          <w:szCs w:val="22"/>
        </w:rPr>
        <w:t>制造商资格声明</w:t>
      </w:r>
      <w:r>
        <w:rPr>
          <w:rFonts w:hint="eastAsia" w:ascii="宋体" w:hAnsi="宋体" w:cs="Arial"/>
          <w:kern w:val="0"/>
          <w:sz w:val="22"/>
          <w:szCs w:val="22"/>
        </w:rPr>
        <w:t>。</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Arial"/>
          <w:kern w:val="0"/>
          <w:sz w:val="22"/>
          <w:szCs w:val="22"/>
        </w:rPr>
        <w:t>（3）</w:t>
      </w:r>
      <w:r>
        <w:rPr>
          <w:rFonts w:ascii="宋体" w:hAnsi="宋体" w:cs="Calibri"/>
          <w:color w:val="000000"/>
          <w:sz w:val="22"/>
          <w:szCs w:val="22"/>
        </w:rPr>
        <w:t>设备制造商的授权书</w:t>
      </w:r>
      <w:r>
        <w:rPr>
          <w:rFonts w:hint="eastAsia" w:ascii="宋体" w:hAnsi="宋体" w:cs="Calibri"/>
          <w:color w:val="000000"/>
          <w:sz w:val="22"/>
          <w:szCs w:val="22"/>
        </w:rPr>
        <w:t>（代理商投标时提供）</w:t>
      </w:r>
    </w:p>
    <w:p>
      <w:pPr>
        <w:adjustRightInd w:val="0"/>
        <w:snapToGrid w:val="0"/>
        <w:spacing w:line="400" w:lineRule="exact"/>
        <w:ind w:firstLine="440" w:firstLineChars="200"/>
        <w:rPr>
          <w:rFonts w:ascii="宋体" w:hAnsi="宋体" w:cs="Calibri"/>
          <w:sz w:val="22"/>
          <w:szCs w:val="22"/>
        </w:rPr>
      </w:pPr>
      <w:r>
        <w:rPr>
          <w:rFonts w:hint="eastAsia" w:ascii="宋体" w:hAnsi="宋体" w:cs="Arial"/>
          <w:kern w:val="0"/>
          <w:sz w:val="22"/>
          <w:szCs w:val="22"/>
        </w:rPr>
        <w:t>（4）</w:t>
      </w:r>
      <w:r>
        <w:rPr>
          <w:rFonts w:hint="eastAsia" w:ascii="宋体" w:hAnsi="宋体" w:cs="Calibri"/>
          <w:sz w:val="22"/>
          <w:szCs w:val="22"/>
        </w:rPr>
        <w:t>投标产品近三年的销售业绩一览表（附业绩的合同）。</w:t>
      </w:r>
    </w:p>
    <w:p>
      <w:pPr>
        <w:adjustRightInd w:val="0"/>
        <w:snapToGrid w:val="0"/>
        <w:spacing w:line="400" w:lineRule="exact"/>
        <w:ind w:firstLine="440" w:firstLineChars="200"/>
        <w:rPr>
          <w:rFonts w:ascii="宋体" w:hAnsi="宋体" w:cs="宋体"/>
          <w:sz w:val="22"/>
          <w:szCs w:val="22"/>
        </w:rPr>
      </w:pPr>
      <w:r>
        <w:rPr>
          <w:rFonts w:hint="eastAsia" w:ascii="宋体" w:hAnsi="宋体" w:cs="Calibri"/>
          <w:sz w:val="22"/>
          <w:szCs w:val="22"/>
        </w:rPr>
        <w:t>六、</w:t>
      </w:r>
      <w:r>
        <w:rPr>
          <w:rFonts w:hint="eastAsia" w:ascii="宋体" w:hAnsi="宋体" w:cs="宋体"/>
          <w:sz w:val="22"/>
          <w:szCs w:val="22"/>
        </w:rPr>
        <w:t>技术规格偏离表；</w:t>
      </w:r>
    </w:p>
    <w:p>
      <w:pPr>
        <w:adjustRightInd w:val="0"/>
        <w:snapToGrid w:val="0"/>
        <w:spacing w:line="400" w:lineRule="exact"/>
        <w:ind w:firstLine="440" w:firstLineChars="200"/>
        <w:rPr>
          <w:rFonts w:ascii="宋体" w:hAnsi="宋体" w:cs="Calibri"/>
          <w:sz w:val="22"/>
          <w:szCs w:val="22"/>
        </w:rPr>
      </w:pPr>
      <w:r>
        <w:rPr>
          <w:rFonts w:hint="eastAsia" w:ascii="宋体" w:hAnsi="宋体" w:cs="宋体"/>
          <w:sz w:val="22"/>
          <w:szCs w:val="22"/>
        </w:rPr>
        <w:t>七、商务条款响应偏离表；</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八、系统设备供货范围（包括设备数量、型号规格、产地、品牌），进口零部件详细清单（需说明产地、品牌）；</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九、技术参数、结构及性能特点等产品技术规格书；</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十、主要原材料及部件性能和生产厂家；</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十一、产品制造、安装、验收标准和验收方法；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十二、现场指导、调试；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十三、</w:t>
      </w:r>
      <w:r>
        <w:rPr>
          <w:rFonts w:ascii="宋体" w:hAnsi="宋体" w:cs="宋体"/>
          <w:sz w:val="22"/>
          <w:szCs w:val="22"/>
        </w:rPr>
        <w:t>产品的技术服务和售后服务的内容、措施、承诺</w:t>
      </w:r>
      <w:r>
        <w:rPr>
          <w:rFonts w:hint="eastAsia" w:ascii="宋体" w:hAnsi="宋体" w:cs="宋体"/>
          <w:sz w:val="22"/>
          <w:szCs w:val="22"/>
        </w:rPr>
        <w:t>；</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十四、提供详细的培训计划，包括培训内容、培训时间、培训人数等；</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十五、关于质量保证期的说明；</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十六、优惠条件：投标人承诺给予用户的其他优惠条款，包括付款条件、培训服务、质量保证期等方面的优惠；</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十七、</w:t>
      </w:r>
      <w:r>
        <w:rPr>
          <w:rFonts w:hint="eastAsia" w:cs="Arial" w:asciiTheme="minorEastAsia" w:hAnsiTheme="minorEastAsia"/>
          <w:color w:val="000000"/>
          <w:sz w:val="22"/>
          <w:szCs w:val="22"/>
        </w:rPr>
        <w:t>投标人认为</w:t>
      </w:r>
      <w:r>
        <w:rPr>
          <w:rFonts w:cs="Arial" w:asciiTheme="minorEastAsia" w:hAnsiTheme="minorEastAsia"/>
          <w:color w:val="000000"/>
          <w:sz w:val="22"/>
          <w:szCs w:val="22"/>
        </w:rPr>
        <w:t>应该提供的其他材料</w:t>
      </w:r>
      <w:r>
        <w:rPr>
          <w:rFonts w:hint="eastAsia" w:ascii="宋体" w:hAnsi="宋体" w:cs="宋体"/>
          <w:sz w:val="22"/>
          <w:szCs w:val="22"/>
        </w:rPr>
        <w:t>。</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80" w:name="_Toc171421958"/>
      <w:r>
        <w:rPr>
          <w:rFonts w:cs="Calibri"/>
          <w:color w:val="000000"/>
        </w:rPr>
        <w:t>封面</w:t>
      </w:r>
      <w:bookmarkEnd w:id="80"/>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采购</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Lines="20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overflowPunct w:val="0"/>
        <w:autoSpaceDE w:val="0"/>
        <w:autoSpaceDN w:val="0"/>
        <w:spacing w:line="440" w:lineRule="exact"/>
        <w:ind w:firstLine="440" w:firstLineChars="200"/>
        <w:rPr>
          <w:rFonts w:ascii="宋体" w:hAnsi="宋体"/>
          <w:sz w:val="22"/>
          <w:szCs w:val="22"/>
        </w:rPr>
      </w:pPr>
      <w:r>
        <w:rPr>
          <w:rFonts w:ascii="宋体" w:hAnsi="宋体"/>
          <w:sz w:val="22"/>
          <w:szCs w:val="22"/>
        </w:rPr>
        <w:t>根据贵方杭州萧山国际机场</w:t>
      </w:r>
      <w:r>
        <w:rPr>
          <w:rFonts w:hint="eastAsia" w:ascii="宋体" w:hAnsi="宋体"/>
          <w:sz w:val="22"/>
          <w:szCs w:val="22"/>
          <w:u w:val="single"/>
        </w:rPr>
        <w:t xml:space="preserve">             </w:t>
      </w:r>
      <w:r>
        <w:rPr>
          <w:rFonts w:ascii="宋体" w:hAnsi="宋体"/>
          <w:sz w:val="22"/>
          <w:szCs w:val="22"/>
        </w:rPr>
        <w:t>采购项</w:t>
      </w:r>
      <w:r>
        <w:rPr>
          <w:rFonts w:hint="eastAsia" w:ascii="宋体" w:hAnsi="宋体"/>
          <w:sz w:val="22"/>
          <w:szCs w:val="22"/>
        </w:rPr>
        <w:t>目</w:t>
      </w:r>
      <w:r>
        <w:rPr>
          <w:rFonts w:ascii="宋体" w:hAnsi="宋体"/>
          <w:sz w:val="22"/>
          <w:szCs w:val="22"/>
        </w:rPr>
        <w:t>的</w:t>
      </w:r>
      <w:r>
        <w:rPr>
          <w:rFonts w:hint="eastAsia" w:ascii="宋体" w:hAnsi="宋体"/>
          <w:sz w:val="22"/>
          <w:szCs w:val="22"/>
        </w:rPr>
        <w:t>招标文件</w:t>
      </w:r>
      <w:r>
        <w:rPr>
          <w:rFonts w:ascii="宋体" w:hAnsi="宋体"/>
          <w:sz w:val="22"/>
          <w:szCs w:val="22"/>
        </w:rPr>
        <w:t>，授权代表</w:t>
      </w:r>
      <w:r>
        <w:rPr>
          <w:rFonts w:ascii="宋体" w:hAnsi="宋体" w:cs="Arial"/>
          <w:sz w:val="22"/>
          <w:szCs w:val="22"/>
          <w:u w:val="single"/>
        </w:rPr>
        <w:t xml:space="preserve">        </w:t>
      </w:r>
      <w:r>
        <w:rPr>
          <w:rFonts w:ascii="宋体" w:hAnsi="宋体"/>
          <w:sz w:val="22"/>
          <w:szCs w:val="22"/>
        </w:rPr>
        <w:t>(全名、职务)经正式授权</w:t>
      </w:r>
      <w:r>
        <w:rPr>
          <w:rFonts w:hint="eastAsia" w:ascii="宋体" w:hAnsi="宋体"/>
          <w:sz w:val="22"/>
          <w:szCs w:val="22"/>
        </w:rPr>
        <w:t>，</w:t>
      </w:r>
      <w:r>
        <w:rPr>
          <w:rFonts w:ascii="宋体" w:hAnsi="宋体"/>
          <w:sz w:val="22"/>
          <w:szCs w:val="22"/>
        </w:rPr>
        <w:t>代表投标人</w:t>
      </w:r>
      <w:r>
        <w:rPr>
          <w:rFonts w:ascii="宋体" w:hAnsi="宋体" w:cs="Arial"/>
          <w:sz w:val="22"/>
          <w:szCs w:val="22"/>
          <w:u w:val="single"/>
        </w:rPr>
        <w:t xml:space="preserve">                    </w:t>
      </w:r>
      <w:r>
        <w:rPr>
          <w:rFonts w:ascii="宋体" w:hAnsi="宋体"/>
          <w:sz w:val="22"/>
          <w:szCs w:val="22"/>
        </w:rPr>
        <w:t>(投标人名称、地址)递交下述文件正本一份</w:t>
      </w:r>
      <w:r>
        <w:rPr>
          <w:rFonts w:hint="eastAsia" w:ascii="宋体" w:hAnsi="宋体"/>
          <w:sz w:val="22"/>
          <w:szCs w:val="22"/>
        </w:rPr>
        <w:t>、</w:t>
      </w:r>
      <w:r>
        <w:rPr>
          <w:rFonts w:ascii="宋体" w:hAnsi="宋体"/>
          <w:sz w:val="22"/>
          <w:szCs w:val="22"/>
        </w:rPr>
        <w:t>副本</w:t>
      </w:r>
      <w:r>
        <w:rPr>
          <w:rFonts w:hint="eastAsia" w:ascii="宋体" w:hAnsi="宋体"/>
          <w:sz w:val="22"/>
          <w:szCs w:val="22"/>
        </w:rPr>
        <w:t>二</w:t>
      </w:r>
      <w:r>
        <w:rPr>
          <w:rFonts w:ascii="宋体" w:hAnsi="宋体"/>
          <w:sz w:val="22"/>
          <w:szCs w:val="22"/>
        </w:rPr>
        <w:t>份。</w:t>
      </w:r>
    </w:p>
    <w:p>
      <w:pPr>
        <w:overflowPunct w:val="0"/>
        <w:autoSpaceDE w:val="0"/>
        <w:autoSpaceDN w:val="0"/>
        <w:spacing w:line="440" w:lineRule="exact"/>
        <w:ind w:firstLine="440" w:firstLineChars="200"/>
        <w:rPr>
          <w:rFonts w:ascii="宋体" w:hAnsi="宋体" w:cs="Arial"/>
          <w:sz w:val="22"/>
          <w:szCs w:val="22"/>
        </w:rPr>
      </w:pPr>
      <w:r>
        <w:rPr>
          <w:rFonts w:ascii="宋体" w:hAnsi="宋体" w:cs="Arial"/>
          <w:sz w:val="22"/>
          <w:szCs w:val="22"/>
        </w:rPr>
        <w:t>据此函，本授权代表宣布同意如下：</w:t>
      </w:r>
    </w:p>
    <w:p>
      <w:pPr>
        <w:numPr>
          <w:ilvl w:val="0"/>
          <w:numId w:val="7"/>
        </w:numPr>
        <w:tabs>
          <w:tab w:val="left" w:pos="840"/>
        </w:tabs>
        <w:overflowPunct w:val="0"/>
        <w:autoSpaceDE w:val="0"/>
        <w:autoSpaceDN w:val="0"/>
        <w:spacing w:line="440" w:lineRule="exact"/>
        <w:rPr>
          <w:rFonts w:ascii="宋体" w:hAnsi="宋体"/>
          <w:sz w:val="22"/>
          <w:szCs w:val="22"/>
        </w:rPr>
      </w:pPr>
      <w:r>
        <w:rPr>
          <w:rFonts w:ascii="宋体" w:hAnsi="宋体"/>
          <w:sz w:val="22"/>
          <w:szCs w:val="22"/>
        </w:rPr>
        <w:t>所投标报价汇总表中规定的应提供的货物和服务，投标总价为人民币：</w:t>
      </w:r>
    </w:p>
    <w:p>
      <w:pPr>
        <w:overflowPunct w:val="0"/>
        <w:autoSpaceDE w:val="0"/>
        <w:autoSpaceDN w:val="0"/>
        <w:spacing w:line="440" w:lineRule="exact"/>
        <w:ind w:left="475" w:leftChars="198" w:firstLine="440" w:firstLineChars="200"/>
        <w:rPr>
          <w:rFonts w:ascii="宋体" w:hAnsi="宋体"/>
          <w:sz w:val="22"/>
          <w:szCs w:val="22"/>
        </w:rPr>
      </w:pPr>
      <w:r>
        <w:rPr>
          <w:rFonts w:ascii="宋体" w:hAnsi="宋体"/>
          <w:sz w:val="22"/>
          <w:szCs w:val="22"/>
        </w:rPr>
        <w:t>(大写)</w:t>
      </w:r>
      <w:r>
        <w:rPr>
          <w:rFonts w:hint="eastAsia" w:ascii="宋体" w:hAnsi="宋体"/>
          <w:sz w:val="22"/>
          <w:szCs w:val="22"/>
          <w:u w:val="single"/>
        </w:rPr>
        <w:t xml:space="preserve">                   </w:t>
      </w:r>
      <w:r>
        <w:rPr>
          <w:rFonts w:ascii="宋体" w:hAnsi="宋体"/>
          <w:sz w:val="22"/>
          <w:szCs w:val="22"/>
        </w:rPr>
        <w:t>(小写)</w:t>
      </w:r>
      <w:r>
        <w:rPr>
          <w:rFonts w:ascii="宋体" w:hAnsi="宋体"/>
          <w:sz w:val="22"/>
          <w:szCs w:val="22"/>
          <w:u w:val="single"/>
        </w:rPr>
        <w:t xml:space="preserve">             </w:t>
      </w:r>
      <w:r>
        <w:rPr>
          <w:rFonts w:ascii="宋体" w:hAnsi="宋体"/>
          <w:sz w:val="22"/>
          <w:szCs w:val="22"/>
        </w:rPr>
        <w:t>。</w:t>
      </w:r>
    </w:p>
    <w:p>
      <w:pPr>
        <w:overflowPunct w:val="0"/>
        <w:autoSpaceDE w:val="0"/>
        <w:autoSpaceDN w:val="0"/>
        <w:spacing w:line="440" w:lineRule="exact"/>
        <w:ind w:left="475" w:leftChars="198" w:firstLine="440" w:firstLineChars="200"/>
        <w:rPr>
          <w:rFonts w:ascii="宋体" w:hAnsi="宋体"/>
          <w:sz w:val="22"/>
          <w:szCs w:val="22"/>
        </w:rPr>
      </w:pPr>
      <w:r>
        <w:rPr>
          <w:rFonts w:hint="eastAsia" w:ascii="宋体" w:hAnsi="宋体"/>
          <w:sz w:val="22"/>
          <w:szCs w:val="22"/>
        </w:rPr>
        <w:t>供货期：合同签订后</w:t>
      </w:r>
      <w:r>
        <w:rPr>
          <w:rFonts w:hint="eastAsia" w:ascii="宋体" w:hAnsi="宋体"/>
          <w:sz w:val="22"/>
          <w:szCs w:val="22"/>
          <w:u w:val="single"/>
        </w:rPr>
        <w:t xml:space="preserve">      </w:t>
      </w:r>
      <w:r>
        <w:rPr>
          <w:rFonts w:hint="eastAsia" w:ascii="宋体" w:hAnsi="宋体"/>
          <w:sz w:val="22"/>
          <w:szCs w:val="22"/>
        </w:rPr>
        <w:t>日历天</w:t>
      </w:r>
      <w:r>
        <w:rPr>
          <w:rFonts w:hint="eastAsia" w:ascii="宋体" w:hAnsi="宋体"/>
          <w:sz w:val="22"/>
          <w:szCs w:val="22"/>
          <w:u w:val="single"/>
        </w:rPr>
        <w:t xml:space="preserve"> </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投标人将按投标文件的规定履行合同责任和义务。</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投标人已详细审查全部招标文件包括澄清函和修改文件(如果有)、所有已提供的资料以及有关附件，</w:t>
      </w:r>
      <w:r>
        <w:rPr>
          <w:rFonts w:hint="eastAsia"/>
          <w:sz w:val="22"/>
          <w:szCs w:val="22"/>
        </w:rPr>
        <w:t>投标人已完全理解上述文件的全部内容，并放弃提出任何误解或不明作为抗辩的权利</w:t>
      </w:r>
      <w:r>
        <w:rPr>
          <w:rFonts w:ascii="宋体" w:hAnsi="宋体"/>
          <w:sz w:val="22"/>
          <w:szCs w:val="22"/>
        </w:rPr>
        <w:t>。</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本投标的投标有效期为自</w:t>
      </w:r>
      <w:r>
        <w:rPr>
          <w:rFonts w:hint="eastAsia" w:ascii="宋体" w:hAnsi="宋体"/>
          <w:sz w:val="22"/>
          <w:szCs w:val="22"/>
        </w:rPr>
        <w:t>投标截止</w:t>
      </w:r>
      <w:r>
        <w:rPr>
          <w:rFonts w:ascii="宋体" w:hAnsi="宋体"/>
          <w:sz w:val="22"/>
          <w:szCs w:val="22"/>
        </w:rPr>
        <w:t>之日起</w:t>
      </w:r>
      <w:r>
        <w:rPr>
          <w:rFonts w:hint="eastAsia" w:ascii="宋体" w:hAnsi="宋体"/>
          <w:sz w:val="22"/>
          <w:szCs w:val="22"/>
        </w:rPr>
        <w:t>120</w:t>
      </w:r>
      <w:r>
        <w:rPr>
          <w:rFonts w:ascii="宋体" w:hAnsi="宋体"/>
          <w:sz w:val="22"/>
          <w:szCs w:val="22"/>
        </w:rPr>
        <w:t>日</w:t>
      </w:r>
      <w:r>
        <w:rPr>
          <w:rFonts w:hint="eastAsia" w:ascii="宋体" w:hAnsi="宋体"/>
          <w:sz w:val="22"/>
          <w:szCs w:val="22"/>
        </w:rPr>
        <w:t>内</w:t>
      </w:r>
      <w:r>
        <w:rPr>
          <w:rFonts w:ascii="宋体" w:hAnsi="宋体"/>
          <w:sz w:val="22"/>
          <w:szCs w:val="22"/>
        </w:rPr>
        <w:t>。</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投标人完全清楚并理解在投标有效期期满之前撤回投标，招标人有权</w:t>
      </w:r>
      <w:r>
        <w:rPr>
          <w:rFonts w:hint="eastAsia" w:ascii="宋体" w:hAnsi="宋体" w:cs="宋体"/>
          <w:sz w:val="22"/>
          <w:szCs w:val="22"/>
        </w:rPr>
        <w:t>不予退还</w:t>
      </w:r>
      <w:r>
        <w:rPr>
          <w:rFonts w:ascii="宋体" w:hAnsi="宋体"/>
          <w:sz w:val="22"/>
          <w:szCs w:val="22"/>
        </w:rPr>
        <w:t>投标人的</w:t>
      </w:r>
      <w:r>
        <w:rPr>
          <w:rFonts w:hint="eastAsia" w:ascii="宋体" w:hAnsi="宋体"/>
          <w:sz w:val="22"/>
          <w:szCs w:val="22"/>
        </w:rPr>
        <w:t>投标保证金及银行同期存款利息</w:t>
      </w:r>
      <w:r>
        <w:rPr>
          <w:rFonts w:ascii="宋体" w:hAnsi="宋体"/>
          <w:sz w:val="22"/>
          <w:szCs w:val="22"/>
        </w:rPr>
        <w:t>。</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投标人同意按照贵方可能提出的要求提供与其投标有关的任何其它数字或资料，并对贵方可能不接受最低价投标及任何投标表示理解。</w:t>
      </w:r>
    </w:p>
    <w:p>
      <w:pPr>
        <w:numPr>
          <w:ilvl w:val="0"/>
          <w:numId w:val="7"/>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如果我方中标，我方将提供金额相当于合同价的10%的履约保证金，作为履行合同的担保。</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投标人：（盖单位章）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法定代表人或其委托代理人：（签字或盖章）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地    址：</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邮政编码：</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电    话：</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传    真：</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开户银行：</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账    号：</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Lines="50" w:line="440" w:lineRule="exact"/>
        <w:rPr>
          <w:rFonts w:cs="Calibri"/>
          <w:color w:val="000000"/>
        </w:rPr>
      </w:pPr>
    </w:p>
    <w:p>
      <w:pPr>
        <w:spacing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w:pict>
          <v:shape id="Text Box 6" o:spid="_x0000_s1026" o:spt="202" type="#_x0000_t202" style="position:absolute;left:0pt;margin-left:0pt;margin-top:63.25pt;height:171.6pt;width:423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w:pict>
          <v:shape id="Text Box 7" o:spid="_x0000_s1027" o:spt="202" type="#_x0000_t202" style="position:absolute;left:0pt;margin-left:9.15pt;margin-top:20.8pt;height:171.6pt;width:423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Lines="50" w:line="360" w:lineRule="auto"/>
        <w:jc w:val="left"/>
        <w:rPr>
          <w:rFonts w:hAnsi="宋体" w:cs="宋体"/>
          <w:b/>
        </w:rPr>
      </w:pPr>
      <w:r>
        <w:rPr>
          <w:rFonts w:hAnsi="宋体" w:cs="宋体"/>
          <w:b/>
        </w:rPr>
        <w:br w:type="page"/>
      </w:r>
      <w:bookmarkStart w:id="81" w:name="_Toc133470542"/>
      <w:bookmarkStart w:id="82" w:name="_Toc137373398"/>
      <w:bookmarkStart w:id="83" w:name="_Toc144265958"/>
      <w:bookmarkStart w:id="84" w:name="_Toc133214102"/>
      <w:bookmarkStart w:id="85" w:name="_Toc133214309"/>
    </w:p>
    <w:p>
      <w:pPr>
        <w:pStyle w:val="31"/>
        <w:spacing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四、投标报价表</w:t>
      </w:r>
    </w:p>
    <w:p>
      <w:pPr>
        <w:pStyle w:val="31"/>
        <w:spacing w:afterLines="50" w:line="360" w:lineRule="auto"/>
        <w:jc w:val="center"/>
        <w:rPr>
          <w:rFonts w:hAnsi="宋体" w:cs="宋体"/>
        </w:rPr>
      </w:pPr>
    </w:p>
    <w:p>
      <w:pPr>
        <w:pStyle w:val="31"/>
        <w:numPr>
          <w:ilvl w:val="1"/>
          <w:numId w:val="8"/>
        </w:numPr>
        <w:snapToGrid w:val="0"/>
        <w:spacing w:beforeLines="50" w:line="360" w:lineRule="exact"/>
        <w:rPr>
          <w:rFonts w:hAnsi="宋体" w:cs="宋体"/>
          <w:b/>
          <w:sz w:val="22"/>
          <w:szCs w:val="22"/>
        </w:rPr>
      </w:pPr>
      <w:r>
        <w:rPr>
          <w:rFonts w:hint="eastAsia" w:hAnsi="宋体" w:cs="宋体"/>
          <w:b/>
          <w:sz w:val="22"/>
          <w:szCs w:val="22"/>
        </w:rPr>
        <w:t>总则</w:t>
      </w:r>
    </w:p>
    <w:p>
      <w:pPr>
        <w:pStyle w:val="31"/>
        <w:numPr>
          <w:ilvl w:val="1"/>
          <w:numId w:val="9"/>
        </w:numPr>
        <w:snapToGrid w:val="0"/>
        <w:spacing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9"/>
        </w:numPr>
        <w:snapToGrid w:val="0"/>
        <w:spacing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9"/>
        </w:numPr>
        <w:snapToGrid w:val="0"/>
        <w:spacing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9"/>
        </w:numPr>
        <w:snapToGrid w:val="0"/>
        <w:spacing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9"/>
        </w:numPr>
        <w:snapToGrid w:val="0"/>
        <w:spacing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9"/>
        </w:numPr>
        <w:snapToGrid w:val="0"/>
        <w:spacing w:beforeLines="50" w:line="360" w:lineRule="exact"/>
        <w:rPr>
          <w:rFonts w:hAnsi="宋体" w:cs="宋体"/>
          <w:sz w:val="22"/>
          <w:szCs w:val="22"/>
        </w:rPr>
      </w:pPr>
      <w:r>
        <w:rPr>
          <w:rFonts w:hint="eastAsia" w:hAnsi="宋体" w:cs="宋体"/>
          <w:sz w:val="22"/>
          <w:szCs w:val="22"/>
        </w:rPr>
        <w:t>本总则上列各条中提及的“投标人”在合同执行过程中应作为“卖方”解释。</w:t>
      </w:r>
    </w:p>
    <w:p>
      <w:pPr>
        <w:pStyle w:val="31"/>
        <w:numPr>
          <w:ilvl w:val="1"/>
          <w:numId w:val="8"/>
        </w:numPr>
        <w:snapToGrid w:val="0"/>
        <w:spacing w:beforeLines="50" w:line="360" w:lineRule="exact"/>
        <w:rPr>
          <w:rFonts w:hAnsi="宋体" w:cs="宋体"/>
          <w:sz w:val="22"/>
          <w:szCs w:val="22"/>
        </w:rPr>
      </w:pPr>
      <w:r>
        <w:rPr>
          <w:rFonts w:hint="eastAsia" w:hAnsi="宋体" w:cs="宋体"/>
          <w:sz w:val="22"/>
          <w:szCs w:val="22"/>
        </w:rPr>
        <w:t>投标报价表包含以下各表</w:t>
      </w:r>
    </w:p>
    <w:bookmarkEnd w:id="81"/>
    <w:bookmarkEnd w:id="82"/>
    <w:bookmarkEnd w:id="83"/>
    <w:bookmarkEnd w:id="84"/>
    <w:bookmarkEnd w:id="85"/>
    <w:p>
      <w:pPr>
        <w:snapToGrid w:val="0"/>
        <w:spacing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Lines="50" w:line="360" w:lineRule="exact"/>
        <w:ind w:left="1134"/>
        <w:rPr>
          <w:rFonts w:ascii="宋体" w:hAnsi="宋体" w:cs="宋体"/>
          <w:sz w:val="22"/>
        </w:rPr>
      </w:pPr>
      <w:r>
        <w:rPr>
          <w:rFonts w:hint="eastAsia" w:ascii="宋体" w:hAnsi="宋体" w:cs="宋体"/>
          <w:sz w:val="22"/>
        </w:rPr>
        <w:t>(2)设备费分项报价表</w:t>
      </w:r>
    </w:p>
    <w:p>
      <w:pPr>
        <w:snapToGrid w:val="0"/>
        <w:spacing w:beforeLines="50" w:line="360" w:lineRule="exact"/>
        <w:ind w:left="1134"/>
        <w:rPr>
          <w:rFonts w:ascii="宋体" w:hAnsi="宋体" w:cs="宋体"/>
          <w:sz w:val="22"/>
        </w:rPr>
      </w:pPr>
      <w:r>
        <w:rPr>
          <w:rFonts w:hint="eastAsia" w:ascii="宋体" w:hAnsi="宋体" w:cs="宋体"/>
          <w:sz w:val="22"/>
        </w:rPr>
        <w:t>(3)随机配件和专用工具分项报价表</w:t>
      </w:r>
    </w:p>
    <w:p>
      <w:pPr>
        <w:snapToGrid w:val="0"/>
        <w:spacing w:beforeLines="50" w:line="360" w:lineRule="exact"/>
        <w:ind w:left="1134"/>
        <w:rPr>
          <w:rFonts w:ascii="宋体" w:hAnsi="宋体" w:cs="宋体"/>
          <w:sz w:val="22"/>
        </w:rPr>
      </w:pPr>
      <w:r>
        <w:rPr>
          <w:rFonts w:hint="eastAsia" w:ascii="宋体" w:hAnsi="宋体" w:cs="宋体"/>
          <w:sz w:val="22"/>
        </w:rPr>
        <w:t>(4)备品备件分项报价表（不计入总价）</w:t>
      </w:r>
    </w:p>
    <w:p>
      <w:pPr>
        <w:snapToGrid w:val="0"/>
        <w:spacing w:beforeLines="50" w:line="360" w:lineRule="exact"/>
        <w:ind w:left="1134"/>
        <w:rPr>
          <w:rFonts w:ascii="宋体" w:hAnsi="宋体" w:cs="宋体"/>
          <w:sz w:val="22"/>
        </w:rPr>
      </w:pP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4.1 投标报价汇总表</w:t>
      </w:r>
    </w:p>
    <w:p>
      <w:pPr>
        <w:spacing w:line="360" w:lineRule="auto"/>
        <w:rPr>
          <w:rFonts w:ascii="宋体" w:hAnsi="宋体" w:cs="宋体"/>
        </w:rPr>
      </w:pPr>
    </w:p>
    <w:p>
      <w:pPr>
        <w:spacing w:line="360" w:lineRule="auto"/>
        <w:jc w:val="right"/>
        <w:rPr>
          <w:rFonts w:ascii="宋体" w:hAnsi="宋体" w:cs="宋体"/>
          <w:sz w:val="22"/>
        </w:rPr>
      </w:pPr>
      <w:r>
        <w:rPr>
          <w:rFonts w:hint="eastAsia" w:ascii="宋体" w:hAnsi="宋体" w:cs="宋体"/>
          <w:sz w:val="22"/>
        </w:rPr>
        <w:t>[货币单位：人民币元]</w:t>
      </w:r>
    </w:p>
    <w:tbl>
      <w:tblPr>
        <w:tblStyle w:val="58"/>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设备费(表4.2)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2</w:t>
            </w:r>
          </w:p>
        </w:tc>
        <w:tc>
          <w:tcPr>
            <w:tcW w:w="2976" w:type="dxa"/>
            <w:vAlign w:val="center"/>
          </w:tcPr>
          <w:p>
            <w:pPr>
              <w:snapToGrid w:val="0"/>
              <w:jc w:val="center"/>
              <w:rPr>
                <w:rFonts w:ascii="宋体" w:hAnsi="宋体" w:cs="宋体"/>
                <w:sz w:val="22"/>
              </w:rPr>
            </w:pPr>
            <w:r>
              <w:rPr>
                <w:rFonts w:hint="eastAsia" w:ascii="宋体" w:hAnsi="宋体" w:cs="宋体"/>
                <w:sz w:val="22"/>
              </w:rPr>
              <w:t>随机配件和专用工具(表4.3)</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spacing w:line="360" w:lineRule="auto"/>
        <w:jc w:val="right"/>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注：</w:t>
      </w:r>
    </w:p>
    <w:p>
      <w:pPr>
        <w:numPr>
          <w:ilvl w:val="2"/>
          <w:numId w:val="10"/>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此表的“总计”系所有需招标人支付的投标金额总数即投标总价，投标总价中已包含投标人完成本招标项目的一切费用包括税费。</w:t>
      </w:r>
    </w:p>
    <w:p>
      <w:pPr>
        <w:numPr>
          <w:ilvl w:val="2"/>
          <w:numId w:val="10"/>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此表为表4.2、表4.3的汇总表。</w:t>
      </w:r>
    </w:p>
    <w:p>
      <w:pPr>
        <w:snapToGrid w:val="0"/>
        <w:spacing w:line="360" w:lineRule="auto"/>
        <w:rPr>
          <w:rFonts w:ascii="宋体" w:hAnsi="宋体" w:cs="宋体"/>
          <w:sz w:val="22"/>
        </w:rPr>
      </w:pPr>
    </w:p>
    <w:p>
      <w:pPr>
        <w:spacing w:beforeLines="50" w:line="360" w:lineRule="auto"/>
        <w:ind w:firstLine="3960"/>
        <w:rPr>
          <w:rFonts w:ascii="宋体" w:hAnsi="宋体" w:cs="宋体"/>
        </w:rPr>
      </w:pPr>
      <w:bookmarkStart w:id="86" w:name="_Toc133214103"/>
      <w:bookmarkStart w:id="87" w:name="_Toc137373399"/>
      <w:bookmarkStart w:id="88" w:name="_Toc133214310"/>
      <w:bookmarkStart w:id="89" w:name="_Toc133470544"/>
    </w:p>
    <w:p>
      <w:pPr>
        <w:spacing w:line="360" w:lineRule="auto"/>
        <w:jc w:val="center"/>
        <w:rPr>
          <w:rFonts w:ascii="宋体" w:hAnsi="宋体" w:cs="宋体"/>
          <w:b/>
          <w:sz w:val="32"/>
          <w:szCs w:val="32"/>
        </w:rPr>
      </w:pPr>
      <w:bookmarkStart w:id="90" w:name="_Toc144265959"/>
      <w:r>
        <w:rPr>
          <w:rFonts w:hint="eastAsia" w:ascii="宋体" w:hAnsi="宋体" w:cs="宋体"/>
          <w:b/>
          <w:sz w:val="32"/>
          <w:szCs w:val="32"/>
        </w:rPr>
        <w:br w:type="page"/>
      </w:r>
    </w:p>
    <w:bookmarkEnd w:id="86"/>
    <w:bookmarkEnd w:id="87"/>
    <w:bookmarkEnd w:id="88"/>
    <w:bookmarkEnd w:id="89"/>
    <w:bookmarkEnd w:id="90"/>
    <w:p>
      <w:pPr>
        <w:snapToGrid w:val="0"/>
        <w:spacing w:line="360" w:lineRule="auto"/>
        <w:jc w:val="center"/>
        <w:rPr>
          <w:rFonts w:ascii="宋体" w:hAnsi="宋体" w:cs="宋体"/>
          <w:b/>
          <w:sz w:val="32"/>
          <w:szCs w:val="32"/>
        </w:rPr>
      </w:pPr>
      <w:r>
        <w:rPr>
          <w:rFonts w:hint="eastAsia" w:ascii="宋体" w:hAnsi="宋体" w:cs="宋体"/>
          <w:b/>
          <w:sz w:val="32"/>
          <w:szCs w:val="32"/>
        </w:rPr>
        <w:t>4.2设备费分项报价表</w:t>
      </w:r>
    </w:p>
    <w:p>
      <w:pPr>
        <w:spacing w:line="360" w:lineRule="auto"/>
        <w:rPr>
          <w:rFonts w:ascii="宋体" w:hAnsi="宋体" w:cs="宋体"/>
          <w:bCs/>
          <w:sz w:val="22"/>
        </w:rPr>
      </w:pPr>
    </w:p>
    <w:tbl>
      <w:tblPr>
        <w:tblStyle w:val="58"/>
        <w:tblW w:w="94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637"/>
        <w:gridCol w:w="578"/>
        <w:gridCol w:w="15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2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3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3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vMerge w:val="continue"/>
            <w:shd w:val="clear" w:color="auto" w:fill="auto"/>
            <w:vAlign w:val="center"/>
          </w:tcPr>
          <w:p>
            <w:pPr>
              <w:widowControl/>
              <w:jc w:val="left"/>
              <w:rPr>
                <w:rFonts w:ascii="宋体" w:hAnsi="宋体" w:cs="宋体"/>
                <w:b/>
                <w:bCs/>
                <w:kern w:val="0"/>
                <w:sz w:val="20"/>
              </w:rPr>
            </w:pPr>
          </w:p>
        </w:tc>
        <w:tc>
          <w:tcPr>
            <w:tcW w:w="1523" w:type="dxa"/>
            <w:vMerge w:val="continue"/>
            <w:shd w:val="clear" w:color="auto" w:fill="auto"/>
            <w:vAlign w:val="center"/>
          </w:tcPr>
          <w:p>
            <w:pPr>
              <w:widowControl/>
              <w:jc w:val="left"/>
              <w:rPr>
                <w:rFonts w:ascii="宋体" w:hAnsi="宋体" w:cs="宋体"/>
                <w:b/>
                <w:bCs/>
                <w:kern w:val="0"/>
                <w:sz w:val="20"/>
              </w:rPr>
            </w:pPr>
          </w:p>
        </w:tc>
        <w:tc>
          <w:tcPr>
            <w:tcW w:w="1134" w:type="dxa"/>
            <w:vMerge w:val="continue"/>
            <w:shd w:val="clear" w:color="auto" w:fill="auto"/>
            <w:vAlign w:val="center"/>
          </w:tcPr>
          <w:p>
            <w:pPr>
              <w:widowControl/>
              <w:jc w:val="left"/>
              <w:rPr>
                <w:rFonts w:ascii="宋体" w:hAnsi="宋体" w:cs="宋体"/>
                <w:b/>
                <w:bCs/>
                <w:kern w:val="0"/>
                <w:sz w:val="20"/>
              </w:rPr>
            </w:pPr>
          </w:p>
        </w:tc>
        <w:tc>
          <w:tcPr>
            <w:tcW w:w="1032"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center"/>
              <w:rPr>
                <w:rFonts w:ascii="宋体" w:hAnsi="宋体" w:cs="宋体"/>
                <w:b/>
                <w:bCs/>
                <w:kern w:val="0"/>
                <w:sz w:val="20"/>
              </w:rPr>
            </w:pPr>
          </w:p>
        </w:tc>
        <w:tc>
          <w:tcPr>
            <w:tcW w:w="1032" w:type="dxa"/>
            <w:shd w:val="clear" w:color="000000" w:fill="FFFFFF"/>
            <w:vAlign w:val="center"/>
          </w:tcPr>
          <w:p>
            <w:pPr>
              <w:widowControl/>
              <w:jc w:val="center"/>
              <w:rPr>
                <w:rFonts w:ascii="宋体" w:hAnsi="宋体" w:cs="宋体"/>
                <w:b/>
                <w:bCs/>
                <w:kern w:val="0"/>
                <w:sz w:val="20"/>
              </w:rPr>
            </w:pPr>
          </w:p>
        </w:tc>
        <w:tc>
          <w:tcPr>
            <w:tcW w:w="755" w:type="dxa"/>
            <w:shd w:val="clear" w:color="000000" w:fill="FFFFFF"/>
            <w:vAlign w:val="center"/>
          </w:tcPr>
          <w:p>
            <w:pPr>
              <w:widowControl/>
              <w:rPr>
                <w:rFonts w:ascii="宋体" w:hAnsi="宋体" w:cs="宋体"/>
                <w:b/>
                <w:bCs/>
                <w:kern w:val="0"/>
                <w:sz w:val="20"/>
              </w:rPr>
            </w:pPr>
          </w:p>
        </w:tc>
        <w:tc>
          <w:tcPr>
            <w:tcW w:w="637" w:type="dxa"/>
            <w:shd w:val="clear" w:color="000000" w:fill="FFFFFF"/>
            <w:vAlign w:val="center"/>
          </w:tcPr>
          <w:p>
            <w:pPr>
              <w:widowControl/>
              <w:rPr>
                <w:rFonts w:ascii="宋体" w:hAnsi="宋体" w:cs="宋体"/>
                <w:b/>
                <w:bCs/>
                <w:kern w:val="0"/>
                <w:sz w:val="20"/>
              </w:rPr>
            </w:pPr>
          </w:p>
        </w:tc>
        <w:tc>
          <w:tcPr>
            <w:tcW w:w="578" w:type="dxa"/>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计</w:t>
            </w: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11"/>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综合单价包括但不限于产品生产、包装、运至指定地点的运输、装卸、保险、安装、调试及各种税费及所有第三章要求的伴随服务等招标文件规定的全部相关费用。</w:t>
      </w: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4.3随机配件和专用工具分项报价表</w:t>
      </w:r>
    </w:p>
    <w:tbl>
      <w:tblPr>
        <w:tblStyle w:val="58"/>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单  价 </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合  价 </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sz w:val="22"/>
        </w:rPr>
      </w:pPr>
      <w:r>
        <w:rPr>
          <w:rFonts w:hint="eastAsia" w:ascii="宋体" w:hAnsi="宋体" w:cs="宋体"/>
          <w:sz w:val="22"/>
        </w:rPr>
        <w:t>注：根据第三章要求</w:t>
      </w:r>
      <w:r>
        <w:rPr>
          <w:rFonts w:hint="eastAsia" w:ascii="宋体" w:hAnsi="宋体"/>
          <w:sz w:val="22"/>
        </w:rPr>
        <w:t>自行填报。</w:t>
      </w:r>
    </w:p>
    <w:p>
      <w:pPr>
        <w:spacing w:line="360" w:lineRule="auto"/>
        <w:rPr>
          <w:rFonts w:ascii="宋体" w:hAnsi="宋体"/>
          <w:sz w:val="22"/>
        </w:rPr>
      </w:pPr>
      <w:r>
        <w:rPr>
          <w:rFonts w:ascii="宋体" w:hAnsi="宋体"/>
          <w:sz w:val="22"/>
        </w:rPr>
        <w:br w:type="page"/>
      </w:r>
    </w:p>
    <w:p>
      <w:pPr>
        <w:spacing w:line="360" w:lineRule="auto"/>
        <w:jc w:val="center"/>
        <w:rPr>
          <w:rFonts w:ascii="宋体" w:hAnsi="宋体" w:cs="宋体"/>
          <w:b/>
          <w:sz w:val="32"/>
          <w:szCs w:val="32"/>
        </w:rPr>
      </w:pPr>
      <w:r>
        <w:rPr>
          <w:rFonts w:hint="eastAsia" w:ascii="宋体" w:hAnsi="宋体" w:cs="宋体"/>
          <w:b/>
          <w:sz w:val="32"/>
          <w:szCs w:val="32"/>
        </w:rPr>
        <w:t>4.4备品备件分项报价表</w:t>
      </w:r>
    </w:p>
    <w:tbl>
      <w:tblPr>
        <w:tblStyle w:val="58"/>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单  价 </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合  价 </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jc w:val="center"/>
        <w:rPr>
          <w:rFonts w:ascii="宋体" w:hAnsi="宋体" w:cs="宋体"/>
          <w:sz w:val="22"/>
        </w:rPr>
      </w:pPr>
      <w:r>
        <w:rPr>
          <w:rFonts w:ascii="宋体" w:hAnsi="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w:t>
      </w:r>
      <w:r>
        <w:rPr>
          <w:rFonts w:ascii="Calibri" w:hAnsi="Calibri" w:eastAsia="黑体" w:cs="Calibri"/>
          <w:color w:val="000000"/>
          <w:sz w:val="32"/>
          <w:szCs w:val="32"/>
        </w:rPr>
        <w:t>投标人资格证明文件</w:t>
      </w:r>
    </w:p>
    <w:p>
      <w:pPr>
        <w:overflowPunct w:val="0"/>
        <w:autoSpaceDE w:val="0"/>
        <w:autoSpaceDN w:val="0"/>
        <w:spacing w:line="440" w:lineRule="exact"/>
        <w:ind w:left="839" w:hanging="839"/>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（一）投标人一般情况</w:t>
      </w:r>
    </w:p>
    <w:tbl>
      <w:tblPr>
        <w:tblStyle w:val="58"/>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企业名称</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主管部门</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经济类型</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法定代表人</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单位简历</w:t>
            </w:r>
          </w:p>
        </w:tc>
        <w:tc>
          <w:tcPr>
            <w:tcW w:w="7643" w:type="dxa"/>
            <w:gridSpan w:val="10"/>
            <w:vAlign w:val="center"/>
          </w:tcPr>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单位优势</w:t>
            </w:r>
          </w:p>
          <w:p>
            <w:pPr>
              <w:snapToGrid w:val="0"/>
              <w:ind w:left="-170" w:right="-170"/>
              <w:jc w:val="center"/>
              <w:rPr>
                <w:rFonts w:ascii="宋体" w:hAnsi="宋体" w:cs="宋体"/>
                <w:sz w:val="22"/>
              </w:rPr>
            </w:pPr>
            <w:r>
              <w:rPr>
                <w:rFonts w:hint="eastAsia" w:ascii="宋体" w:hAnsi="宋体" w:cs="宋体"/>
                <w:sz w:val="22"/>
              </w:rPr>
              <w:t>及 特 长</w:t>
            </w:r>
          </w:p>
        </w:tc>
        <w:tc>
          <w:tcPr>
            <w:tcW w:w="7643" w:type="dxa"/>
            <w:gridSpan w:val="10"/>
            <w:vAlign w:val="center"/>
          </w:tcPr>
          <w:p>
            <w:pPr>
              <w:pStyle w:val="39"/>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sz w:val="22"/>
              </w:rPr>
            </w:pPr>
            <w:r>
              <w:rPr>
                <w:rFonts w:hint="eastAsia" w:ascii="宋体" w:hAnsi="宋体" w:cs="宋体"/>
                <w:sz w:val="22"/>
              </w:rPr>
              <w:t>单 位 概 况</w:t>
            </w: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职工总人数</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工程技术人员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生产工人</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销售人员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固定</w:t>
            </w:r>
          </w:p>
          <w:p>
            <w:pPr>
              <w:snapToGrid w:val="0"/>
              <w:ind w:left="-170" w:right="-170"/>
              <w:jc w:val="center"/>
              <w:rPr>
                <w:rFonts w:ascii="宋体" w:hAnsi="宋体" w:cs="宋体"/>
                <w:sz w:val="22"/>
              </w:rPr>
            </w:pPr>
            <w:r>
              <w:rPr>
                <w:rFonts w:hint="eastAsia" w:ascii="宋体" w:hAnsi="宋体" w:cs="宋体"/>
                <w:sz w:val="22"/>
              </w:rPr>
              <w:t>资产</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性质</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非生产性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流动</w:t>
            </w:r>
          </w:p>
          <w:p>
            <w:pPr>
              <w:snapToGrid w:val="0"/>
              <w:ind w:left="-170" w:right="-170"/>
              <w:jc w:val="center"/>
              <w:rPr>
                <w:rFonts w:ascii="宋体" w:hAnsi="宋体" w:cs="宋体"/>
                <w:sz w:val="22"/>
              </w:rPr>
            </w:pPr>
            <w:r>
              <w:rPr>
                <w:rFonts w:hint="eastAsia" w:ascii="宋体" w:hAnsi="宋体" w:cs="宋体"/>
                <w:sz w:val="22"/>
              </w:rPr>
              <w:t>资金</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来源</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自有资金</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银行贷款</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经营</w:t>
            </w:r>
          </w:p>
          <w:p>
            <w:pPr>
              <w:snapToGrid w:val="0"/>
              <w:ind w:left="-170" w:right="-170"/>
              <w:jc w:val="center"/>
              <w:rPr>
                <w:rFonts w:ascii="宋体" w:hAnsi="宋体" w:cs="宋体"/>
                <w:sz w:val="22"/>
              </w:rPr>
            </w:pPr>
            <w:r>
              <w:rPr>
                <w:rFonts w:hint="eastAsia" w:ascii="宋体" w:hAnsi="宋体" w:cs="宋体"/>
                <w:sz w:val="22"/>
              </w:rPr>
              <w:t>范围</w:t>
            </w:r>
          </w:p>
        </w:tc>
        <w:tc>
          <w:tcPr>
            <w:tcW w:w="7643" w:type="dxa"/>
            <w:gridSpan w:val="10"/>
            <w:vAlign w:val="center"/>
          </w:tcPr>
          <w:p>
            <w:pPr>
              <w:snapToGrid w:val="0"/>
              <w:ind w:left="-170" w:right="-170"/>
              <w:jc w:val="center"/>
              <w:rPr>
                <w:rFonts w:ascii="宋体" w:hAnsi="宋体" w:cs="宋体"/>
                <w:sz w:val="22"/>
              </w:rPr>
            </w:pPr>
          </w:p>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vAlign w:val="center"/>
          </w:tcPr>
          <w:p>
            <w:pPr>
              <w:snapToGrid w:val="0"/>
              <w:ind w:left="-170" w:right="-170"/>
              <w:jc w:val="center"/>
              <w:rPr>
                <w:rFonts w:ascii="宋体" w:hAnsi="宋体" w:cs="宋体"/>
                <w:sz w:val="22"/>
              </w:rPr>
            </w:pPr>
            <w:r>
              <w:rPr>
                <w:rFonts w:hint="eastAsia" w:ascii="宋体" w:hAnsi="宋体" w:cs="宋体"/>
                <w:sz w:val="22"/>
              </w:rPr>
              <w:t>经 济</w:t>
            </w:r>
          </w:p>
          <w:p>
            <w:pPr>
              <w:snapToGrid w:val="0"/>
              <w:ind w:left="-170" w:right="-170"/>
              <w:jc w:val="center"/>
              <w:rPr>
                <w:rFonts w:ascii="宋体" w:hAnsi="宋体" w:cs="宋体"/>
                <w:sz w:val="22"/>
              </w:rPr>
            </w:pPr>
            <w:r>
              <w:rPr>
                <w:rFonts w:hint="eastAsia" w:ascii="宋体" w:hAnsi="宋体" w:cs="宋体"/>
                <w:sz w:val="22"/>
              </w:rPr>
              <w:t>指 标</w:t>
            </w: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年份</w:t>
            </w:r>
          </w:p>
        </w:tc>
        <w:tc>
          <w:tcPr>
            <w:tcW w:w="6090" w:type="dxa"/>
            <w:gridSpan w:val="8"/>
            <w:vAlign w:val="center"/>
          </w:tcPr>
          <w:p>
            <w:pPr>
              <w:snapToGrid w:val="0"/>
              <w:ind w:left="-170" w:right="-17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sz w:val="22"/>
              </w:rPr>
            </w:pPr>
          </w:p>
        </w:tc>
        <w:tc>
          <w:tcPr>
            <w:tcW w:w="1553" w:type="dxa"/>
            <w:gridSpan w:val="2"/>
            <w:tcBorders>
              <w:bottom w:val="single" w:color="auto" w:sz="4" w:space="0"/>
            </w:tcBorders>
            <w:vAlign w:val="center"/>
          </w:tcPr>
          <w:p>
            <w:pPr>
              <w:snapToGrid w:val="0"/>
              <w:ind w:left="-170" w:right="-170"/>
              <w:jc w:val="center"/>
              <w:rPr>
                <w:rFonts w:ascii="宋体" w:hAnsi="宋体" w:cs="宋体"/>
                <w:sz w:val="22"/>
              </w:rPr>
            </w:pPr>
          </w:p>
        </w:tc>
        <w:tc>
          <w:tcPr>
            <w:tcW w:w="6090" w:type="dxa"/>
            <w:gridSpan w:val="8"/>
            <w:tcBorders>
              <w:bottom w:val="single" w:color="auto" w:sz="4" w:space="0"/>
            </w:tcBorders>
            <w:vAlign w:val="center"/>
          </w:tcPr>
          <w:p>
            <w:pPr>
              <w:snapToGrid w:val="0"/>
              <w:ind w:left="-170" w:right="-170"/>
              <w:jc w:val="center"/>
              <w:rPr>
                <w:rFonts w:ascii="宋体" w:hAnsi="宋体" w:cs="宋体"/>
                <w:sz w:val="22"/>
              </w:rPr>
            </w:pPr>
          </w:p>
        </w:tc>
      </w:tr>
    </w:tbl>
    <w:p>
      <w:pPr>
        <w:overflowPunct w:val="0"/>
        <w:autoSpaceDE w:val="0"/>
        <w:autoSpaceDN w:val="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pStyle w:val="31"/>
        <w:adjustRightInd w:val="0"/>
        <w:snapToGrid w:val="0"/>
        <w:spacing w:line="560" w:lineRule="exact"/>
        <w:rPr>
          <w:rFonts w:hAnsi="宋体"/>
          <w:b/>
        </w:rPr>
      </w:pPr>
      <w:r>
        <w:rPr>
          <w:rFonts w:hAnsi="宋体" w:cs="Calibri"/>
          <w:sz w:val="2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六、技术规格偏离表</w:t>
      </w:r>
    </w:p>
    <w:p>
      <w:pPr>
        <w:spacing w:line="560" w:lineRule="exact"/>
        <w:rPr>
          <w:rFonts w:ascii="宋体" w:hAnsi="宋体"/>
        </w:rPr>
      </w:pPr>
    </w:p>
    <w:tbl>
      <w:tblPr>
        <w:tblStyle w:val="58"/>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vAlign w:val="center"/>
          </w:tcPr>
          <w:p>
            <w:pPr>
              <w:jc w:val="center"/>
              <w:rPr>
                <w:rFonts w:ascii="宋体" w:hAnsi="宋体"/>
                <w:szCs w:val="21"/>
              </w:rPr>
            </w:pPr>
            <w:r>
              <w:rPr>
                <w:rFonts w:hint="eastAsia" w:ascii="宋体" w:hAnsi="宋体"/>
                <w:szCs w:val="21"/>
              </w:rPr>
              <w:t>序号</w:t>
            </w:r>
          </w:p>
        </w:tc>
        <w:tc>
          <w:tcPr>
            <w:tcW w:w="1365" w:type="dxa"/>
            <w:vAlign w:val="center"/>
          </w:tcPr>
          <w:p>
            <w:pPr>
              <w:jc w:val="center"/>
              <w:rPr>
                <w:rFonts w:ascii="宋体" w:hAnsi="宋体"/>
                <w:szCs w:val="21"/>
              </w:rPr>
            </w:pPr>
            <w:r>
              <w:rPr>
                <w:rFonts w:hint="eastAsia" w:ascii="宋体" w:hAnsi="宋体"/>
                <w:szCs w:val="21"/>
              </w:rPr>
              <w:t>货物名称</w:t>
            </w:r>
          </w:p>
        </w:tc>
        <w:tc>
          <w:tcPr>
            <w:tcW w:w="1260" w:type="dxa"/>
            <w:vAlign w:val="center"/>
          </w:tcPr>
          <w:p>
            <w:pPr>
              <w:jc w:val="center"/>
              <w:rPr>
                <w:rFonts w:ascii="宋体" w:hAnsi="宋体"/>
                <w:szCs w:val="21"/>
              </w:rPr>
            </w:pPr>
            <w:r>
              <w:rPr>
                <w:rFonts w:hint="eastAsia" w:ascii="宋体" w:hAnsi="宋体"/>
                <w:szCs w:val="21"/>
              </w:rPr>
              <w:t>招标文件条目号</w:t>
            </w:r>
          </w:p>
        </w:tc>
        <w:tc>
          <w:tcPr>
            <w:tcW w:w="1361" w:type="dxa"/>
            <w:vAlign w:val="center"/>
          </w:tcPr>
          <w:p>
            <w:pPr>
              <w:jc w:val="center"/>
              <w:rPr>
                <w:rFonts w:ascii="宋体" w:hAnsi="宋体"/>
                <w:szCs w:val="21"/>
              </w:rPr>
            </w:pPr>
            <w:r>
              <w:rPr>
                <w:rFonts w:hint="eastAsia" w:ascii="宋体" w:hAnsi="宋体"/>
                <w:szCs w:val="21"/>
              </w:rPr>
              <w:t>招标规格</w:t>
            </w:r>
          </w:p>
        </w:tc>
        <w:tc>
          <w:tcPr>
            <w:tcW w:w="1236" w:type="dxa"/>
            <w:vAlign w:val="center"/>
          </w:tcPr>
          <w:p>
            <w:pPr>
              <w:jc w:val="center"/>
              <w:rPr>
                <w:rFonts w:ascii="宋体" w:hAnsi="宋体"/>
                <w:szCs w:val="21"/>
              </w:rPr>
            </w:pPr>
            <w:r>
              <w:rPr>
                <w:rFonts w:hint="eastAsia" w:ascii="宋体" w:hAnsi="宋体"/>
                <w:szCs w:val="21"/>
              </w:rPr>
              <w:t>投标规格</w:t>
            </w:r>
          </w:p>
        </w:tc>
        <w:tc>
          <w:tcPr>
            <w:tcW w:w="1890" w:type="dxa"/>
            <w:vAlign w:val="center"/>
          </w:tcPr>
          <w:p>
            <w:pPr>
              <w:jc w:val="center"/>
              <w:rPr>
                <w:rFonts w:ascii="宋体" w:hAnsi="宋体"/>
                <w:szCs w:val="21"/>
              </w:rPr>
            </w:pPr>
            <w:r>
              <w:rPr>
                <w:rFonts w:hint="eastAsia" w:ascii="宋体" w:hAnsi="宋体"/>
                <w:szCs w:val="21"/>
              </w:rPr>
              <w:t>偏离</w:t>
            </w:r>
          </w:p>
        </w:tc>
        <w:tc>
          <w:tcPr>
            <w:tcW w:w="1470"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bl>
    <w:p>
      <w:pPr>
        <w:spacing w:line="560" w:lineRule="exact"/>
        <w:rPr>
          <w:rFonts w:ascii="宋体" w:hAnsi="宋体"/>
        </w:rPr>
      </w:pPr>
      <w:r>
        <w:rPr>
          <w:rFonts w:hAnsi="宋体"/>
          <w:bCs/>
        </w:rPr>
        <w:t>注：如不填写，则视为完全响应招标文件的技术要求。</w:t>
      </w:r>
    </w:p>
    <w:p>
      <w:pPr>
        <w:spacing w:line="360" w:lineRule="auto"/>
        <w:jc w:val="center"/>
        <w:rPr>
          <w:rFonts w:hAnsi="宋体"/>
          <w:b/>
        </w:rPr>
      </w:pPr>
    </w:p>
    <w:p>
      <w:pPr>
        <w:pStyle w:val="31"/>
        <w:adjustRightInd w:val="0"/>
        <w:snapToGrid w:val="0"/>
        <w:spacing w:line="560" w:lineRule="exact"/>
        <w:rPr>
          <w:rFonts w:hAnsi="宋体"/>
          <w:b/>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七、</w:t>
      </w:r>
      <w:r>
        <w:rPr>
          <w:rFonts w:ascii="Calibri" w:hAnsi="Calibri" w:eastAsia="黑体" w:cs="Calibri"/>
          <w:color w:val="000000"/>
          <w:sz w:val="32"/>
          <w:szCs w:val="32"/>
        </w:rPr>
        <w:t>商务条款响应</w:t>
      </w:r>
      <w:r>
        <w:rPr>
          <w:rFonts w:hint="eastAsia" w:ascii="Calibri" w:hAnsi="Calibri" w:eastAsia="黑体" w:cs="Calibri"/>
          <w:color w:val="000000"/>
          <w:sz w:val="32"/>
          <w:szCs w:val="32"/>
        </w:rPr>
        <w:t>偏离</w:t>
      </w:r>
      <w:r>
        <w:rPr>
          <w:rFonts w:ascii="Calibri" w:hAnsi="Calibri" w:eastAsia="黑体" w:cs="Calibri"/>
          <w:color w:val="000000"/>
          <w:sz w:val="32"/>
          <w:szCs w:val="32"/>
        </w:rPr>
        <w:t>表</w:t>
      </w:r>
    </w:p>
    <w:tbl>
      <w:tblPr>
        <w:tblStyle w:val="58"/>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3510"/>
        <w:gridCol w:w="351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r>
              <w:rPr>
                <w:rFonts w:hAnsi="宋体"/>
                <w:kern w:val="2"/>
                <w:sz w:val="21"/>
              </w:rPr>
              <w:t>序号</w:t>
            </w:r>
          </w:p>
        </w:tc>
        <w:tc>
          <w:tcPr>
            <w:tcW w:w="900" w:type="dxa"/>
            <w:vAlign w:val="center"/>
          </w:tcPr>
          <w:p>
            <w:pPr>
              <w:pStyle w:val="31"/>
              <w:adjustRightInd w:val="0"/>
              <w:snapToGrid w:val="0"/>
              <w:jc w:val="center"/>
              <w:rPr>
                <w:rFonts w:hAnsi="宋体"/>
                <w:kern w:val="2"/>
                <w:sz w:val="21"/>
              </w:rPr>
            </w:pPr>
            <w:r>
              <w:rPr>
                <w:rFonts w:hAnsi="宋体"/>
                <w:kern w:val="2"/>
                <w:sz w:val="21"/>
              </w:rPr>
              <w:t>内容</w:t>
            </w:r>
          </w:p>
        </w:tc>
        <w:tc>
          <w:tcPr>
            <w:tcW w:w="3510" w:type="dxa"/>
            <w:vAlign w:val="center"/>
          </w:tcPr>
          <w:p>
            <w:pPr>
              <w:pStyle w:val="31"/>
              <w:adjustRightInd w:val="0"/>
              <w:snapToGrid w:val="0"/>
              <w:jc w:val="center"/>
              <w:rPr>
                <w:rFonts w:hAnsi="宋体"/>
                <w:kern w:val="2"/>
                <w:sz w:val="21"/>
              </w:rPr>
            </w:pPr>
            <w:r>
              <w:rPr>
                <w:rFonts w:hAnsi="宋体"/>
                <w:kern w:val="2"/>
                <w:sz w:val="21"/>
              </w:rPr>
              <w:t>招标文件要求</w:t>
            </w:r>
          </w:p>
        </w:tc>
        <w:tc>
          <w:tcPr>
            <w:tcW w:w="3510" w:type="dxa"/>
            <w:vAlign w:val="center"/>
          </w:tcPr>
          <w:p>
            <w:pPr>
              <w:pStyle w:val="31"/>
              <w:adjustRightInd w:val="0"/>
              <w:snapToGrid w:val="0"/>
              <w:jc w:val="center"/>
              <w:rPr>
                <w:rFonts w:hAnsi="宋体"/>
                <w:kern w:val="2"/>
                <w:sz w:val="21"/>
              </w:rPr>
            </w:pPr>
            <w:r>
              <w:rPr>
                <w:rFonts w:hAnsi="宋体"/>
                <w:kern w:val="2"/>
                <w:sz w:val="21"/>
              </w:rPr>
              <w:t>投标文件对应内容</w:t>
            </w:r>
          </w:p>
        </w:tc>
        <w:tc>
          <w:tcPr>
            <w:tcW w:w="827" w:type="dxa"/>
            <w:vAlign w:val="center"/>
          </w:tcPr>
          <w:p>
            <w:pPr>
              <w:pStyle w:val="31"/>
              <w:adjustRightInd w:val="0"/>
              <w:snapToGrid w:val="0"/>
              <w:jc w:val="center"/>
              <w:rPr>
                <w:rFonts w:hAnsi="宋体"/>
                <w:kern w:val="2"/>
                <w:sz w:val="21"/>
              </w:rPr>
            </w:pPr>
            <w:r>
              <w:rPr>
                <w:rFonts w:hAnsi="宋体"/>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bl>
    <w:p>
      <w:pPr>
        <w:pStyle w:val="31"/>
        <w:adjustRightInd w:val="0"/>
        <w:snapToGrid w:val="0"/>
        <w:spacing w:line="560" w:lineRule="exact"/>
        <w:rPr>
          <w:rFonts w:hAnsi="宋体"/>
          <w:bCs/>
          <w:sz w:val="24"/>
          <w:szCs w:val="24"/>
        </w:rPr>
      </w:pPr>
    </w:p>
    <w:p>
      <w:pPr>
        <w:pStyle w:val="31"/>
        <w:adjustRightInd w:val="0"/>
        <w:snapToGrid w:val="0"/>
        <w:spacing w:line="560" w:lineRule="exact"/>
        <w:rPr>
          <w:rFonts w:hAnsi="宋体"/>
          <w:bCs/>
          <w:sz w:val="24"/>
          <w:szCs w:val="24"/>
        </w:rPr>
      </w:pPr>
      <w:r>
        <w:rPr>
          <w:rFonts w:hAnsi="宋体"/>
          <w:bCs/>
          <w:sz w:val="24"/>
          <w:szCs w:val="24"/>
        </w:rPr>
        <w:t>注：如不填写，则视为完全响应招标文件的</w:t>
      </w:r>
      <w:r>
        <w:rPr>
          <w:rFonts w:hint="eastAsia" w:hAnsi="宋体"/>
          <w:bCs/>
          <w:sz w:val="24"/>
          <w:szCs w:val="24"/>
        </w:rPr>
        <w:t>商务</w:t>
      </w:r>
      <w:r>
        <w:rPr>
          <w:rFonts w:hAnsi="宋体"/>
          <w:bCs/>
          <w:sz w:val="24"/>
          <w:szCs w:val="24"/>
        </w:rPr>
        <w:t>要求。</w:t>
      </w:r>
    </w:p>
    <w:p>
      <w:pPr>
        <w:pStyle w:val="31"/>
        <w:adjustRightInd w:val="0"/>
        <w:snapToGrid w:val="0"/>
        <w:spacing w:line="560" w:lineRule="exact"/>
        <w:rPr>
          <w:rFonts w:hAnsi="宋体"/>
          <w:bCs/>
          <w:sz w:val="24"/>
          <w:szCs w:val="24"/>
        </w:rPr>
      </w:pPr>
    </w:p>
    <w:p>
      <w:pPr>
        <w:widowControl/>
        <w:jc w:val="left"/>
        <w:rPr>
          <w:rFonts w:ascii="Calibri" w:hAnsi="Calibri" w:eastAsia="黑体" w:cs="Calibri"/>
          <w:color w:val="000000"/>
          <w:sz w:val="32"/>
          <w:szCs w:val="32"/>
        </w:rPr>
      </w:pPr>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Heiti SC Light">
    <w:altName w:val="Arial Unicode MS"/>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531"/>
    </w:sdtPr>
    <w:sdtContent>
      <w:p>
        <w:pPr>
          <w:pStyle w:val="36"/>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E w:val="0"/>
      <w:autoSpaceDN w:val="0"/>
      <w:textAlignment w:val="bottom"/>
    </w:pPr>
    <w:r>
      <w:rPr>
        <w:rFonts w:hint="eastAsia" w:ascii="宋体" w:hAnsi="宋体" w:cs="宋体"/>
        <w:color w:val="000000"/>
        <w:sz w:val="22"/>
        <w:szCs w:val="22"/>
      </w:rPr>
      <w:t>杭州萧山国际机场员工集体宿舍</w:t>
    </w:r>
    <w:r>
      <w:rPr>
        <w:rFonts w:ascii="宋体" w:hAnsi="宋体" w:cs="宋体"/>
        <w:color w:val="000000"/>
        <w:sz w:val="22"/>
        <w:szCs w:val="22"/>
      </w:rPr>
      <w:t>1</w:t>
    </w:r>
    <w:r>
      <w:rPr>
        <w:rFonts w:hint="eastAsia" w:ascii="宋体" w:hAnsi="宋体" w:cs="宋体"/>
        <w:color w:val="000000"/>
        <w:sz w:val="22"/>
        <w:szCs w:val="22"/>
      </w:rPr>
      <w:t>号楼水电改造采购安装项目招标文件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1">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
    <w:nsid w:val="000000B6"/>
    <w:multiLevelType w:val="multilevel"/>
    <w:tmpl w:val="000000B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9063A6D"/>
    <w:multiLevelType w:val="singleLevel"/>
    <w:tmpl w:val="19063A6D"/>
    <w:lvl w:ilvl="0" w:tentative="0">
      <w:start w:val="1"/>
      <w:numFmt w:val="decimal"/>
      <w:lvlText w:val="(%1)"/>
      <w:lvlJc w:val="left"/>
      <w:pPr>
        <w:tabs>
          <w:tab w:val="left" w:pos="907"/>
        </w:tabs>
        <w:ind w:left="907" w:hanging="482"/>
      </w:pPr>
      <w:rPr>
        <w:rFonts w:hint="eastAsia"/>
        <w:b w:val="0"/>
        <w:i w:val="0"/>
        <w:u w:val="none"/>
      </w:rPr>
    </w:lvl>
  </w:abstractNum>
  <w:abstractNum w:abstractNumId="6">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7">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8">
    <w:nsid w:val="5CB97DAB"/>
    <w:multiLevelType w:val="singleLevel"/>
    <w:tmpl w:val="5CB97DAB"/>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9">
    <w:nsid w:val="5CB97DCC"/>
    <w:multiLevelType w:val="singleLevel"/>
    <w:tmpl w:val="5CB97DCC"/>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0">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130"/>
      <w:lvlText w:val=""/>
      <w:lvlJc w:val="left"/>
      <w:pPr>
        <w:tabs>
          <w:tab w:val="left" w:pos="3780"/>
        </w:tabs>
        <w:ind w:left="3780" w:hanging="420"/>
      </w:pPr>
      <w:rPr>
        <w:rFonts w:hint="default" w:ascii="Wingdings" w:hAnsi="Wingdings"/>
      </w:rPr>
    </w:lvl>
  </w:abstractNum>
  <w:num w:numId="1">
    <w:abstractNumId w:val="6"/>
  </w:num>
  <w:num w:numId="2">
    <w:abstractNumId w:val="8"/>
  </w:num>
  <w:num w:numId="3">
    <w:abstractNumId w:val="9"/>
  </w:num>
  <w:num w:numId="4">
    <w:abstractNumId w:val="10"/>
  </w:num>
  <w:num w:numId="5">
    <w:abstractNumId w:val="7"/>
  </w:num>
  <w:num w:numId="6">
    <w:abstractNumId w:val="1"/>
  </w:num>
  <w:num w:numId="7">
    <w:abstractNumId w:val="5"/>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6438B"/>
    <w:rsid w:val="35470E34"/>
    <w:rsid w:val="4BF93F69"/>
    <w:rsid w:val="691338E6"/>
    <w:rsid w:val="6D6771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59"/>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3">
    <w:name w:val="heading 2"/>
    <w:basedOn w:val="1"/>
    <w:next w:val="1"/>
    <w:link w:val="60"/>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4">
    <w:name w:val="heading 3"/>
    <w:basedOn w:val="1"/>
    <w:next w:val="1"/>
    <w:link w:val="61"/>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63"/>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1"/>
    <w:link w:val="64"/>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65"/>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rPr>
  </w:style>
  <w:style w:type="paragraph" w:styleId="9">
    <w:name w:val="heading 8"/>
    <w:basedOn w:val="1"/>
    <w:next w:val="1"/>
    <w:link w:val="66"/>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67"/>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eastAsia="宋体" w:cs="Times New Roman"/>
      <w:sz w:val="21"/>
    </w:rPr>
  </w:style>
  <w:style w:type="paragraph" w:styleId="12">
    <w:name w:val="annotation subject"/>
    <w:basedOn w:val="13"/>
    <w:next w:val="13"/>
    <w:link w:val="95"/>
    <w:semiHidden/>
    <w:qFormat/>
    <w:uiPriority w:val="0"/>
    <w:rPr>
      <w:rFonts w:ascii="Times New Roman" w:hAnsi="Times New Roman" w:eastAsia="宋体" w:cs="Times New Roman"/>
      <w:b/>
      <w:bCs/>
      <w:kern w:val="0"/>
      <w:sz w:val="20"/>
    </w:rPr>
  </w:style>
  <w:style w:type="paragraph" w:styleId="13">
    <w:name w:val="annotation text"/>
    <w:basedOn w:val="1"/>
    <w:link w:val="103"/>
    <w:unhideWhenUsed/>
    <w:qFormat/>
    <w:uiPriority w:val="0"/>
    <w:pPr>
      <w:jc w:val="left"/>
    </w:pPr>
  </w:style>
  <w:style w:type="paragraph" w:styleId="14">
    <w:name w:val="toc 7"/>
    <w:basedOn w:val="1"/>
    <w:next w:val="1"/>
    <w:qFormat/>
    <w:uiPriority w:val="0"/>
    <w:pPr>
      <w:ind w:left="1260"/>
      <w:jc w:val="left"/>
    </w:pPr>
    <w:rPr>
      <w:rFonts w:ascii="Times New Roman" w:hAnsi="Times New Roman" w:eastAsia="宋体" w:cs="Times New Roman"/>
      <w:sz w:val="20"/>
      <w:szCs w:val="20"/>
    </w:rPr>
  </w:style>
  <w:style w:type="paragraph" w:styleId="15">
    <w:name w:val="Body Text First Indent"/>
    <w:basedOn w:val="16"/>
    <w:link w:val="90"/>
    <w:qFormat/>
    <w:uiPriority w:val="0"/>
    <w:pPr>
      <w:ind w:firstLine="420" w:firstLineChars="100"/>
    </w:pPr>
    <w:rPr>
      <w:rFonts w:ascii="Times New Roman" w:hAnsi="Times New Roman" w:eastAsia="宋体" w:cs="Times New Roman"/>
      <w:kern w:val="0"/>
      <w:sz w:val="20"/>
    </w:rPr>
  </w:style>
  <w:style w:type="paragraph" w:styleId="16">
    <w:name w:val="Body Text"/>
    <w:basedOn w:val="1"/>
    <w:link w:val="106"/>
    <w:unhideWhenUsed/>
    <w:uiPriority w:val="0"/>
    <w:pPr>
      <w:spacing w:after="120"/>
    </w:pPr>
  </w:style>
  <w:style w:type="paragraph" w:styleId="17">
    <w:name w:val="table of authorities"/>
    <w:basedOn w:val="1"/>
    <w:next w:val="1"/>
    <w:qFormat/>
    <w:uiPriority w:val="0"/>
    <w:pPr>
      <w:ind w:left="420" w:leftChars="200"/>
    </w:pPr>
    <w:rPr>
      <w:rFonts w:ascii="Times New Roman" w:hAnsi="Times New Roman" w:eastAsia="宋体" w:cs="Times New Roman"/>
      <w:sz w:val="21"/>
    </w:rPr>
  </w:style>
  <w:style w:type="paragraph" w:styleId="18">
    <w:name w:val="Normal Indent"/>
    <w:basedOn w:val="1"/>
    <w:qFormat/>
    <w:uiPriority w:val="0"/>
    <w:pPr>
      <w:ind w:firstLine="420"/>
    </w:pPr>
    <w:rPr>
      <w:rFonts w:ascii="Times New Roman" w:hAnsi="Times New Roman" w:eastAsia="宋体" w:cs="Times New Roman"/>
      <w:sz w:val="21"/>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rPr>
      <w:rFonts w:ascii="Times New Roman" w:hAnsi="Times New Roman" w:eastAsia="宋体" w:cs="Times New Roman"/>
      <w:sz w:val="21"/>
    </w:rPr>
  </w:style>
  <w:style w:type="paragraph" w:styleId="21">
    <w:name w:val="List Bullet"/>
    <w:basedOn w:val="1"/>
    <w:qFormat/>
    <w:uiPriority w:val="0"/>
    <w:pPr>
      <w:numPr>
        <w:ilvl w:val="0"/>
        <w:numId w:val="2"/>
      </w:numPr>
    </w:pPr>
  </w:style>
  <w:style w:type="paragraph" w:styleId="22">
    <w:name w:val="Document Map"/>
    <w:basedOn w:val="1"/>
    <w:link w:val="71"/>
    <w:qFormat/>
    <w:uiPriority w:val="0"/>
    <w:pPr>
      <w:shd w:val="clear" w:color="auto" w:fill="000080"/>
    </w:pPr>
    <w:rPr>
      <w:rFonts w:ascii="Times New Roman" w:hAnsi="Times New Roman" w:eastAsia="宋体" w:cs="Times New Roman"/>
      <w:kern w:val="0"/>
      <w:sz w:val="20"/>
    </w:rPr>
  </w:style>
  <w:style w:type="paragraph" w:styleId="23">
    <w:name w:val="Body Text 3"/>
    <w:basedOn w:val="1"/>
    <w:link w:val="83"/>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4">
    <w:name w:val="Body Text Indent"/>
    <w:basedOn w:val="1"/>
    <w:link w:val="79"/>
    <w:qFormat/>
    <w:uiPriority w:val="0"/>
    <w:pPr>
      <w:ind w:firstLine="560" w:firstLineChars="200"/>
    </w:pPr>
    <w:rPr>
      <w:rFonts w:ascii="宋体" w:hAnsi="宋体" w:eastAsia="宋体" w:cs="Times New Roman"/>
      <w:kern w:val="0"/>
      <w:sz w:val="28"/>
      <w:szCs w:val="28"/>
    </w:rPr>
  </w:style>
  <w:style w:type="paragraph" w:styleId="25">
    <w:name w:val="List 2"/>
    <w:basedOn w:val="1"/>
    <w:qFormat/>
    <w:uiPriority w:val="0"/>
    <w:pPr>
      <w:ind w:left="100" w:leftChars="200" w:hanging="200" w:hangingChars="200"/>
    </w:pPr>
    <w:rPr>
      <w:rFonts w:ascii="Times New Roman" w:hAnsi="Times New Roman" w:eastAsia="宋体" w:cs="Times New Roman"/>
      <w:sz w:val="21"/>
    </w:rPr>
  </w:style>
  <w:style w:type="paragraph" w:styleId="26">
    <w:name w:val="List Continue"/>
    <w:basedOn w:val="1"/>
    <w:qFormat/>
    <w:uiPriority w:val="0"/>
    <w:pPr>
      <w:spacing w:after="120"/>
      <w:ind w:left="420" w:leftChars="200"/>
    </w:pPr>
    <w:rPr>
      <w:rFonts w:ascii="Times New Roman" w:hAnsi="Times New Roman" w:eastAsia="宋体" w:cs="Times New Roman"/>
      <w:sz w:val="21"/>
    </w:rPr>
  </w:style>
  <w:style w:type="paragraph" w:styleId="27">
    <w:name w:val="Block Text"/>
    <w:basedOn w:val="1"/>
    <w:qFormat/>
    <w:uiPriority w:val="0"/>
    <w:pPr>
      <w:spacing w:before="120" w:after="120" w:line="360" w:lineRule="auto"/>
      <w:ind w:left="525" w:right="202"/>
    </w:pPr>
    <w:rPr>
      <w:rFonts w:ascii="宋体" w:hAnsi="宋体" w:eastAsia="宋体" w:cs="Times New Roman"/>
      <w:spacing w:val="-4"/>
    </w:rPr>
  </w:style>
  <w:style w:type="paragraph" w:styleId="28">
    <w:name w:val="List Bullet 2"/>
    <w:basedOn w:val="1"/>
    <w:qFormat/>
    <w:uiPriority w:val="0"/>
    <w:pPr>
      <w:numPr>
        <w:ilvl w:val="0"/>
        <w:numId w:val="3"/>
      </w:numPr>
    </w:pPr>
  </w:style>
  <w:style w:type="paragraph" w:styleId="29">
    <w:name w:val="toc 5"/>
    <w:basedOn w:val="1"/>
    <w:next w:val="1"/>
    <w:qFormat/>
    <w:uiPriority w:val="0"/>
    <w:pPr>
      <w:ind w:left="840"/>
      <w:jc w:val="left"/>
    </w:pPr>
    <w:rPr>
      <w:rFonts w:ascii="Times New Roman" w:hAnsi="Times New Roman" w:eastAsia="宋体" w:cs="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74"/>
    <w:qFormat/>
    <w:uiPriority w:val="0"/>
    <w:rPr>
      <w:rFonts w:ascii="宋体" w:hAnsi="Courier New" w:eastAsia="宋体" w:cs="Times New Roman"/>
      <w:kern w:val="0"/>
      <w:sz w:val="20"/>
      <w:szCs w:val="21"/>
    </w:rPr>
  </w:style>
  <w:style w:type="paragraph" w:styleId="32">
    <w:name w:val="toc 8"/>
    <w:basedOn w:val="1"/>
    <w:next w:val="1"/>
    <w:qFormat/>
    <w:uiPriority w:val="0"/>
    <w:pPr>
      <w:ind w:left="1470"/>
      <w:jc w:val="left"/>
    </w:pPr>
    <w:rPr>
      <w:rFonts w:ascii="Times New Roman" w:hAnsi="Times New Roman" w:eastAsia="宋体" w:cs="Times New Roman"/>
      <w:sz w:val="20"/>
      <w:szCs w:val="20"/>
    </w:rPr>
  </w:style>
  <w:style w:type="paragraph" w:styleId="33">
    <w:name w:val="Date"/>
    <w:basedOn w:val="1"/>
    <w:next w:val="1"/>
    <w:link w:val="68"/>
    <w:qFormat/>
    <w:uiPriority w:val="0"/>
    <w:pPr>
      <w:ind w:left="100" w:leftChars="2500"/>
    </w:pPr>
    <w:rPr>
      <w:rFonts w:ascii="Times New Roman" w:hAnsi="Times New Roman" w:eastAsia="宋体" w:cs="Times New Roman"/>
      <w:kern w:val="0"/>
      <w:sz w:val="20"/>
    </w:rPr>
  </w:style>
  <w:style w:type="paragraph" w:styleId="34">
    <w:name w:val="Body Text Indent 2"/>
    <w:basedOn w:val="1"/>
    <w:link w:val="94"/>
    <w:qFormat/>
    <w:uiPriority w:val="0"/>
    <w:pPr>
      <w:spacing w:after="120" w:line="480" w:lineRule="auto"/>
      <w:ind w:left="420" w:leftChars="200"/>
    </w:pPr>
    <w:rPr>
      <w:rFonts w:ascii="Times New Roman" w:hAnsi="Times New Roman" w:eastAsia="宋体" w:cs="Times New Roman"/>
      <w:kern w:val="0"/>
      <w:sz w:val="20"/>
    </w:rPr>
  </w:style>
  <w:style w:type="paragraph" w:styleId="35">
    <w:name w:val="Balloon Text"/>
    <w:basedOn w:val="1"/>
    <w:link w:val="69"/>
    <w:semiHidden/>
    <w:qFormat/>
    <w:uiPriority w:val="0"/>
    <w:rPr>
      <w:rFonts w:ascii="Times New Roman" w:hAnsi="Times New Roman" w:eastAsia="宋体" w:cs="Times New Roman"/>
      <w:kern w:val="0"/>
      <w:sz w:val="18"/>
      <w:szCs w:val="18"/>
    </w:rPr>
  </w:style>
  <w:style w:type="paragraph" w:styleId="36">
    <w:name w:val="footer"/>
    <w:basedOn w:val="1"/>
    <w:link w:val="87"/>
    <w:qFormat/>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7">
    <w:name w:val="Body Text First Indent 2"/>
    <w:basedOn w:val="24"/>
    <w:link w:val="78"/>
    <w:qFormat/>
    <w:uiPriority w:val="0"/>
    <w:pPr>
      <w:spacing w:after="120"/>
      <w:ind w:left="420" w:leftChars="200" w:firstLine="420"/>
    </w:pPr>
    <w:rPr>
      <w:szCs w:val="24"/>
    </w:rPr>
  </w:style>
  <w:style w:type="paragraph" w:styleId="38">
    <w:name w:val="header"/>
    <w:basedOn w:val="1"/>
    <w:link w:val="8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39">
    <w:name w:val="toc 1"/>
    <w:basedOn w:val="1"/>
    <w:next w:val="1"/>
    <w:qFormat/>
    <w:uiPriority w:val="39"/>
    <w:pPr>
      <w:adjustRightInd w:val="0"/>
      <w:snapToGrid w:val="0"/>
    </w:pPr>
    <w:rPr>
      <w:rFonts w:ascii="Times New Roman" w:hAnsi="Times New Roman" w:eastAsia="仿宋" w:cs="Times New Roman"/>
      <w:sz w:val="21"/>
    </w:rPr>
  </w:style>
  <w:style w:type="paragraph" w:styleId="40">
    <w:name w:val="toc 4"/>
    <w:basedOn w:val="1"/>
    <w:next w:val="1"/>
    <w:qFormat/>
    <w:uiPriority w:val="0"/>
    <w:pPr>
      <w:ind w:left="630"/>
      <w:jc w:val="left"/>
    </w:pPr>
    <w:rPr>
      <w:rFonts w:ascii="楷体_GB2312" w:hAnsi="Times New Roman" w:eastAsia="楷体_GB2312" w:cs="Times New Roman"/>
      <w:sz w:val="28"/>
      <w:szCs w:val="20"/>
    </w:rPr>
  </w:style>
  <w:style w:type="paragraph" w:styleId="41">
    <w:name w:val="List"/>
    <w:basedOn w:val="1"/>
    <w:qFormat/>
    <w:uiPriority w:val="0"/>
    <w:pPr>
      <w:ind w:left="200" w:hanging="200" w:hangingChars="200"/>
    </w:pPr>
    <w:rPr>
      <w:rFonts w:ascii="Times New Roman" w:hAnsi="Times New Roman" w:eastAsia="宋体" w:cs="Times New Roman"/>
      <w:sz w:val="21"/>
    </w:rPr>
  </w:style>
  <w:style w:type="paragraph" w:styleId="42">
    <w:name w:val="toc 6"/>
    <w:basedOn w:val="1"/>
    <w:next w:val="1"/>
    <w:qFormat/>
    <w:uiPriority w:val="0"/>
    <w:pPr>
      <w:ind w:left="1050"/>
      <w:jc w:val="left"/>
    </w:pPr>
    <w:rPr>
      <w:rFonts w:ascii="Times New Roman" w:hAnsi="Times New Roman" w:eastAsia="宋体" w:cs="Times New Roman"/>
      <w:sz w:val="20"/>
      <w:szCs w:val="20"/>
    </w:rPr>
  </w:style>
  <w:style w:type="paragraph" w:styleId="43">
    <w:name w:val="Body Text Indent 3"/>
    <w:basedOn w:val="1"/>
    <w:link w:val="89"/>
    <w:qFormat/>
    <w:uiPriority w:val="0"/>
    <w:pPr>
      <w:spacing w:after="120"/>
      <w:ind w:left="420" w:leftChars="200"/>
    </w:pPr>
    <w:rPr>
      <w:rFonts w:ascii="Times New Roman" w:hAnsi="Times New Roman" w:eastAsia="宋体" w:cs="Times New Roman"/>
      <w:kern w:val="0"/>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qFormat/>
    <w:uiPriority w:val="0"/>
    <w:pPr>
      <w:ind w:left="1680"/>
      <w:jc w:val="left"/>
    </w:pPr>
    <w:rPr>
      <w:rFonts w:ascii="Times New Roman" w:hAnsi="Times New Roman" w:eastAsia="宋体" w:cs="Times New Roman"/>
      <w:sz w:val="20"/>
      <w:szCs w:val="20"/>
    </w:rPr>
  </w:style>
  <w:style w:type="paragraph" w:styleId="46">
    <w:name w:val="Body Text 2"/>
    <w:basedOn w:val="1"/>
    <w:link w:val="70"/>
    <w:unhideWhenUsed/>
    <w:qFormat/>
    <w:uiPriority w:val="0"/>
    <w:pPr>
      <w:spacing w:after="120" w:line="480" w:lineRule="auto"/>
    </w:pPr>
    <w:rPr>
      <w:rFonts w:ascii="Times New Roman" w:hAnsi="Times New Roman" w:eastAsia="宋体" w:cs="Times New Roman"/>
      <w:kern w:val="0"/>
      <w:sz w:val="20"/>
    </w:rPr>
  </w:style>
  <w:style w:type="paragraph" w:styleId="47">
    <w:name w:val="List 4"/>
    <w:basedOn w:val="1"/>
    <w:qFormat/>
    <w:uiPriority w:val="0"/>
    <w:pPr>
      <w:ind w:left="100" w:leftChars="600" w:hanging="200" w:hangingChars="200"/>
    </w:pPr>
    <w:rPr>
      <w:rFonts w:ascii="Times New Roman" w:hAnsi="Times New Roman" w:eastAsia="宋体" w:cs="Times New Roman"/>
      <w:sz w:val="21"/>
    </w:rPr>
  </w:style>
  <w:style w:type="paragraph" w:styleId="48">
    <w:name w:val="List Continue 2"/>
    <w:basedOn w:val="1"/>
    <w:qFormat/>
    <w:uiPriority w:val="0"/>
    <w:pPr>
      <w:spacing w:after="120"/>
      <w:ind w:left="840" w:leftChars="400"/>
    </w:pPr>
    <w:rPr>
      <w:rFonts w:ascii="Times New Roman" w:hAnsi="Times New Roman" w:eastAsia="宋体" w:cs="Times New Roman"/>
      <w:sz w:val="21"/>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eastAsia="宋体" w:cs="Times New Roman"/>
      <w:sz w:val="21"/>
      <w:szCs w:val="20"/>
    </w:rPr>
  </w:style>
  <w:style w:type="paragraph" w:styleId="51">
    <w:name w:val="Title"/>
    <w:basedOn w:val="1"/>
    <w:next w:val="1"/>
    <w:link w:val="96"/>
    <w:qFormat/>
    <w:uiPriority w:val="0"/>
    <w:pPr>
      <w:spacing w:before="60" w:after="60"/>
      <w:jc w:val="center"/>
      <w:outlineLvl w:val="0"/>
    </w:pPr>
    <w:rPr>
      <w:rFonts w:ascii="Cambria" w:hAnsi="Cambria" w:eastAsia="黑体" w:cs="Times New Roman"/>
      <w:b/>
      <w:bCs/>
      <w:kern w:val="0"/>
      <w:sz w:val="32"/>
      <w:szCs w:val="32"/>
    </w:rPr>
  </w:style>
  <w:style w:type="character" w:styleId="53">
    <w:name w:val="Strong"/>
    <w:qFormat/>
    <w:uiPriority w:val="0"/>
    <w:rPr>
      <w:rFonts w:asciiTheme="minorHAnsi" w:hAnsiTheme="minorHAnsi" w:eastAsiaTheme="minorEastAsia" w:cstheme="minorBidi"/>
      <w:b/>
      <w:bCs/>
      <w:lang w:val="en-US" w:eastAsia="zh-CN" w:bidi="ar-SA"/>
    </w:rPr>
  </w:style>
  <w:style w:type="character" w:styleId="54">
    <w:name w:val="page number"/>
    <w:basedOn w:val="52"/>
    <w:qFormat/>
    <w:uiPriority w:val="0"/>
    <w:rPr>
      <w:rFonts w:asciiTheme="minorHAnsi" w:hAnsiTheme="minorHAnsi" w:eastAsiaTheme="minorEastAsia" w:cstheme="minorBidi"/>
      <w:lang w:val="en-US" w:eastAsia="zh-CN" w:bidi="ar-SA"/>
    </w:rPr>
  </w:style>
  <w:style w:type="character" w:styleId="55">
    <w:name w:val="FollowedHyperlink"/>
    <w:unhideWhenUsed/>
    <w:qFormat/>
    <w:uiPriority w:val="99"/>
    <w:rPr>
      <w:rFonts w:asciiTheme="minorHAnsi" w:hAnsiTheme="minorHAnsi" w:eastAsiaTheme="minorEastAsia" w:cstheme="minorBidi"/>
      <w:color w:val="800080"/>
      <w:u w:val="single"/>
      <w:lang w:val="en-US" w:eastAsia="zh-CN" w:bidi="ar-SA"/>
    </w:rPr>
  </w:style>
  <w:style w:type="character" w:styleId="56">
    <w:name w:val="Hyperlink"/>
    <w:qFormat/>
    <w:uiPriority w:val="99"/>
    <w:rPr>
      <w:rFonts w:asciiTheme="minorHAnsi" w:hAnsiTheme="minorHAnsi" w:eastAsiaTheme="minorEastAsia" w:cstheme="minorBidi"/>
      <w:color w:val="0000FF"/>
      <w:u w:val="single"/>
      <w:lang w:val="en-US" w:eastAsia="zh-CN" w:bidi="ar-SA"/>
    </w:rPr>
  </w:style>
  <w:style w:type="character" w:styleId="57">
    <w:name w:val="annotation reference"/>
    <w:semiHidden/>
    <w:qFormat/>
    <w:uiPriority w:val="0"/>
    <w:rPr>
      <w:rFonts w:asciiTheme="minorHAnsi" w:hAnsiTheme="minorHAnsi" w:eastAsiaTheme="minorEastAsia" w:cstheme="minorBidi"/>
      <w:sz w:val="21"/>
      <w:szCs w:val="21"/>
      <w:lang w:val="en-US" w:eastAsia="zh-CN" w:bidi="ar-SA"/>
    </w:rPr>
  </w:style>
  <w:style w:type="character" w:customStyle="1" w:styleId="59">
    <w:name w:val="标题 1 Char"/>
    <w:basedOn w:val="52"/>
    <w:link w:val="2"/>
    <w:qFormat/>
    <w:uiPriority w:val="0"/>
    <w:rPr>
      <w:rFonts w:ascii="Times New Roman" w:hAnsi="Times New Roman" w:eastAsia="宋体" w:cs="Times New Roman"/>
      <w:b/>
      <w:bCs/>
      <w:kern w:val="44"/>
      <w:sz w:val="30"/>
      <w:szCs w:val="44"/>
      <w:lang w:val="en-US" w:eastAsia="zh-CN" w:bidi="ar-SA"/>
    </w:rPr>
  </w:style>
  <w:style w:type="character" w:customStyle="1" w:styleId="60">
    <w:name w:val="标题 2 Char"/>
    <w:basedOn w:val="52"/>
    <w:link w:val="3"/>
    <w:qFormat/>
    <w:uiPriority w:val="0"/>
    <w:rPr>
      <w:rFonts w:ascii="Arial" w:hAnsi="Arial" w:eastAsia="宋体" w:cs="Times New Roman"/>
      <w:b/>
      <w:bCs/>
      <w:kern w:val="0"/>
      <w:sz w:val="28"/>
      <w:szCs w:val="32"/>
      <w:lang w:val="en-US" w:eastAsia="zh-CN" w:bidi="ar-SA"/>
    </w:rPr>
  </w:style>
  <w:style w:type="character" w:customStyle="1" w:styleId="61">
    <w:name w:val="标题 3 Char"/>
    <w:basedOn w:val="52"/>
    <w:link w:val="4"/>
    <w:qFormat/>
    <w:uiPriority w:val="0"/>
    <w:rPr>
      <w:rFonts w:ascii="宋体" w:hAnsi="Times New Roman" w:eastAsia="宋体" w:cs="Times New Roman"/>
      <w:b/>
      <w:kern w:val="0"/>
      <w:sz w:val="28"/>
      <w:szCs w:val="20"/>
      <w:lang w:val="en-US" w:eastAsia="zh-CN" w:bidi="ar-SA"/>
    </w:rPr>
  </w:style>
  <w:style w:type="character" w:customStyle="1" w:styleId="62">
    <w:name w:val="标题 4 Char"/>
    <w:basedOn w:val="52"/>
    <w:link w:val="5"/>
    <w:qFormat/>
    <w:uiPriority w:val="0"/>
    <w:rPr>
      <w:rFonts w:ascii="Arial" w:hAnsi="Arial" w:eastAsia="黑体" w:cs="Times New Roman"/>
      <w:b/>
      <w:bCs/>
      <w:kern w:val="0"/>
      <w:sz w:val="28"/>
      <w:szCs w:val="28"/>
      <w:lang w:val="en-US" w:eastAsia="zh-CN" w:bidi="ar-SA"/>
    </w:rPr>
  </w:style>
  <w:style w:type="character" w:customStyle="1" w:styleId="63">
    <w:name w:val="标题 5 Char"/>
    <w:basedOn w:val="52"/>
    <w:link w:val="6"/>
    <w:qFormat/>
    <w:uiPriority w:val="0"/>
    <w:rPr>
      <w:rFonts w:ascii="Times New Roman" w:hAnsi="Times New Roman" w:eastAsia="宋体" w:cs="Times New Roman"/>
      <w:b/>
      <w:bCs/>
      <w:kern w:val="0"/>
      <w:sz w:val="28"/>
      <w:szCs w:val="28"/>
      <w:lang w:val="en-US" w:eastAsia="zh-CN" w:bidi="ar-SA"/>
    </w:rPr>
  </w:style>
  <w:style w:type="character" w:customStyle="1" w:styleId="64">
    <w:name w:val="标题 6 Char"/>
    <w:basedOn w:val="52"/>
    <w:link w:val="7"/>
    <w:qFormat/>
    <w:uiPriority w:val="0"/>
    <w:rPr>
      <w:rFonts w:ascii="Arial" w:hAnsi="Arial" w:eastAsia="黑体" w:cs="Times New Roman"/>
      <w:b/>
      <w:bCs/>
      <w:kern w:val="0"/>
      <w:lang w:val="en-US" w:eastAsia="zh-CN" w:bidi="ar-SA"/>
    </w:rPr>
  </w:style>
  <w:style w:type="character" w:customStyle="1" w:styleId="65">
    <w:name w:val="标题 7 Char"/>
    <w:basedOn w:val="52"/>
    <w:link w:val="8"/>
    <w:qFormat/>
    <w:uiPriority w:val="0"/>
    <w:rPr>
      <w:rFonts w:ascii="Times New Roman" w:hAnsi="Times New Roman" w:eastAsia="宋体" w:cs="Times New Roman"/>
      <w:b/>
      <w:bCs/>
      <w:kern w:val="0"/>
      <w:lang w:val="en-US" w:eastAsia="zh-CN" w:bidi="ar-SA"/>
    </w:rPr>
  </w:style>
  <w:style w:type="character" w:customStyle="1" w:styleId="66">
    <w:name w:val="标题 8 Char"/>
    <w:basedOn w:val="52"/>
    <w:link w:val="9"/>
    <w:qFormat/>
    <w:uiPriority w:val="0"/>
    <w:rPr>
      <w:rFonts w:ascii="Arial" w:hAnsi="Arial" w:eastAsia="黑体" w:cs="Times New Roman"/>
      <w:kern w:val="0"/>
      <w:lang w:val="en-US" w:eastAsia="zh-CN" w:bidi="ar-SA"/>
    </w:rPr>
  </w:style>
  <w:style w:type="character" w:customStyle="1" w:styleId="67">
    <w:name w:val="标题 9 Char"/>
    <w:basedOn w:val="52"/>
    <w:link w:val="10"/>
    <w:qFormat/>
    <w:uiPriority w:val="0"/>
    <w:rPr>
      <w:rFonts w:ascii="Arial" w:hAnsi="Arial" w:eastAsia="黑体" w:cs="Times New Roman"/>
      <w:kern w:val="0"/>
      <w:sz w:val="20"/>
      <w:szCs w:val="21"/>
      <w:lang w:val="en-US" w:eastAsia="zh-CN" w:bidi="ar-SA"/>
    </w:rPr>
  </w:style>
  <w:style w:type="character" w:customStyle="1" w:styleId="68">
    <w:name w:val="日期 Char"/>
    <w:link w:val="33"/>
    <w:qFormat/>
    <w:uiPriority w:val="0"/>
    <w:rPr>
      <w:rFonts w:ascii="Times New Roman" w:hAnsi="Times New Roman" w:eastAsia="宋体" w:cs="Times New Roman"/>
      <w:kern w:val="0"/>
      <w:sz w:val="20"/>
      <w:lang w:val="en-US" w:eastAsia="zh-CN" w:bidi="ar-SA"/>
    </w:rPr>
  </w:style>
  <w:style w:type="character" w:customStyle="1" w:styleId="69">
    <w:name w:val="批注框文本 Char"/>
    <w:link w:val="35"/>
    <w:semiHidden/>
    <w:qFormat/>
    <w:uiPriority w:val="0"/>
    <w:rPr>
      <w:rFonts w:ascii="Times New Roman" w:hAnsi="Times New Roman" w:eastAsia="宋体" w:cs="Times New Roman"/>
      <w:kern w:val="0"/>
      <w:sz w:val="18"/>
      <w:szCs w:val="18"/>
      <w:lang w:val="en-US" w:eastAsia="zh-CN" w:bidi="ar-SA"/>
    </w:rPr>
  </w:style>
  <w:style w:type="character" w:customStyle="1" w:styleId="70">
    <w:name w:val="正文文本 2 Char"/>
    <w:link w:val="46"/>
    <w:uiPriority w:val="0"/>
    <w:rPr>
      <w:rFonts w:ascii="Times New Roman" w:hAnsi="Times New Roman" w:eastAsia="宋体" w:cs="Times New Roman"/>
      <w:kern w:val="0"/>
      <w:sz w:val="20"/>
      <w:lang w:val="en-US" w:eastAsia="zh-CN" w:bidi="ar-SA"/>
    </w:rPr>
  </w:style>
  <w:style w:type="character" w:customStyle="1" w:styleId="71">
    <w:name w:val="文档结构图 Char"/>
    <w:link w:val="22"/>
    <w:qFormat/>
    <w:uiPriority w:val="0"/>
    <w:rPr>
      <w:rFonts w:ascii="Times New Roman" w:hAnsi="Times New Roman" w:eastAsia="宋体" w:cs="Times New Roman"/>
      <w:kern w:val="0"/>
      <w:sz w:val="20"/>
      <w:lang w:val="en-US" w:eastAsia="zh-CN" w:bidi="ar-SA"/>
    </w:rPr>
  </w:style>
  <w:style w:type="character" w:customStyle="1" w:styleId="72">
    <w:name w:val="font51"/>
    <w:qFormat/>
    <w:uiPriority w:val="0"/>
    <w:rPr>
      <w:rFonts w:hint="default" w:ascii="Times New Roman" w:hAnsi="Times New Roman" w:cs="Times New Roman" w:eastAsiaTheme="minorEastAsia"/>
      <w:b/>
      <w:color w:val="000000"/>
      <w:sz w:val="24"/>
      <w:szCs w:val="24"/>
      <w:u w:val="none"/>
      <w:lang w:val="en-US" w:eastAsia="zh-CN" w:bidi="ar-SA"/>
    </w:rPr>
  </w:style>
  <w:style w:type="character" w:customStyle="1" w:styleId="73">
    <w:name w:val="Char Char"/>
    <w:qFormat/>
    <w:uiPriority w:val="0"/>
    <w:rPr>
      <w:rFonts w:ascii="宋体" w:hAnsi="Courier New" w:eastAsia="宋体" w:cs="Courier New"/>
      <w:kern w:val="2"/>
      <w:sz w:val="21"/>
      <w:szCs w:val="21"/>
      <w:lang w:val="en-US" w:eastAsia="zh-CN" w:bidi="ar-SA"/>
    </w:rPr>
  </w:style>
  <w:style w:type="character" w:customStyle="1" w:styleId="74">
    <w:name w:val="纯文本 Char"/>
    <w:link w:val="31"/>
    <w:qFormat/>
    <w:uiPriority w:val="0"/>
    <w:rPr>
      <w:rFonts w:ascii="宋体" w:hAnsi="Courier New" w:eastAsia="宋体" w:cs="Times New Roman"/>
      <w:kern w:val="0"/>
      <w:sz w:val="20"/>
      <w:szCs w:val="21"/>
      <w:lang w:val="en-US" w:eastAsia="zh-CN" w:bidi="ar-SA"/>
    </w:rPr>
  </w:style>
  <w:style w:type="character" w:customStyle="1" w:styleId="75">
    <w:name w:val="注释文本字符"/>
    <w:semiHidden/>
    <w:qFormat/>
    <w:uiPriority w:val="0"/>
    <w:rPr>
      <w:rFonts w:ascii="Times New Roman" w:hAnsi="Times New Roman" w:eastAsia="宋体" w:cs="Times New Roman"/>
      <w:kern w:val="0"/>
      <w:sz w:val="20"/>
      <w:szCs w:val="24"/>
      <w:lang w:val="en-US" w:eastAsia="zh-CN" w:bidi="ar-SA"/>
    </w:rPr>
  </w:style>
  <w:style w:type="character" w:customStyle="1" w:styleId="76">
    <w:name w:val="Char Char3"/>
    <w:qFormat/>
    <w:uiPriority w:val="0"/>
    <w:rPr>
      <w:rFonts w:eastAsia="宋体" w:asciiTheme="minorHAnsi" w:hAnsiTheme="minorHAnsi" w:cstheme="minorBidi"/>
      <w:kern w:val="2"/>
      <w:sz w:val="18"/>
      <w:szCs w:val="18"/>
      <w:lang w:val="en-US" w:eastAsia="zh-CN" w:bidi="ar-SA"/>
    </w:rPr>
  </w:style>
  <w:style w:type="character" w:customStyle="1" w:styleId="77">
    <w:name w:val="font61"/>
    <w:qFormat/>
    <w:uiPriority w:val="0"/>
    <w:rPr>
      <w:rFonts w:hint="default" w:ascii="Times New Roman" w:hAnsi="Times New Roman" w:cs="Times New Roman" w:eastAsiaTheme="minorEastAsia"/>
      <w:color w:val="000000"/>
      <w:sz w:val="24"/>
      <w:szCs w:val="24"/>
      <w:u w:val="none"/>
      <w:lang w:val="en-US" w:eastAsia="zh-CN" w:bidi="ar-SA"/>
    </w:rPr>
  </w:style>
  <w:style w:type="character" w:customStyle="1" w:styleId="78">
    <w:name w:val="正文首行缩进 2 Char"/>
    <w:link w:val="37"/>
    <w:qFormat/>
    <w:uiPriority w:val="0"/>
    <w:rPr>
      <w:rFonts w:asciiTheme="minorHAnsi" w:hAnsiTheme="minorHAnsi" w:eastAsiaTheme="minorEastAsia" w:cstheme="minorBidi"/>
      <w:szCs w:val="24"/>
      <w:lang w:val="en-US" w:eastAsia="zh-CN" w:bidi="ar-SA"/>
    </w:rPr>
  </w:style>
  <w:style w:type="character" w:customStyle="1" w:styleId="79">
    <w:name w:val="正文文本缩进 Char"/>
    <w:link w:val="24"/>
    <w:qFormat/>
    <w:uiPriority w:val="0"/>
    <w:rPr>
      <w:rFonts w:ascii="宋体" w:hAnsi="宋体" w:eastAsia="宋体" w:cs="Times New Roman"/>
      <w:kern w:val="0"/>
      <w:sz w:val="28"/>
      <w:szCs w:val="28"/>
      <w:lang w:val="en-US" w:eastAsia="zh-CN" w:bidi="ar-SA"/>
    </w:rPr>
  </w:style>
  <w:style w:type="character" w:customStyle="1" w:styleId="80">
    <w:name w:val="font21"/>
    <w:qFormat/>
    <w:uiPriority w:val="0"/>
    <w:rPr>
      <w:rFonts w:hint="default" w:ascii="Times New Roman" w:hAnsi="Times New Roman" w:cs="Times New Roman" w:eastAsiaTheme="minorEastAsia"/>
      <w:color w:val="000000"/>
      <w:sz w:val="24"/>
      <w:szCs w:val="24"/>
      <w:u w:val="none"/>
      <w:vertAlign w:val="superscript"/>
      <w:lang w:val="en-US" w:eastAsia="zh-CN" w:bidi="ar-SA"/>
    </w:rPr>
  </w:style>
  <w:style w:type="character" w:customStyle="1" w:styleId="81">
    <w:name w:val="font71"/>
    <w:qFormat/>
    <w:uiPriority w:val="0"/>
    <w:rPr>
      <w:rFonts w:hint="eastAsia" w:ascii="宋体" w:hAnsi="宋体" w:eastAsia="宋体" w:cs="宋体"/>
      <w:color w:val="000000"/>
      <w:sz w:val="24"/>
      <w:szCs w:val="24"/>
      <w:u w:val="none"/>
      <w:lang w:val="en-US" w:eastAsia="zh-CN" w:bidi="ar-SA"/>
    </w:rPr>
  </w:style>
  <w:style w:type="character" w:customStyle="1" w:styleId="82">
    <w:name w:val="zbggmain style9"/>
    <w:basedOn w:val="52"/>
    <w:qFormat/>
    <w:uiPriority w:val="0"/>
    <w:rPr>
      <w:rFonts w:asciiTheme="minorHAnsi" w:hAnsiTheme="minorHAnsi" w:eastAsiaTheme="minorEastAsia" w:cstheme="minorBidi"/>
      <w:lang w:val="en-US" w:eastAsia="zh-CN" w:bidi="ar-SA"/>
    </w:rPr>
  </w:style>
  <w:style w:type="character" w:customStyle="1" w:styleId="83">
    <w:name w:val="正文文本 3 Char"/>
    <w:link w:val="23"/>
    <w:qFormat/>
    <w:uiPriority w:val="0"/>
    <w:rPr>
      <w:rFonts w:ascii="Times New Roman" w:hAnsi="Times New Roman" w:eastAsia="宋体" w:cs="Times New Roman"/>
      <w:kern w:val="0"/>
      <w:sz w:val="16"/>
      <w:szCs w:val="16"/>
      <w:lang w:val="en-US" w:eastAsia="zh-CN" w:bidi="ar-SA"/>
    </w:rPr>
  </w:style>
  <w:style w:type="character" w:customStyle="1" w:styleId="84">
    <w:name w:val="px1233"/>
    <w:basedOn w:val="52"/>
    <w:qFormat/>
    <w:uiPriority w:val="0"/>
    <w:rPr>
      <w:rFonts w:asciiTheme="minorHAnsi" w:hAnsiTheme="minorHAnsi" w:eastAsiaTheme="minorEastAsia" w:cstheme="minorBidi"/>
      <w:lang w:val="en-US" w:eastAsia="zh-CN" w:bidi="ar-SA"/>
    </w:rPr>
  </w:style>
  <w:style w:type="character" w:customStyle="1" w:styleId="85">
    <w:name w:val="font11"/>
    <w:qFormat/>
    <w:uiPriority w:val="0"/>
    <w:rPr>
      <w:rFonts w:hint="default" w:ascii="Times New Roman" w:hAnsi="Times New Roman" w:cs="Times New Roman" w:eastAsiaTheme="minorEastAsia"/>
      <w:color w:val="000000"/>
      <w:sz w:val="21"/>
      <w:szCs w:val="21"/>
      <w:u w:val="none"/>
      <w:lang w:val="en-US" w:eastAsia="zh-CN" w:bidi="ar-SA"/>
    </w:rPr>
  </w:style>
  <w:style w:type="character" w:customStyle="1" w:styleId="86">
    <w:name w:val="页眉 Char"/>
    <w:link w:val="38"/>
    <w:qFormat/>
    <w:uiPriority w:val="0"/>
    <w:rPr>
      <w:rFonts w:ascii="Times New Roman" w:hAnsi="Times New Roman" w:eastAsia="宋体" w:cs="Times New Roman"/>
      <w:kern w:val="0"/>
      <w:sz w:val="18"/>
      <w:szCs w:val="20"/>
      <w:lang w:val="en-US" w:eastAsia="zh-CN" w:bidi="ar-SA"/>
    </w:rPr>
  </w:style>
  <w:style w:type="character" w:customStyle="1" w:styleId="87">
    <w:name w:val="页脚 Char"/>
    <w:link w:val="36"/>
    <w:qFormat/>
    <w:uiPriority w:val="99"/>
    <w:rPr>
      <w:rFonts w:ascii="Times New Roman" w:hAnsi="Times New Roman" w:eastAsia="宋体" w:cs="Times New Roman"/>
      <w:kern w:val="0"/>
      <w:sz w:val="18"/>
      <w:szCs w:val="20"/>
      <w:lang w:val="en-US" w:eastAsia="zh-CN" w:bidi="ar-SA"/>
    </w:rPr>
  </w:style>
  <w:style w:type="character" w:customStyle="1" w:styleId="88">
    <w:name w:val="font41"/>
    <w:qFormat/>
    <w:uiPriority w:val="0"/>
    <w:rPr>
      <w:rFonts w:hint="eastAsia" w:ascii="宋体" w:hAnsi="宋体" w:eastAsia="宋体" w:cs="宋体"/>
      <w:b/>
      <w:color w:val="000000"/>
      <w:sz w:val="24"/>
      <w:szCs w:val="24"/>
      <w:u w:val="none"/>
      <w:lang w:val="en-US" w:eastAsia="zh-CN" w:bidi="ar-SA"/>
    </w:rPr>
  </w:style>
  <w:style w:type="character" w:customStyle="1" w:styleId="89">
    <w:name w:val="正文文本缩进 3 Char"/>
    <w:link w:val="43"/>
    <w:qFormat/>
    <w:uiPriority w:val="0"/>
    <w:rPr>
      <w:rFonts w:ascii="Times New Roman" w:hAnsi="Times New Roman" w:eastAsia="宋体" w:cs="Times New Roman"/>
      <w:kern w:val="0"/>
      <w:sz w:val="16"/>
      <w:szCs w:val="16"/>
      <w:lang w:val="en-US" w:eastAsia="zh-CN" w:bidi="ar-SA"/>
    </w:rPr>
  </w:style>
  <w:style w:type="character" w:customStyle="1" w:styleId="90">
    <w:name w:val="正文首行缩进 Char"/>
    <w:basedOn w:val="91"/>
    <w:link w:val="15"/>
    <w:qFormat/>
    <w:uiPriority w:val="0"/>
    <w:rPr>
      <w:rFonts w:ascii="Times New Roman" w:hAnsi="Times New Roman" w:eastAsia="宋体" w:cs="Times New Roman"/>
      <w:kern w:val="0"/>
      <w:sz w:val="20"/>
    </w:rPr>
  </w:style>
  <w:style w:type="character" w:customStyle="1" w:styleId="91">
    <w:name w:val="正文文本字符"/>
    <w:qFormat/>
    <w:uiPriority w:val="0"/>
    <w:rPr>
      <w:rFonts w:ascii="Times New Roman" w:hAnsi="Times New Roman" w:eastAsia="宋体" w:cs="Times New Roman"/>
      <w:kern w:val="0"/>
      <w:sz w:val="20"/>
      <w:szCs w:val="24"/>
      <w:lang w:val="en-US" w:eastAsia="zh-CN" w:bidi="ar-SA"/>
    </w:rPr>
  </w:style>
  <w:style w:type="character" w:customStyle="1" w:styleId="92">
    <w:name w:val="Char Char2"/>
    <w:qFormat/>
    <w:uiPriority w:val="0"/>
    <w:rPr>
      <w:rFonts w:eastAsia="宋体" w:asciiTheme="minorHAnsi" w:hAnsiTheme="minorHAnsi" w:cstheme="minorBidi"/>
      <w:kern w:val="2"/>
      <w:sz w:val="18"/>
      <w:szCs w:val="18"/>
      <w:lang w:val="en-US" w:eastAsia="zh-CN" w:bidi="ar-SA"/>
    </w:rPr>
  </w:style>
  <w:style w:type="character" w:customStyle="1" w:styleId="93">
    <w:name w:val="font01"/>
    <w:qFormat/>
    <w:uiPriority w:val="0"/>
    <w:rPr>
      <w:rFonts w:hint="eastAsia" w:ascii="宋体" w:hAnsi="宋体" w:eastAsia="宋体" w:cs="宋体"/>
      <w:color w:val="000000"/>
      <w:sz w:val="21"/>
      <w:szCs w:val="21"/>
      <w:u w:val="none"/>
      <w:lang w:val="en-US" w:eastAsia="zh-CN" w:bidi="ar-SA"/>
    </w:rPr>
  </w:style>
  <w:style w:type="character" w:customStyle="1" w:styleId="94">
    <w:name w:val="正文文本缩进 2 Char"/>
    <w:link w:val="34"/>
    <w:qFormat/>
    <w:uiPriority w:val="0"/>
    <w:rPr>
      <w:rFonts w:ascii="Times New Roman" w:hAnsi="Times New Roman" w:eastAsia="宋体" w:cs="Times New Roman"/>
      <w:kern w:val="0"/>
      <w:sz w:val="20"/>
      <w:lang w:val="en-US" w:eastAsia="zh-CN" w:bidi="ar-SA"/>
    </w:rPr>
  </w:style>
  <w:style w:type="character" w:customStyle="1" w:styleId="95">
    <w:name w:val="批注主题 Char"/>
    <w:link w:val="12"/>
    <w:semiHidden/>
    <w:qFormat/>
    <w:uiPriority w:val="0"/>
    <w:rPr>
      <w:rFonts w:ascii="Times New Roman" w:hAnsi="Times New Roman" w:eastAsia="宋体" w:cs="Times New Roman"/>
      <w:b/>
      <w:bCs/>
      <w:kern w:val="0"/>
      <w:sz w:val="20"/>
      <w:lang w:val="en-US" w:eastAsia="zh-CN" w:bidi="ar-SA"/>
    </w:rPr>
  </w:style>
  <w:style w:type="character" w:customStyle="1" w:styleId="96">
    <w:name w:val="标题 Char"/>
    <w:link w:val="51"/>
    <w:qFormat/>
    <w:uiPriority w:val="0"/>
    <w:rPr>
      <w:rFonts w:ascii="Cambria" w:hAnsi="Cambria" w:eastAsia="黑体" w:cs="Times New Roman"/>
      <w:b/>
      <w:bCs/>
      <w:kern w:val="0"/>
      <w:sz w:val="32"/>
      <w:szCs w:val="32"/>
      <w:lang w:val="en-US" w:eastAsia="zh-CN" w:bidi="ar-SA"/>
    </w:rPr>
  </w:style>
  <w:style w:type="paragraph" w:customStyle="1" w:styleId="97">
    <w:name w:val="样式1"/>
    <w:basedOn w:val="5"/>
    <w:qFormat/>
    <w:uiPriority w:val="0"/>
    <w:pPr>
      <w:tabs>
        <w:tab w:val="left" w:pos="864"/>
      </w:tabs>
      <w:spacing w:before="120" w:after="120" w:line="360" w:lineRule="auto"/>
      <w:ind w:left="864" w:hanging="864"/>
    </w:pPr>
    <w:rPr>
      <w:b w:val="0"/>
      <w:bCs w:val="0"/>
    </w:rPr>
  </w:style>
  <w:style w:type="paragraph" w:customStyle="1" w:styleId="98">
    <w:name w:val="Char Char Char1 Char Char Char Char"/>
    <w:basedOn w:val="1"/>
    <w:qFormat/>
    <w:uiPriority w:val="0"/>
    <w:rPr>
      <w:rFonts w:ascii="Times New Roman" w:hAnsi="Times New Roman" w:eastAsia="宋体" w:cs="Times New Roman"/>
      <w:sz w:val="21"/>
    </w:rPr>
  </w:style>
  <w:style w:type="paragraph" w:customStyle="1" w:styleId="99">
    <w:name w:val="Char Char Char Char Char Char"/>
    <w:basedOn w:val="1"/>
    <w:qFormat/>
    <w:uiPriority w:val="0"/>
    <w:rPr>
      <w:rFonts w:ascii="Times New Roman" w:hAnsi="Times New Roman" w:eastAsia="宋体" w:cs="Times New Roman"/>
      <w:sz w:val="21"/>
    </w:rPr>
  </w:style>
  <w:style w:type="character" w:customStyle="1" w:styleId="100">
    <w:name w:val="批注框文本字符1"/>
    <w:basedOn w:val="52"/>
    <w:semiHidden/>
    <w:qFormat/>
    <w:uiPriority w:val="99"/>
    <w:rPr>
      <w:rFonts w:ascii="Heiti SC Light" w:eastAsia="Heiti SC Light" w:hAnsiTheme="minorHAnsi" w:cstheme="minorBidi"/>
      <w:sz w:val="18"/>
      <w:szCs w:val="18"/>
      <w:lang w:val="en-US" w:eastAsia="zh-CN" w:bidi="ar-SA"/>
    </w:rPr>
  </w:style>
  <w:style w:type="character" w:customStyle="1" w:styleId="101">
    <w:name w:val="日期字符1"/>
    <w:basedOn w:val="52"/>
    <w:semiHidden/>
    <w:qFormat/>
    <w:uiPriority w:val="99"/>
    <w:rPr>
      <w:rFonts w:asciiTheme="minorHAnsi" w:hAnsiTheme="minorHAnsi" w:eastAsiaTheme="minorEastAsia" w:cstheme="minorBidi"/>
      <w:lang w:val="en-US" w:eastAsia="zh-CN" w:bidi="ar-SA"/>
    </w:rPr>
  </w:style>
  <w:style w:type="character" w:customStyle="1" w:styleId="102">
    <w:name w:val="纯文本字符1"/>
    <w:basedOn w:val="52"/>
    <w:semiHidden/>
    <w:qFormat/>
    <w:uiPriority w:val="99"/>
    <w:rPr>
      <w:rFonts w:ascii="宋体" w:hAnsi="Courier" w:eastAsia="宋体" w:cstheme="minorBidi"/>
      <w:lang w:val="en-US" w:eastAsia="zh-CN" w:bidi="ar-SA"/>
    </w:rPr>
  </w:style>
  <w:style w:type="character" w:customStyle="1" w:styleId="103">
    <w:name w:val="批注文字 Char"/>
    <w:basedOn w:val="52"/>
    <w:link w:val="13"/>
    <w:semiHidden/>
    <w:qFormat/>
    <w:uiPriority w:val="99"/>
    <w:rPr>
      <w:rFonts w:asciiTheme="minorHAnsi" w:hAnsiTheme="minorHAnsi" w:eastAsiaTheme="minorEastAsia" w:cstheme="minorBidi"/>
      <w:lang w:val="en-US" w:eastAsia="zh-CN" w:bidi="ar-SA"/>
    </w:rPr>
  </w:style>
  <w:style w:type="character" w:customStyle="1" w:styleId="104">
    <w:name w:val="批注主题字符1"/>
    <w:basedOn w:val="103"/>
    <w:semiHidden/>
    <w:qFormat/>
    <w:uiPriority w:val="99"/>
    <w:rPr>
      <w:b/>
      <w:bCs/>
    </w:rPr>
  </w:style>
  <w:style w:type="paragraph" w:customStyle="1" w:styleId="105">
    <w:name w:val="Char Char Char Char"/>
    <w:basedOn w:val="1"/>
    <w:qFormat/>
    <w:uiPriority w:val="0"/>
    <w:rPr>
      <w:rFonts w:ascii="Times New Roman" w:hAnsi="Times New Roman" w:eastAsia="宋体" w:cs="Times New Roman"/>
      <w:sz w:val="21"/>
    </w:rPr>
  </w:style>
  <w:style w:type="character" w:customStyle="1" w:styleId="106">
    <w:name w:val="正文文本 Char"/>
    <w:basedOn w:val="52"/>
    <w:link w:val="16"/>
    <w:semiHidden/>
    <w:qFormat/>
    <w:uiPriority w:val="99"/>
    <w:rPr>
      <w:rFonts w:asciiTheme="minorHAnsi" w:hAnsiTheme="minorHAnsi" w:eastAsiaTheme="minorEastAsia" w:cstheme="minorBidi"/>
      <w:lang w:val="en-US" w:eastAsia="zh-CN" w:bidi="ar-SA"/>
    </w:rPr>
  </w:style>
  <w:style w:type="character" w:customStyle="1" w:styleId="107">
    <w:name w:val="正文首行缩进字符1"/>
    <w:basedOn w:val="106"/>
    <w:semiHidden/>
    <w:qFormat/>
    <w:uiPriority w:val="99"/>
  </w:style>
  <w:style w:type="character" w:customStyle="1" w:styleId="108">
    <w:name w:val="正文文本缩进 3字符1"/>
    <w:basedOn w:val="52"/>
    <w:semiHidden/>
    <w:qFormat/>
    <w:uiPriority w:val="99"/>
    <w:rPr>
      <w:rFonts w:asciiTheme="minorHAnsi" w:hAnsiTheme="minorHAnsi" w:eastAsiaTheme="minorEastAsia" w:cstheme="minorBidi"/>
      <w:sz w:val="16"/>
      <w:szCs w:val="16"/>
      <w:lang w:val="en-US" w:eastAsia="zh-CN" w:bidi="ar-SA"/>
    </w:rPr>
  </w:style>
  <w:style w:type="paragraph" w:customStyle="1" w:styleId="109">
    <w:name w:val="p0"/>
    <w:basedOn w:val="1"/>
    <w:qFormat/>
    <w:uiPriority w:val="0"/>
    <w:pPr>
      <w:widowControl/>
    </w:pPr>
    <w:rPr>
      <w:rFonts w:ascii="Times New Roman" w:hAnsi="Times New Roman" w:eastAsia="宋体" w:cs="Times New Roman"/>
      <w:kern w:val="0"/>
      <w:sz w:val="21"/>
      <w:szCs w:val="21"/>
    </w:rPr>
  </w:style>
  <w:style w:type="character" w:customStyle="1" w:styleId="110">
    <w:name w:val="文档结构图 字符1"/>
    <w:basedOn w:val="52"/>
    <w:semiHidden/>
    <w:qFormat/>
    <w:uiPriority w:val="99"/>
    <w:rPr>
      <w:rFonts w:ascii="Heiti SC Light" w:eastAsia="Heiti SC Light" w:hAnsiTheme="minorHAnsi" w:cstheme="minorBidi"/>
      <w:lang w:val="en-US" w:eastAsia="zh-CN" w:bidi="ar-SA"/>
    </w:rPr>
  </w:style>
  <w:style w:type="character" w:customStyle="1" w:styleId="111">
    <w:name w:val="正文文本 3字符1"/>
    <w:basedOn w:val="52"/>
    <w:semiHidden/>
    <w:qFormat/>
    <w:uiPriority w:val="99"/>
    <w:rPr>
      <w:rFonts w:asciiTheme="minorHAnsi" w:hAnsiTheme="minorHAnsi" w:eastAsiaTheme="minorEastAsia" w:cstheme="minorBidi"/>
      <w:sz w:val="16"/>
      <w:szCs w:val="16"/>
      <w:lang w:val="en-US" w:eastAsia="zh-CN" w:bidi="ar-SA"/>
    </w:rPr>
  </w:style>
  <w:style w:type="character" w:customStyle="1" w:styleId="112">
    <w:name w:val="正文文本缩进字符1"/>
    <w:basedOn w:val="52"/>
    <w:semiHidden/>
    <w:qFormat/>
    <w:uiPriority w:val="99"/>
    <w:rPr>
      <w:rFonts w:asciiTheme="minorHAnsi" w:hAnsiTheme="minorHAnsi" w:eastAsiaTheme="minorEastAsia" w:cstheme="minorBidi"/>
      <w:lang w:val="en-US" w:eastAsia="zh-CN" w:bidi="ar-SA"/>
    </w:rPr>
  </w:style>
  <w:style w:type="character" w:customStyle="1" w:styleId="113">
    <w:name w:val="正文文本缩进 2字符1"/>
    <w:basedOn w:val="52"/>
    <w:semiHidden/>
    <w:qFormat/>
    <w:uiPriority w:val="99"/>
    <w:rPr>
      <w:rFonts w:asciiTheme="minorHAnsi" w:hAnsiTheme="minorHAnsi" w:eastAsiaTheme="minorEastAsia" w:cstheme="minorBidi"/>
      <w:lang w:val="en-US" w:eastAsia="zh-CN" w:bidi="ar-SA"/>
    </w:rPr>
  </w:style>
  <w:style w:type="paragraph" w:customStyle="1" w:styleId="114">
    <w:name w:val="Legal 3"/>
    <w:basedOn w:val="115"/>
    <w:next w:val="115"/>
    <w:qFormat/>
    <w:uiPriority w:val="0"/>
    <w:pPr>
      <w:spacing w:after="120"/>
    </w:pPr>
    <w:rPr>
      <w:rFonts w:cs="Times New Roman"/>
      <w:color w:val="auto"/>
    </w:rPr>
  </w:style>
  <w:style w:type="paragraph" w:customStyle="1" w:styleId="1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6">
    <w:name w:val="页脚字符1"/>
    <w:basedOn w:val="52"/>
    <w:semiHidden/>
    <w:qFormat/>
    <w:uiPriority w:val="99"/>
    <w:rPr>
      <w:rFonts w:asciiTheme="minorHAnsi" w:hAnsiTheme="minorHAnsi" w:eastAsiaTheme="minorEastAsia" w:cstheme="minorBidi"/>
      <w:sz w:val="18"/>
      <w:szCs w:val="18"/>
      <w:lang w:val="en-US" w:eastAsia="zh-CN" w:bidi="ar-SA"/>
    </w:rPr>
  </w:style>
  <w:style w:type="character" w:customStyle="1" w:styleId="117">
    <w:name w:val="正文首行缩进 2字符1"/>
    <w:basedOn w:val="112"/>
    <w:semiHidden/>
    <w:qFormat/>
    <w:uiPriority w:val="99"/>
  </w:style>
  <w:style w:type="character" w:customStyle="1" w:styleId="118">
    <w:name w:val="页眉字符1"/>
    <w:basedOn w:val="52"/>
    <w:semiHidden/>
    <w:qFormat/>
    <w:uiPriority w:val="99"/>
    <w:rPr>
      <w:rFonts w:asciiTheme="minorHAnsi" w:hAnsiTheme="minorHAnsi" w:eastAsiaTheme="minorEastAsia" w:cstheme="minorBidi"/>
      <w:sz w:val="18"/>
      <w:szCs w:val="18"/>
      <w:lang w:val="en-US" w:eastAsia="zh-CN" w:bidi="ar-SA"/>
    </w:rPr>
  </w:style>
  <w:style w:type="character" w:customStyle="1" w:styleId="119">
    <w:name w:val="正文文本 2字符1"/>
    <w:basedOn w:val="52"/>
    <w:semiHidden/>
    <w:qFormat/>
    <w:uiPriority w:val="99"/>
    <w:rPr>
      <w:rFonts w:asciiTheme="minorHAnsi" w:hAnsiTheme="minorHAnsi" w:eastAsiaTheme="minorEastAsia" w:cstheme="minorBidi"/>
      <w:lang w:val="en-US" w:eastAsia="zh-CN" w:bidi="ar-SA"/>
    </w:rPr>
  </w:style>
  <w:style w:type="character" w:customStyle="1" w:styleId="120">
    <w:name w:val="标题字符1"/>
    <w:basedOn w:val="52"/>
    <w:qFormat/>
    <w:uiPriority w:val="10"/>
    <w:rPr>
      <w:rFonts w:eastAsia="宋体" w:asciiTheme="majorHAnsi" w:hAnsiTheme="majorHAnsi" w:cstheme="majorBidi"/>
      <w:b/>
      <w:bCs/>
      <w:sz w:val="32"/>
      <w:szCs w:val="32"/>
      <w:lang w:val="en-US" w:eastAsia="zh-CN" w:bidi="ar-SA"/>
    </w:rPr>
  </w:style>
  <w:style w:type="paragraph" w:customStyle="1" w:styleId="121">
    <w:name w:val="列出段落1"/>
    <w:basedOn w:val="1"/>
    <w:unhideWhenUsed/>
    <w:qFormat/>
    <w:uiPriority w:val="99"/>
    <w:pPr>
      <w:ind w:firstLine="420" w:firstLineChars="200"/>
    </w:pPr>
    <w:rPr>
      <w:rFonts w:ascii="Calibri" w:hAnsi="Calibri" w:eastAsia="宋体" w:cs="Times New Roman"/>
      <w:sz w:val="21"/>
      <w:szCs w:val="22"/>
    </w:rPr>
  </w:style>
  <w:style w:type="paragraph" w:customStyle="1" w:styleId="122">
    <w:name w:val="图表标题"/>
    <w:basedOn w:val="1"/>
    <w:next w:val="16"/>
    <w:qFormat/>
    <w:uiPriority w:val="0"/>
    <w:rPr>
      <w:rFonts w:ascii="Times New Roman" w:hAnsi="Times New Roman" w:eastAsia="宋体" w:cs="Times New Roman"/>
      <w:sz w:val="30"/>
      <w:szCs w:val="20"/>
    </w:rPr>
  </w:style>
  <w:style w:type="paragraph" w:customStyle="1" w:styleId="123">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 w:val="21"/>
      <w:szCs w:val="20"/>
    </w:rPr>
  </w:style>
  <w:style w:type="paragraph" w:customStyle="1" w:styleId="124">
    <w:name w:val="Char"/>
    <w:basedOn w:val="1"/>
    <w:qFormat/>
    <w:uiPriority w:val="0"/>
    <w:rPr>
      <w:rFonts w:ascii="仿宋_GB2312" w:hAnsi="Times New Roman" w:eastAsia="仿宋_GB2312" w:cs="Times New Roman"/>
      <w:b/>
      <w:sz w:val="32"/>
      <w:szCs w:val="32"/>
    </w:rPr>
  </w:style>
  <w:style w:type="paragraph" w:customStyle="1" w:styleId="125">
    <w:name w:val="Char4 Char Char Char"/>
    <w:basedOn w:val="22"/>
    <w:qFormat/>
    <w:uiPriority w:val="0"/>
    <w:rPr>
      <w:rFonts w:ascii="Tahoma" w:hAnsi="Tahoma"/>
      <w:sz w:val="24"/>
    </w:rPr>
  </w:style>
  <w:style w:type="paragraph" w:customStyle="1" w:styleId="126">
    <w:name w:val="表内文字"/>
    <w:basedOn w:val="1"/>
    <w:qFormat/>
    <w:uiPriority w:val="0"/>
    <w:pPr>
      <w:widowControl/>
      <w:ind w:firstLine="120" w:firstLineChars="50"/>
    </w:pPr>
    <w:rPr>
      <w:rFonts w:ascii="宋体" w:hAnsi="宋体" w:eastAsia="宋体" w:cs="Times New Roman"/>
      <w:szCs w:val="20"/>
    </w:rPr>
  </w:style>
  <w:style w:type="paragraph" w:customStyle="1" w:styleId="127">
    <w:name w:val="Char Char Char"/>
    <w:basedOn w:val="1"/>
    <w:qFormat/>
    <w:uiPriority w:val="0"/>
    <w:pPr>
      <w:ind w:firstLine="360" w:firstLineChars="150"/>
    </w:pPr>
    <w:rPr>
      <w:rFonts w:ascii="Tahoma" w:hAnsi="Tahoma" w:eastAsia="宋体" w:cs="Times New Roman"/>
      <w:szCs w:val="20"/>
    </w:rPr>
  </w:style>
  <w:style w:type="paragraph" w:customStyle="1" w:styleId="128">
    <w:name w:val="样式 样式1 + 首行缩进:  2 字符"/>
    <w:basedOn w:val="1"/>
    <w:qFormat/>
    <w:uiPriority w:val="0"/>
    <w:pPr>
      <w:spacing w:line="360" w:lineRule="exact"/>
      <w:ind w:firstLine="420" w:firstLineChars="200"/>
    </w:pPr>
    <w:rPr>
      <w:rFonts w:ascii="Arial" w:hAnsi="Arial" w:eastAsia="宋体" w:cs="Times New Roman"/>
      <w:sz w:val="21"/>
      <w:szCs w:val="20"/>
    </w:rPr>
  </w:style>
  <w:style w:type="paragraph" w:customStyle="1" w:styleId="129">
    <w:name w:val="legal 2"/>
    <w:basedOn w:val="115"/>
    <w:next w:val="115"/>
    <w:qFormat/>
    <w:uiPriority w:val="0"/>
    <w:pPr>
      <w:spacing w:after="120"/>
    </w:pPr>
    <w:rPr>
      <w:rFonts w:cs="Times New Roman"/>
      <w:color w:val="auto"/>
    </w:rPr>
  </w:style>
  <w:style w:type="paragraph" w:customStyle="1" w:styleId="130">
    <w:name w:val="列表延续"/>
    <w:basedOn w:val="1"/>
    <w:qFormat/>
    <w:uiPriority w:val="0"/>
    <w:pPr>
      <w:numPr>
        <w:ilvl w:val="8"/>
        <w:numId w:val="4"/>
      </w:numPr>
      <w:adjustRightInd w:val="0"/>
      <w:spacing w:line="360" w:lineRule="auto"/>
      <w:textAlignment w:val="baseline"/>
    </w:pPr>
    <w:rPr>
      <w:rFonts w:ascii="Times New Roman" w:hAnsi="Tms Rmn" w:eastAsia="楷体_GB2312" w:cs="Times New Roman"/>
      <w:kern w:val="28"/>
      <w:sz w:val="28"/>
      <w:szCs w:val="20"/>
    </w:rPr>
  </w:style>
  <w:style w:type="paragraph" w:customStyle="1" w:styleId="131">
    <w:name w:val="Legal 5"/>
    <w:basedOn w:val="115"/>
    <w:next w:val="115"/>
    <w:qFormat/>
    <w:uiPriority w:val="0"/>
    <w:pPr>
      <w:spacing w:after="120"/>
    </w:pPr>
    <w:rPr>
      <w:rFonts w:cs="Times New Roman"/>
      <w:color w:val="auto"/>
    </w:rPr>
  </w:style>
  <w:style w:type="paragraph" w:customStyle="1" w:styleId="13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Legal 4"/>
    <w:basedOn w:val="115"/>
    <w:next w:val="115"/>
    <w:qFormat/>
    <w:uiPriority w:val="0"/>
    <w:pPr>
      <w:spacing w:after="120"/>
    </w:pPr>
    <w:rPr>
      <w:rFonts w:cs="Times New Roman"/>
      <w:color w:val="auto"/>
    </w:rPr>
  </w:style>
  <w:style w:type="paragraph" w:customStyle="1" w:styleId="134">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正文文字3"/>
    <w:basedOn w:val="16"/>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36">
    <w:name w:val="1"/>
    <w:basedOn w:val="1"/>
    <w:qFormat/>
    <w:uiPriority w:val="0"/>
    <w:rPr>
      <w:rFonts w:ascii="仿宋_GB2312" w:hAnsi="Times New Roman" w:eastAsia="仿宋_GB2312" w:cs="Times New Roman"/>
      <w:b/>
      <w:sz w:val="32"/>
      <w:szCs w:val="32"/>
    </w:rPr>
  </w:style>
  <w:style w:type="paragraph" w:customStyle="1" w:styleId="13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8">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139">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zcmec</Company>
  <Pages>48</Pages>
  <Words>4481</Words>
  <Characters>25543</Characters>
  <Lines>212</Lines>
  <Paragraphs>59</Paragraphs>
  <ScaleCrop>false</ScaleCrop>
  <LinksUpToDate>false</LinksUpToDate>
  <CharactersWithSpaces>29965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2016-05-04T05:11:00Z</dcterms:created>
  <dc:creator>y z</dc:creator>
  <cp:lastModifiedBy>贾思勰</cp:lastModifiedBy>
  <cp:lastPrinted>2019-03-19T05:35:00Z</cp:lastPrinted>
  <dcterms:modified xsi:type="dcterms:W3CDTF">2019-05-10T04:38:37Z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