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hint="eastAsia"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r>
        <w:rPr>
          <w:rFonts w:hint="eastAsia" w:ascii="黑体" w:hAnsi="黑体" w:eastAsia="黑体"/>
          <w:b/>
          <w:sz w:val="44"/>
          <w:szCs w:val="44"/>
        </w:rPr>
        <w:t>杭州萧山国际机场</w:t>
      </w:r>
    </w:p>
    <w:p>
      <w:pPr>
        <w:widowControl/>
        <w:autoSpaceDE w:val="0"/>
        <w:autoSpaceDN w:val="0"/>
        <w:jc w:val="center"/>
        <w:textAlignment w:val="bottom"/>
        <w:rPr>
          <w:rFonts w:eastAsia="黑体" w:cs="Calibri"/>
          <w:b/>
          <w:sz w:val="44"/>
          <w:szCs w:val="44"/>
        </w:rPr>
      </w:pPr>
      <w:r>
        <w:rPr>
          <w:rFonts w:hint="eastAsia" w:eastAsia="黑体" w:cs="Calibri"/>
          <w:b/>
          <w:sz w:val="44"/>
          <w:szCs w:val="44"/>
          <w:u w:val="single"/>
        </w:rPr>
        <w:t>主力泡沫消防车</w:t>
      </w:r>
      <w:r>
        <w:rPr>
          <w:rFonts w:hint="eastAsia" w:eastAsia="黑体" w:cs="Calibri"/>
          <w:b/>
          <w:sz w:val="44"/>
          <w:szCs w:val="44"/>
        </w:rPr>
        <w:t>采购项目</w:t>
      </w:r>
    </w:p>
    <w:p>
      <w:pPr>
        <w:widowControl/>
        <w:autoSpaceDE w:val="0"/>
        <w:autoSpaceDN w:val="0"/>
        <w:jc w:val="center"/>
        <w:textAlignment w:val="bottom"/>
        <w:rPr>
          <w:rFonts w:eastAsia="黑体" w:cs="Calibri"/>
          <w:b/>
          <w:sz w:val="44"/>
          <w:szCs w:val="44"/>
        </w:rPr>
      </w:pPr>
      <w:r>
        <w:rPr>
          <w:rFonts w:hint="eastAsia" w:eastAsia="黑体" w:cs="Calibri"/>
          <w:b/>
          <w:sz w:val="44"/>
          <w:szCs w:val="44"/>
        </w:rPr>
        <w:t>（</w:t>
      </w:r>
      <w:r>
        <w:rPr>
          <w:rFonts w:hint="eastAsia" w:eastAsia="黑体" w:cs="Calibri"/>
          <w:b/>
          <w:sz w:val="44"/>
          <w:szCs w:val="44"/>
          <w:lang w:eastAsia="zh-CN"/>
        </w:rPr>
        <w:t>第三次</w:t>
      </w:r>
      <w:r>
        <w:rPr>
          <w:rFonts w:hint="eastAsia" w:eastAsia="黑体" w:cs="Calibri"/>
          <w:b/>
          <w:sz w:val="44"/>
          <w:szCs w:val="44"/>
        </w:rPr>
        <w:t>招标）</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ascii="黑体" w:hAnsi="黑体" w:eastAsia="黑体"/>
          <w:b/>
          <w:sz w:val="84"/>
          <w:szCs w:val="84"/>
        </w:rPr>
        <w:t>招 标 文 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31"/>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年</w:t>
      </w:r>
      <w:r>
        <w:rPr>
          <w:rFonts w:hint="eastAsia" w:ascii="Calibri" w:hAnsi="Calibri" w:eastAsia="黑体" w:cs="Calibri"/>
          <w:sz w:val="32"/>
          <w:szCs w:val="32"/>
          <w:u w:val="single"/>
        </w:rPr>
        <w:t xml:space="preserve"> </w:t>
      </w:r>
      <w:r>
        <w:rPr>
          <w:rFonts w:hint="eastAsia" w:ascii="Calibri" w:hAnsi="Calibri" w:eastAsia="黑体" w:cs="Calibri"/>
          <w:sz w:val="32"/>
          <w:szCs w:val="32"/>
          <w:u w:val="single"/>
          <w:lang w:eastAsia="zh-CN"/>
        </w:rPr>
        <w:t>五</w:t>
      </w:r>
      <w:bookmarkStart w:id="103" w:name="_GoBack"/>
      <w:bookmarkEnd w:id="103"/>
      <w:r>
        <w:rPr>
          <w:rFonts w:hint="eastAsia" w:ascii="Calibri" w:hAnsi="Calibri" w:eastAsia="黑体" w:cs="Calibri"/>
          <w:sz w:val="32"/>
          <w:szCs w:val="32"/>
          <w:u w:val="single"/>
        </w:rPr>
        <w:t xml:space="preserve"> </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b/>
          <w:bCs/>
          <w:sz w:val="44"/>
          <w:szCs w:val="44"/>
        </w:rPr>
        <w:br w:type="page"/>
      </w: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39"/>
        <w:tabs>
          <w:tab w:val="right" w:leader="dot" w:pos="8290"/>
        </w:tabs>
        <w:spacing w:line="480" w:lineRule="auto"/>
        <w:rPr>
          <w:rFonts w:ascii="黑体" w:hAnsi="黑体" w:eastAsia="黑体"/>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rPr>
          <w:rFonts w:hint="eastAsia" w:ascii="黑体" w:hAnsi="黑体" w:eastAsia="黑体"/>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_Toc321925451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sz w:val="22"/>
          <w:szCs w:val="22"/>
        </w:rPr>
      </w:pPr>
      <w:r>
        <w:rPr>
          <w:rFonts w:hint="eastAsia" w:ascii="黑体" w:hAnsi="黑体" w:eastAsia="黑体"/>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_Toc321925452 \h </w:instrText>
      </w:r>
      <w:r>
        <w:rPr>
          <w:rFonts w:hint="eastAsia" w:ascii="黑体" w:hAnsi="黑体" w:eastAsia="黑体"/>
          <w:sz w:val="22"/>
          <w:szCs w:val="22"/>
        </w:rPr>
        <w:fldChar w:fldCharType="separate"/>
      </w:r>
      <w:r>
        <w:rPr>
          <w:rFonts w:ascii="黑体" w:hAnsi="黑体" w:eastAsia="黑体"/>
          <w:sz w:val="22"/>
          <w:szCs w:val="22"/>
        </w:rPr>
        <w:t>- 5 -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sz w:val="22"/>
          <w:szCs w:val="22"/>
        </w:rPr>
      </w:pPr>
      <w:r>
        <w:rPr>
          <w:rFonts w:hint="eastAsia" w:ascii="黑体" w:hAnsi="黑体" w:eastAsia="黑体"/>
          <w:sz w:val="22"/>
          <w:szCs w:val="22"/>
        </w:rPr>
        <w:t>第三章  货物需求一览表及技术规格</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_Toc321925453 \h </w:instrText>
      </w:r>
      <w:r>
        <w:rPr>
          <w:rFonts w:hint="eastAsia" w:ascii="黑体" w:hAnsi="黑体" w:eastAsia="黑体"/>
          <w:sz w:val="22"/>
          <w:szCs w:val="22"/>
        </w:rPr>
        <w:fldChar w:fldCharType="separate"/>
      </w:r>
      <w:r>
        <w:rPr>
          <w:rFonts w:ascii="黑体" w:hAnsi="黑体" w:eastAsia="黑体"/>
          <w:sz w:val="22"/>
          <w:szCs w:val="22"/>
        </w:rPr>
        <w:t>- 14 -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sz w:val="22"/>
          <w:szCs w:val="22"/>
        </w:rPr>
      </w:pPr>
      <w:r>
        <w:rPr>
          <w:rFonts w:hint="eastAsia" w:ascii="黑体" w:hAnsi="黑体" w:eastAsia="黑体"/>
          <w:sz w:val="22"/>
          <w:szCs w:val="22"/>
        </w:rPr>
        <w:t xml:space="preserve">第四章  </w:t>
      </w:r>
      <w:r>
        <w:rPr>
          <w:rFonts w:ascii="黑体" w:hAnsi="黑体" w:eastAsia="黑体"/>
          <w:sz w:val="22"/>
          <w:szCs w:val="22"/>
        </w:rPr>
        <w:t>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_Toc321925454 \h </w:instrText>
      </w:r>
      <w:r>
        <w:rPr>
          <w:rFonts w:hint="eastAsia" w:ascii="黑体" w:hAnsi="黑体" w:eastAsia="黑体"/>
          <w:sz w:val="22"/>
          <w:szCs w:val="22"/>
        </w:rPr>
        <w:fldChar w:fldCharType="separate"/>
      </w:r>
      <w:r>
        <w:rPr>
          <w:rFonts w:ascii="黑体" w:hAnsi="黑体" w:eastAsia="黑体"/>
          <w:sz w:val="22"/>
          <w:szCs w:val="22"/>
        </w:rPr>
        <w:t>- 29 -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sz w:val="22"/>
          <w:szCs w:val="22"/>
        </w:rPr>
      </w:pPr>
      <w:r>
        <w:rPr>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_Toc321925456 \h </w:instrText>
      </w:r>
      <w:r>
        <w:rPr>
          <w:rFonts w:hint="eastAsia" w:ascii="黑体" w:hAnsi="黑体" w:eastAsia="黑体"/>
          <w:sz w:val="22"/>
          <w:szCs w:val="22"/>
        </w:rPr>
        <w:fldChar w:fldCharType="separate"/>
      </w:r>
      <w:r>
        <w:rPr>
          <w:rFonts w:ascii="黑体" w:hAnsi="黑体" w:eastAsia="黑体"/>
          <w:sz w:val="22"/>
          <w:szCs w:val="22"/>
        </w:rPr>
        <w:t>- 40 -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sz w:val="22"/>
          <w:szCs w:val="22"/>
        </w:rPr>
      </w:pPr>
      <w:r>
        <w:rPr>
          <w:rFonts w:hint="eastAsia" w:ascii="黑体" w:hAnsi="黑体" w:eastAsia="黑体"/>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_Toc321925457 \h </w:instrText>
      </w:r>
      <w:r>
        <w:rPr>
          <w:rFonts w:hint="eastAsia" w:ascii="黑体" w:hAnsi="黑体" w:eastAsia="黑体"/>
          <w:sz w:val="22"/>
          <w:szCs w:val="22"/>
        </w:rPr>
        <w:fldChar w:fldCharType="separate"/>
      </w:r>
      <w:r>
        <w:rPr>
          <w:rFonts w:ascii="黑体" w:hAnsi="黑体" w:eastAsia="黑体"/>
          <w:sz w:val="22"/>
          <w:szCs w:val="22"/>
        </w:rPr>
        <w:t>- 44 -</w:t>
      </w:r>
      <w:r>
        <w:rPr>
          <w:rFonts w:hint="eastAsia"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51"/>
      </w:pPr>
      <w:bookmarkStart w:id="0" w:name="_Toc321925451"/>
      <w:r>
        <w:rPr>
          <w:rFonts w:hint="eastAsia"/>
        </w:rPr>
        <w:t>第一章 招标公告</w:t>
      </w:r>
      <w:bookmarkEnd w:id="0"/>
    </w:p>
    <w:p>
      <w:pPr>
        <w:widowControl/>
        <w:snapToGrid w:val="0"/>
        <w:spacing w:line="360" w:lineRule="exact"/>
        <w:jc w:val="left"/>
        <w:rPr>
          <w:rFonts w:ascii="宋体" w:hAnsi="宋体" w:cs="Arial"/>
          <w:b/>
          <w:bCs/>
          <w:kern w:val="0"/>
          <w:sz w:val="22"/>
        </w:rPr>
      </w:pPr>
    </w:p>
    <w:p>
      <w:pPr>
        <w:widowControl/>
        <w:snapToGrid w:val="0"/>
        <w:spacing w:line="360" w:lineRule="exact"/>
        <w:jc w:val="left"/>
        <w:rPr>
          <w:rFonts w:ascii="宋体" w:hAnsi="宋体" w:cs="Arial"/>
          <w:kern w:val="0"/>
          <w:sz w:val="22"/>
        </w:rPr>
      </w:pPr>
      <w:r>
        <w:rPr>
          <w:rFonts w:hint="eastAsia" w:ascii="宋体" w:hAnsi="宋体" w:cs="Arial"/>
          <w:b/>
          <w:bCs/>
          <w:kern w:val="0"/>
          <w:sz w:val="22"/>
        </w:rPr>
        <w:t>一、招标内容</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杭州萧山国际机场有限公司就杭州萧山国际机场主力泡沫消防车采购项目进行公开招标，本招标文件中“主力泡沫消防车”是指：专门为机场航空器消防救援设计和生产的、符合《民用航空运输机场消防站消防装备配备》（MH/T7002-2006）4.1.2条性能要求的消防车辆。欢迎符合资格要求的供应商参与投标。</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 xml:space="preserve">招标货物名称、数量及主要技术规格 </w:t>
      </w:r>
    </w:p>
    <w:tbl>
      <w:tblPr>
        <w:tblStyle w:val="58"/>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8"/>
        <w:gridCol w:w="851"/>
        <w:gridCol w:w="2835"/>
        <w:gridCol w:w="2752"/>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68" w:type="dxa"/>
            <w:vAlign w:val="center"/>
          </w:tcPr>
          <w:p>
            <w:pPr>
              <w:adjustRightInd w:val="0"/>
              <w:snapToGrid w:val="0"/>
              <w:jc w:val="center"/>
              <w:rPr>
                <w:rFonts w:ascii="宋体" w:hAnsi="宋体"/>
                <w:caps/>
                <w:sz w:val="22"/>
              </w:rPr>
            </w:pPr>
            <w:r>
              <w:rPr>
                <w:rFonts w:ascii="宋体" w:hAnsi="宋体"/>
                <w:caps/>
                <w:sz w:val="22"/>
              </w:rPr>
              <w:t>货物名称</w:t>
            </w:r>
          </w:p>
        </w:tc>
        <w:tc>
          <w:tcPr>
            <w:tcW w:w="851" w:type="dxa"/>
            <w:vAlign w:val="center"/>
          </w:tcPr>
          <w:p>
            <w:pPr>
              <w:adjustRightInd w:val="0"/>
              <w:snapToGrid w:val="0"/>
              <w:jc w:val="center"/>
              <w:rPr>
                <w:rFonts w:ascii="宋体" w:hAnsi="宋体"/>
                <w:caps/>
                <w:sz w:val="22"/>
              </w:rPr>
            </w:pPr>
            <w:r>
              <w:rPr>
                <w:rFonts w:ascii="宋体" w:hAnsi="宋体"/>
                <w:caps/>
                <w:sz w:val="22"/>
              </w:rPr>
              <w:t>数量</w:t>
            </w:r>
          </w:p>
        </w:tc>
        <w:tc>
          <w:tcPr>
            <w:tcW w:w="2835" w:type="dxa"/>
            <w:vAlign w:val="center"/>
          </w:tcPr>
          <w:p>
            <w:pPr>
              <w:adjustRightInd w:val="0"/>
              <w:snapToGrid w:val="0"/>
              <w:jc w:val="center"/>
              <w:rPr>
                <w:rFonts w:ascii="宋体" w:hAnsi="宋体"/>
                <w:caps/>
                <w:sz w:val="22"/>
              </w:rPr>
            </w:pPr>
            <w:r>
              <w:rPr>
                <w:rFonts w:ascii="宋体" w:hAnsi="宋体"/>
                <w:caps/>
                <w:sz w:val="22"/>
              </w:rPr>
              <w:t>主要技术规格</w:t>
            </w:r>
          </w:p>
        </w:tc>
        <w:tc>
          <w:tcPr>
            <w:tcW w:w="2752" w:type="dxa"/>
            <w:vAlign w:val="center"/>
          </w:tcPr>
          <w:p>
            <w:pPr>
              <w:adjustRightInd w:val="0"/>
              <w:snapToGrid w:val="0"/>
              <w:jc w:val="center"/>
              <w:rPr>
                <w:rFonts w:ascii="宋体" w:hAnsi="宋体"/>
                <w:caps/>
                <w:sz w:val="22"/>
              </w:rPr>
            </w:pPr>
            <w:r>
              <w:rPr>
                <w:rFonts w:ascii="宋体" w:hAnsi="宋体"/>
                <w:caps/>
                <w:sz w:val="22"/>
              </w:rPr>
              <w:t>交货期</w:t>
            </w:r>
          </w:p>
        </w:tc>
        <w:tc>
          <w:tcPr>
            <w:tcW w:w="1340" w:type="dxa"/>
            <w:vAlign w:val="center"/>
          </w:tcPr>
          <w:p>
            <w:pPr>
              <w:adjustRightInd w:val="0"/>
              <w:snapToGrid w:val="0"/>
              <w:jc w:val="center"/>
              <w:rPr>
                <w:rFonts w:ascii="宋体" w:hAnsi="宋体"/>
                <w:caps/>
                <w:sz w:val="22"/>
              </w:rPr>
            </w:pPr>
            <w:r>
              <w:rPr>
                <w:rFonts w:ascii="宋体" w:hAnsi="宋体"/>
                <w:caps/>
                <w:sz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768" w:type="dxa"/>
            <w:vAlign w:val="center"/>
          </w:tcPr>
          <w:p>
            <w:pPr>
              <w:rPr>
                <w:rFonts w:ascii="宋体" w:hAnsi="宋体"/>
                <w:sz w:val="22"/>
              </w:rPr>
            </w:pPr>
            <w:r>
              <w:rPr>
                <w:rFonts w:ascii="宋体" w:hAnsi="宋体"/>
                <w:sz w:val="22"/>
              </w:rPr>
              <w:t>主力泡沫消防车</w:t>
            </w:r>
          </w:p>
        </w:tc>
        <w:tc>
          <w:tcPr>
            <w:tcW w:w="851" w:type="dxa"/>
            <w:vAlign w:val="center"/>
          </w:tcPr>
          <w:p>
            <w:pPr>
              <w:snapToGrid w:val="0"/>
              <w:jc w:val="center"/>
              <w:rPr>
                <w:rFonts w:ascii="宋体" w:hAnsi="宋体"/>
                <w:sz w:val="22"/>
              </w:rPr>
            </w:pPr>
            <w:r>
              <w:rPr>
                <w:rFonts w:hint="eastAsia" w:ascii="宋体" w:hAnsi="宋体"/>
                <w:sz w:val="22"/>
              </w:rPr>
              <w:t>1</w:t>
            </w:r>
            <w:r>
              <w:rPr>
                <w:rFonts w:ascii="宋体" w:hAnsi="宋体"/>
                <w:sz w:val="22"/>
              </w:rPr>
              <w:t>辆</w:t>
            </w:r>
          </w:p>
        </w:tc>
        <w:tc>
          <w:tcPr>
            <w:tcW w:w="2835" w:type="dxa"/>
            <w:vAlign w:val="center"/>
          </w:tcPr>
          <w:p>
            <w:pPr>
              <w:pStyle w:val="13"/>
              <w:snapToGrid w:val="0"/>
              <w:jc w:val="center"/>
              <w:rPr>
                <w:rFonts w:ascii="宋体" w:hAnsi="宋体"/>
                <w:sz w:val="22"/>
                <w:szCs w:val="22"/>
              </w:rPr>
            </w:pPr>
            <w:r>
              <w:rPr>
                <w:rFonts w:ascii="宋体" w:hAnsi="宋体"/>
                <w:color w:val="000000"/>
                <w:sz w:val="22"/>
                <w:szCs w:val="22"/>
              </w:rPr>
              <w:t>配备水、泡沫灭火系统</w:t>
            </w:r>
            <w:r>
              <w:rPr>
                <w:rFonts w:hint="eastAsia" w:ascii="宋体" w:hAnsi="宋体"/>
                <w:color w:val="000000"/>
                <w:sz w:val="22"/>
                <w:szCs w:val="22"/>
              </w:rPr>
              <w:t>两</w:t>
            </w:r>
            <w:r>
              <w:rPr>
                <w:rFonts w:ascii="宋体" w:hAnsi="宋体"/>
                <w:color w:val="000000"/>
                <w:sz w:val="22"/>
                <w:szCs w:val="22"/>
              </w:rPr>
              <w:t>套灭火装置。水罐的有效容积≥</w:t>
            </w:r>
            <w:r>
              <w:rPr>
                <w:rFonts w:hint="eastAsia" w:ascii="宋体" w:hAnsi="宋体"/>
                <w:color w:val="000000"/>
                <w:sz w:val="22"/>
                <w:szCs w:val="22"/>
              </w:rPr>
              <w:t>12000</w:t>
            </w:r>
            <w:r>
              <w:rPr>
                <w:rFonts w:ascii="宋体" w:hAnsi="宋体"/>
                <w:color w:val="000000"/>
                <w:sz w:val="22"/>
                <w:szCs w:val="22"/>
              </w:rPr>
              <w:t>L，泡沫罐有效容积≥15</w:t>
            </w:r>
            <w:r>
              <w:rPr>
                <w:rFonts w:hint="eastAsia" w:ascii="宋体" w:hAnsi="宋体"/>
                <w:color w:val="000000"/>
                <w:sz w:val="22"/>
                <w:szCs w:val="22"/>
              </w:rPr>
              <w:t>0</w:t>
            </w:r>
            <w:r>
              <w:rPr>
                <w:rFonts w:ascii="宋体" w:hAnsi="宋体"/>
                <w:color w:val="000000"/>
                <w:sz w:val="22"/>
                <w:szCs w:val="22"/>
              </w:rPr>
              <w:t>0L，</w:t>
            </w:r>
            <w:r>
              <w:rPr>
                <w:rFonts w:hint="eastAsia" w:ascii="宋体" w:hAnsi="宋体"/>
                <w:sz w:val="22"/>
                <w:szCs w:val="22"/>
              </w:rPr>
              <w:t>详见第三章</w:t>
            </w:r>
          </w:p>
        </w:tc>
        <w:tc>
          <w:tcPr>
            <w:tcW w:w="2752" w:type="dxa"/>
            <w:vAlign w:val="center"/>
          </w:tcPr>
          <w:p>
            <w:pPr>
              <w:adjustRightInd w:val="0"/>
              <w:snapToGrid w:val="0"/>
              <w:jc w:val="center"/>
              <w:rPr>
                <w:rFonts w:ascii="宋体" w:hAnsi="宋体"/>
                <w:sz w:val="22"/>
              </w:rPr>
            </w:pPr>
            <w:r>
              <w:rPr>
                <w:rFonts w:hint="eastAsia" w:ascii="宋体" w:hAnsi="宋体"/>
                <w:color w:val="000000"/>
                <w:sz w:val="22"/>
              </w:rPr>
              <w:t>合同签订之日起13个月以内</w:t>
            </w:r>
          </w:p>
        </w:tc>
        <w:tc>
          <w:tcPr>
            <w:tcW w:w="1340" w:type="dxa"/>
            <w:vAlign w:val="center"/>
          </w:tcPr>
          <w:p>
            <w:pPr>
              <w:adjustRightInd w:val="0"/>
              <w:snapToGrid w:val="0"/>
              <w:jc w:val="center"/>
              <w:rPr>
                <w:rFonts w:ascii="宋体" w:hAnsi="宋体"/>
                <w:sz w:val="22"/>
              </w:rPr>
            </w:pPr>
            <w:r>
              <w:rPr>
                <w:rFonts w:ascii="宋体" w:hAnsi="宋体"/>
                <w:sz w:val="22"/>
              </w:rPr>
              <w:t>杭州萧山国际机场</w:t>
            </w:r>
          </w:p>
        </w:tc>
      </w:tr>
    </w:tbl>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二、投标人资格要求</w:t>
      </w:r>
      <w:r>
        <w:rPr>
          <w:rFonts w:ascii="宋体" w:hAnsi="宋体"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人应是具有独立法人资格的制造商或具有制造商针对本项目唯一书面授权的代理商（书面授权是指需提供授权书复印件并加盖投标人公章作为证明材料，原件备查），代理商成立时间要求3年及以上（营业执照上载明的成立时间为2017年4月1日以前），代理商代理销售制造商生产的消防车产品至少有1年及以上的历史（在2019年4月1日以前已经有成功代理销售业绩，以合同签署的时间为准）。制造商注册资金不少于4000万元或等值外币(按投标截止日当天中国银行公布的外汇牌价的中间价换算)，代理商注册资金不少于800万元或等值外币(按投标截止日当天中国银行公布的外汇牌价的中间价换算)。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widowControl/>
        <w:adjustRightInd w:val="0"/>
        <w:snapToGrid w:val="0"/>
        <w:spacing w:line="340" w:lineRule="exact"/>
        <w:ind w:firstLine="440" w:firstLineChars="200"/>
        <w:rPr>
          <w:rFonts w:hint="eastAsia" w:ascii="宋体" w:hAnsi="宋体" w:cs="Arial"/>
          <w:kern w:val="0"/>
          <w:sz w:val="22"/>
        </w:rPr>
      </w:pPr>
      <w:r>
        <w:rPr>
          <w:rFonts w:ascii="宋体" w:hAnsi="宋体" w:cs="Arial"/>
          <w:kern w:val="0"/>
          <w:sz w:val="22"/>
        </w:rPr>
        <w:t>3</w:t>
      </w:r>
      <w:r>
        <w:rPr>
          <w:rFonts w:hint="eastAsia" w:ascii="宋体" w:hAnsi="宋体" w:cs="Arial"/>
          <w:kern w:val="0"/>
          <w:sz w:val="22"/>
        </w:rPr>
        <w:t>、近年（201</w:t>
      </w:r>
      <w:r>
        <w:rPr>
          <w:rFonts w:ascii="宋体" w:hAnsi="宋体" w:cs="Arial"/>
          <w:kern w:val="0"/>
          <w:sz w:val="22"/>
        </w:rPr>
        <w:t>7</w:t>
      </w:r>
      <w:r>
        <w:rPr>
          <w:rFonts w:hint="eastAsia" w:ascii="宋体" w:hAnsi="宋体" w:cs="Arial"/>
          <w:kern w:val="0"/>
          <w:sz w:val="22"/>
        </w:rPr>
        <w:t>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p>
    <w:p>
      <w:pPr>
        <w:widowControl/>
        <w:adjustRightInd w:val="0"/>
        <w:snapToGrid w:val="0"/>
        <w:spacing w:line="340" w:lineRule="exact"/>
        <w:ind w:firstLine="440" w:firstLineChars="200"/>
        <w:rPr>
          <w:rFonts w:ascii="宋体" w:hAnsi="宋体" w:cs="Arial"/>
          <w:kern w:val="0"/>
          <w:sz w:val="22"/>
        </w:rPr>
      </w:pPr>
      <w:r>
        <w:rPr>
          <w:rFonts w:ascii="宋体" w:hAnsi="宋体" w:cs="Arial"/>
          <w:kern w:val="0"/>
          <w:sz w:val="22"/>
        </w:rPr>
        <w:t>4</w:t>
      </w:r>
      <w:r>
        <w:rPr>
          <w:rFonts w:hint="eastAsia" w:ascii="宋体" w:hAnsi="宋体" w:cs="Arial"/>
          <w:kern w:val="0"/>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widowControl/>
        <w:adjustRightInd w:val="0"/>
        <w:snapToGrid w:val="0"/>
        <w:spacing w:line="340" w:lineRule="exact"/>
        <w:ind w:firstLine="440" w:firstLineChars="200"/>
        <w:rPr>
          <w:rFonts w:ascii="宋体" w:hAnsi="宋体" w:cs="Arial"/>
          <w:kern w:val="0"/>
          <w:sz w:val="22"/>
        </w:rPr>
      </w:pPr>
      <w:r>
        <w:rPr>
          <w:rFonts w:ascii="宋体" w:hAnsi="宋体" w:cs="Arial"/>
          <w:kern w:val="0"/>
          <w:sz w:val="22"/>
        </w:rPr>
        <w:t>5</w:t>
      </w:r>
      <w:r>
        <w:rPr>
          <w:rFonts w:hint="eastAsia" w:ascii="宋体" w:hAnsi="宋体" w:cs="Arial"/>
          <w:kern w:val="0"/>
          <w:sz w:val="22"/>
        </w:rPr>
        <w:t>、投标产品的制造商在中国大陆（不含台港澳）民用机场开始销售主力泡沫消防车的历史至少有3年及以上（在2017年4月1日以前已经有成功销售业绩。成功销售业绩是指已按合同完成车辆验收交付的销售业绩，以下同。）</w:t>
      </w:r>
    </w:p>
    <w:p>
      <w:pPr>
        <w:widowControl/>
        <w:adjustRightInd w:val="0"/>
        <w:snapToGrid w:val="0"/>
        <w:spacing w:line="340" w:lineRule="exact"/>
        <w:ind w:firstLine="442" w:firstLineChars="200"/>
        <w:rPr>
          <w:rFonts w:ascii="宋体" w:hAnsi="宋体" w:cs="Arial"/>
          <w:b/>
          <w:kern w:val="0"/>
          <w:sz w:val="22"/>
        </w:rPr>
      </w:pPr>
      <w:r>
        <w:rPr>
          <w:rFonts w:hint="eastAsia" w:ascii="宋体" w:hAnsi="宋体" w:cs="Arial"/>
          <w:b/>
          <w:kern w:val="0"/>
          <w:sz w:val="22"/>
        </w:rPr>
        <w:t>必须提供销售合同及复印件并加盖投标人公章（原件备查），且能证明设备的品牌、型号、制造商及销售时间和最终用户。</w:t>
      </w:r>
    </w:p>
    <w:p>
      <w:pPr>
        <w:widowControl/>
        <w:adjustRightInd w:val="0"/>
        <w:snapToGrid w:val="0"/>
        <w:spacing w:line="340" w:lineRule="exact"/>
        <w:ind w:firstLine="440" w:firstLineChars="200"/>
        <w:rPr>
          <w:rFonts w:ascii="宋体" w:hAnsi="宋体" w:cs="Arial"/>
          <w:kern w:val="0"/>
          <w:sz w:val="22"/>
        </w:rPr>
      </w:pPr>
      <w:r>
        <w:rPr>
          <w:rFonts w:ascii="宋体" w:hAnsi="宋体" w:cs="Arial"/>
          <w:kern w:val="0"/>
          <w:sz w:val="22"/>
        </w:rPr>
        <w:t>6</w:t>
      </w:r>
      <w:r>
        <w:rPr>
          <w:rFonts w:hint="eastAsia" w:ascii="宋体" w:hAnsi="宋体" w:cs="Arial"/>
          <w:kern w:val="0"/>
          <w:sz w:val="22"/>
        </w:rPr>
        <w:t>、自</w:t>
      </w:r>
      <w:r>
        <w:rPr>
          <w:rFonts w:ascii="宋体" w:hAnsi="宋体" w:cs="Arial"/>
          <w:kern w:val="0"/>
          <w:sz w:val="22"/>
        </w:rPr>
        <w:t>20</w:t>
      </w:r>
      <w:r>
        <w:rPr>
          <w:rFonts w:hint="eastAsia" w:ascii="宋体" w:hAnsi="宋体" w:cs="Arial"/>
          <w:kern w:val="0"/>
          <w:sz w:val="22"/>
        </w:rPr>
        <w:t>17年1月</w:t>
      </w:r>
      <w:r>
        <w:rPr>
          <w:rFonts w:ascii="宋体" w:hAnsi="宋体" w:cs="Arial"/>
          <w:kern w:val="0"/>
          <w:sz w:val="22"/>
        </w:rPr>
        <w:t>1</w:t>
      </w:r>
      <w:r>
        <w:rPr>
          <w:rFonts w:hint="eastAsia" w:ascii="宋体" w:hAnsi="宋体" w:cs="Arial"/>
          <w:kern w:val="0"/>
          <w:sz w:val="22"/>
        </w:rPr>
        <w:t>日以来（以合同签订的时间为准），投标产品的制造商生产的主力泡沫消防车必须在中国大陆（不含台港澳）民用机场有3台及以上成功销售业绩。</w:t>
      </w:r>
    </w:p>
    <w:p>
      <w:pPr>
        <w:widowControl/>
        <w:adjustRightInd w:val="0"/>
        <w:snapToGrid w:val="0"/>
        <w:spacing w:line="340" w:lineRule="exact"/>
        <w:ind w:firstLine="442" w:firstLineChars="200"/>
        <w:rPr>
          <w:rFonts w:ascii="宋体" w:hAnsi="宋体" w:cs="Arial"/>
          <w:b/>
          <w:kern w:val="0"/>
          <w:sz w:val="22"/>
          <w:lang w:val="en-US"/>
        </w:rPr>
      </w:pPr>
      <w:r>
        <w:rPr>
          <w:rFonts w:hint="eastAsia" w:ascii="宋体" w:hAnsi="宋体" w:cs="Arial"/>
          <w:b/>
          <w:kern w:val="0"/>
          <w:sz w:val="22"/>
        </w:rPr>
        <w:t>必须提供销售合同复印件和用户证明文件并加盖公章（原件备查），以及机场使用部门（消防</w:t>
      </w:r>
      <w:r>
        <w:rPr>
          <w:rFonts w:hint="eastAsia" w:ascii="宋体" w:hAnsi="宋体" w:cs="Arial"/>
          <w:b/>
          <w:kern w:val="0"/>
          <w:sz w:val="22"/>
          <w:lang w:val="en-US" w:eastAsia="zh-CN"/>
        </w:rPr>
        <w:t>·</w:t>
      </w:r>
    </w:p>
    <w:p>
      <w:pPr>
        <w:widowControl/>
        <w:adjustRightInd w:val="0"/>
        <w:snapToGrid w:val="0"/>
        <w:spacing w:line="340" w:lineRule="exact"/>
        <w:ind w:firstLine="440" w:firstLineChars="200"/>
        <w:rPr>
          <w:rFonts w:ascii="宋体" w:hAnsi="宋体" w:cs="Arial"/>
          <w:kern w:val="0"/>
          <w:sz w:val="22"/>
        </w:rPr>
      </w:pPr>
      <w:r>
        <w:rPr>
          <w:rFonts w:ascii="宋体" w:hAnsi="宋体" w:cs="Arial"/>
          <w:kern w:val="0"/>
          <w:sz w:val="22"/>
        </w:rPr>
        <w:t>7</w:t>
      </w:r>
      <w:r>
        <w:rPr>
          <w:rFonts w:hint="eastAsia" w:ascii="宋体" w:hAnsi="宋体" w:cs="Arial"/>
          <w:kern w:val="0"/>
          <w:sz w:val="22"/>
        </w:rPr>
        <w:t>、投标产品制造商在中国大陆（不含台港澳）必须有常驻售后服务机构。（需提供相关证明材料）</w:t>
      </w:r>
    </w:p>
    <w:p>
      <w:pPr>
        <w:widowControl/>
        <w:adjustRightInd w:val="0"/>
        <w:snapToGrid w:val="0"/>
        <w:spacing w:line="340" w:lineRule="exact"/>
        <w:ind w:firstLine="440" w:firstLineChars="200"/>
        <w:rPr>
          <w:rFonts w:ascii="宋体" w:hAnsi="宋体" w:cs="Arial"/>
          <w:kern w:val="0"/>
          <w:sz w:val="22"/>
        </w:rPr>
      </w:pPr>
      <w:r>
        <w:rPr>
          <w:rFonts w:ascii="宋体" w:hAnsi="宋体" w:cs="Arial"/>
          <w:kern w:val="0"/>
          <w:sz w:val="22"/>
        </w:rPr>
        <w:t>8</w:t>
      </w:r>
      <w:r>
        <w:rPr>
          <w:rFonts w:hint="eastAsia" w:ascii="宋体" w:hAnsi="宋体" w:cs="Arial"/>
          <w:kern w:val="0"/>
          <w:sz w:val="22"/>
        </w:rPr>
        <w:t>、</w:t>
      </w:r>
      <w:r>
        <w:rPr>
          <w:rFonts w:ascii="宋体" w:hAnsi="宋体" w:cs="Arial"/>
          <w:kern w:val="0"/>
          <w:sz w:val="22"/>
        </w:rPr>
        <w:t>本项目不接受联合</w:t>
      </w:r>
      <w:r>
        <w:rPr>
          <w:rFonts w:hint="eastAsia" w:ascii="宋体" w:hAnsi="宋体" w:cs="Arial"/>
          <w:kern w:val="0"/>
          <w:sz w:val="22"/>
        </w:rPr>
        <w:t>体</w:t>
      </w:r>
      <w:r>
        <w:rPr>
          <w:rFonts w:ascii="宋体" w:hAnsi="宋体" w:cs="Arial"/>
          <w:kern w:val="0"/>
          <w:sz w:val="22"/>
        </w:rPr>
        <w:t>投标</w:t>
      </w:r>
      <w:r>
        <w:rPr>
          <w:rFonts w:hint="eastAsia" w:ascii="宋体" w:hAnsi="宋体" w:cs="Arial"/>
          <w:kern w:val="0"/>
          <w:sz w:val="22"/>
        </w:rPr>
        <w:t>。</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三、招标文件获取</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cs="Arial" w:asciiTheme="minorEastAsia" w:hAnsiTheme="minorEastAsia"/>
          <w:kern w:val="0"/>
          <w:sz w:val="22"/>
        </w:rPr>
        <w:t>http://www.hzairport.com/zbxx.aspx</w:t>
      </w:r>
      <w:r>
        <w:rPr>
          <w:rFonts w:cs="Arial" w:asciiTheme="minorEastAsia" w:hAnsiTheme="minorEastAsia"/>
          <w:kern w:val="0"/>
          <w:sz w:val="22"/>
        </w:rPr>
        <w:fldChar w:fldCharType="end"/>
      </w:r>
      <w:r>
        <w:rPr>
          <w:rFonts w:hint="eastAsia" w:cs="Arial" w:asciiTheme="minorEastAsia" w:hAnsiTheme="minorEastAsia"/>
          <w:kern w:val="0"/>
          <w:sz w:val="22"/>
        </w:rPr>
        <w:t>自行下载招标文件。</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招标文件下载</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四、投标文件的递交</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（1）</w:t>
      </w:r>
      <w:r>
        <w:rPr>
          <w:rFonts w:hint="eastAsia" w:ascii="宋体" w:hAnsi="宋体" w:cs="Arial"/>
          <w:kern w:val="0"/>
          <w:sz w:val="22"/>
        </w:rPr>
        <w:t>投标文件递交截止时间：2019年11月20日上午9时00分（北京时间）。投标文件在封口处加盖公章，并派专人于2019年11月20日上午9时00分（北京时间）前送至杭州萧山国际机场翔越路综合服务楼园区招标中心，逾期无效；若采用投递方式的，请于2019年11月20日上午9时00分（北京时间）前投递至杭州萧山国际机场综合楼213室，逾期无效。</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（2）</w:t>
      </w:r>
      <w:r>
        <w:rPr>
          <w:rFonts w:hint="eastAsia" w:asciiTheme="minorEastAsia" w:hAnsiTheme="minorEastAsia"/>
          <w:sz w:val="22"/>
        </w:rPr>
        <w:t>逾期送达或者未送达指定地点的投标文件，招标人不予受理。</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五、发布公告的媒介</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本次招标公告在在浙江省机场集团有限公司和杭州萧山机场有限公司主页等媒介上发布，相关媒介如下：</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浙江省机场集团有限公司主页 http://www.zjsairport.com</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杭州萧山机场有限公司主页：http://www.hzairport.com</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浙江政府采购网 http://zfcg.czt.zj.gov.cn</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浙江政务服务网http://zjpubservice.zjzwfw.gov.cn</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政采云平台企业购 https://b.zhengcaiyun.cn</w:t>
      </w:r>
    </w:p>
    <w:p>
      <w:pPr>
        <w:widowControl/>
        <w:adjustRightInd w:val="0"/>
        <w:snapToGrid w:val="0"/>
        <w:spacing w:line="340" w:lineRule="exact"/>
        <w:ind w:firstLine="440" w:firstLineChars="200"/>
        <w:rPr>
          <w:rFonts w:hint="eastAsia" w:ascii="宋体" w:hAnsi="宋体" w:cs="Arial"/>
          <w:kern w:val="0"/>
          <w:sz w:val="22"/>
        </w:rPr>
      </w:pPr>
      <w:r>
        <w:rPr>
          <w:rFonts w:hint="eastAsia" w:ascii="宋体" w:hAnsi="宋体" w:cs="Arial"/>
          <w:kern w:val="0"/>
          <w:sz w:val="22"/>
        </w:rPr>
        <w:t>中国采购与招标网：http://www.chinabidding.com.cn</w:t>
      </w:r>
    </w:p>
    <w:p>
      <w:pPr>
        <w:widowControl/>
        <w:snapToGrid w:val="0"/>
        <w:spacing w:line="340" w:lineRule="exact"/>
        <w:jc w:val="left"/>
        <w:rPr>
          <w:rFonts w:hint="eastAsia" w:ascii="宋体" w:hAnsi="宋体" w:cs="Arial"/>
          <w:b/>
          <w:bCs/>
          <w:kern w:val="0"/>
          <w:sz w:val="22"/>
        </w:rPr>
      </w:pPr>
      <w:r>
        <w:rPr>
          <w:rFonts w:hint="eastAsia" w:ascii="宋体" w:hAnsi="宋体" w:cs="Arial"/>
          <w:kern w:val="0"/>
          <w:sz w:val="22"/>
        </w:rPr>
        <w:t>招天下 https://www.zhaotx.cn</w:t>
      </w:r>
      <w:r>
        <w:rPr>
          <w:rFonts w:hint="eastAsia" w:ascii="宋体" w:hAnsi="宋体" w:cs="Arial"/>
          <w:b/>
          <w:bCs/>
          <w:kern w:val="0"/>
          <w:sz w:val="22"/>
        </w:rPr>
        <w:t>六</w:t>
      </w:r>
      <w:r>
        <w:rPr>
          <w:rFonts w:ascii="宋体" w:hAnsi="宋体" w:cs="Arial"/>
          <w:b/>
          <w:bCs/>
          <w:kern w:val="0"/>
          <w:sz w:val="22"/>
        </w:rPr>
        <w:t>、</w:t>
      </w:r>
      <w:r>
        <w:rPr>
          <w:rFonts w:hint="eastAsia" w:ascii="宋体" w:hAnsi="宋体" w:cs="Arial"/>
          <w:b/>
          <w:bCs/>
          <w:kern w:val="0"/>
          <w:sz w:val="22"/>
        </w:rPr>
        <w:t>其他事项</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潜在投标人若对招标文件中投标人资格条件、星号条款等重要内容有异议的，可通过书面形式提出，若招标人予以采纳，将对招标文件进行完善并重新发布。</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七、联系方式</w:t>
      </w:r>
    </w:p>
    <w:p>
      <w:pPr>
        <w:widowControl/>
        <w:adjustRightInd w:val="0"/>
        <w:snapToGrid w:val="0"/>
        <w:spacing w:line="340" w:lineRule="exact"/>
        <w:ind w:firstLine="440" w:firstLineChars="200"/>
        <w:rPr>
          <w:rFonts w:ascii="宋体" w:hAnsi="宋体"/>
          <w:sz w:val="22"/>
        </w:rPr>
      </w:pPr>
      <w:r>
        <w:rPr>
          <w:rFonts w:hint="eastAsia" w:ascii="宋体" w:hAnsi="宋体"/>
          <w:sz w:val="22"/>
        </w:rPr>
        <w:t>投标联系人：贾工        联系电话： 0571-</w:t>
      </w:r>
      <w:r>
        <w:rPr>
          <w:rFonts w:ascii="宋体" w:hAnsi="宋体"/>
          <w:sz w:val="22"/>
        </w:rPr>
        <w:t>83837612</w:t>
      </w:r>
    </w:p>
    <w:p>
      <w:pPr>
        <w:widowControl/>
        <w:adjustRightInd w:val="0"/>
        <w:snapToGrid w:val="0"/>
        <w:spacing w:line="340" w:lineRule="exact"/>
        <w:ind w:firstLine="440" w:firstLineChars="200"/>
      </w:pPr>
      <w:r>
        <w:rPr>
          <w:rFonts w:hint="eastAsia" w:ascii="宋体" w:hAnsi="宋体"/>
          <w:bCs/>
          <w:sz w:val="22"/>
        </w:rPr>
        <w:t>招标监督人：阮工         联系电话：0571-86662133</w:t>
      </w:r>
      <w:r>
        <w:rPr>
          <w:rFonts w:hint="eastAsia" w:ascii="宋体" w:hAnsi="宋体"/>
          <w:sz w:val="22"/>
        </w:rPr>
        <w:t xml:space="preserve"> </w:t>
      </w:r>
      <w:r>
        <w:rPr>
          <w:rFonts w:ascii="宋体" w:hAnsi="宋体"/>
          <w:sz w:val="22"/>
        </w:rPr>
        <w:br w:type="page"/>
      </w:r>
      <w:bookmarkStart w:id="1" w:name="_Toc321925452"/>
      <w:r>
        <w:t>第</w:t>
      </w:r>
      <w:r>
        <w:rPr>
          <w:rFonts w:hint="eastAsia"/>
        </w:rPr>
        <w:t>二</w:t>
      </w:r>
      <w:r>
        <w:t>章  投标</w:t>
      </w:r>
      <w:r>
        <w:rPr>
          <w:rFonts w:hint="eastAsia"/>
        </w:rPr>
        <w:t>人须知</w:t>
      </w:r>
      <w:bookmarkEnd w:id="1"/>
    </w:p>
    <w:p>
      <w:pPr>
        <w:pStyle w:val="34"/>
        <w:spacing w:line="240" w:lineRule="auto"/>
        <w:jc w:val="center"/>
        <w:rPr>
          <w:b/>
          <w:sz w:val="28"/>
          <w:szCs w:val="28"/>
        </w:rPr>
      </w:pPr>
      <w:r>
        <w:rPr>
          <w:rFonts w:hint="eastAsia"/>
          <w:b/>
          <w:sz w:val="28"/>
          <w:szCs w:val="28"/>
        </w:rPr>
        <w:t>投标人须知前附表</w:t>
      </w:r>
    </w:p>
    <w:tbl>
      <w:tblPr>
        <w:tblStyle w:val="58"/>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Arial"/>
                <w:kern w:val="0"/>
                <w:sz w:val="22"/>
              </w:rPr>
              <w:t>杭州萧山国际机场</w:t>
            </w:r>
            <w:r>
              <w:rPr>
                <w:rFonts w:hint="eastAsia" w:ascii="宋体" w:hAnsi="宋体" w:cs="Arial"/>
                <w:kern w:val="0"/>
                <w:sz w:val="22"/>
              </w:rPr>
              <w:t>主力泡沫消防车</w:t>
            </w:r>
            <w:r>
              <w:rPr>
                <w:rFonts w:ascii="宋体" w:hAnsi="宋体" w:cs="Arial"/>
                <w:kern w:val="0"/>
                <w:sz w:val="22"/>
              </w:rPr>
              <w:t>采购项</w:t>
            </w:r>
            <w:r>
              <w:rPr>
                <w:rFonts w:hint="eastAsia" w:ascii="宋体" w:hAnsi="宋体" w:cs="Arial"/>
                <w:kern w:val="0"/>
                <w:sz w:val="22"/>
              </w:rPr>
              <w:t>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交货</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85"/>
                <w:rFonts w:hint="eastAsia"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见招标公告，具体要求详见第</w:t>
            </w:r>
            <w:r>
              <w:rPr>
                <w:rFonts w:hint="eastAsia" w:ascii="宋体" w:hAnsi="宋体" w:cs="Calibri"/>
                <w:kern w:val="0"/>
                <w:sz w:val="22"/>
              </w:rPr>
              <w:t>三</w:t>
            </w:r>
            <w:r>
              <w:rPr>
                <w:rFonts w:ascii="宋体" w:hAnsi="宋体" w:cs="Calibri"/>
                <w:kern w:val="0"/>
                <w:sz w:val="22"/>
              </w:rPr>
              <w:t>章“货物需求一览表及技术规格”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供货期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合同签订之日起</w:t>
            </w:r>
            <w:r>
              <w:rPr>
                <w:rFonts w:hint="eastAsia" w:ascii="宋体" w:hAnsi="宋体"/>
                <w:sz w:val="22"/>
                <w:u w:val="single"/>
              </w:rPr>
              <w:t>13个月</w:t>
            </w:r>
            <w:r>
              <w:rPr>
                <w:rFonts w:hint="eastAsia" w:ascii="宋体" w:hAnsi="宋体" w:cs="Calibri"/>
                <w:kern w:val="0"/>
                <w:sz w:val="22"/>
              </w:rPr>
              <w:t>内。</w:t>
            </w:r>
          </w:p>
          <w:p>
            <w:pPr>
              <w:autoSpaceDE w:val="0"/>
              <w:autoSpaceDN w:val="0"/>
              <w:adjustRightInd w:val="0"/>
              <w:snapToGrid w:val="0"/>
              <w:rPr>
                <w:rFonts w:ascii="宋体" w:hAnsi="宋体" w:cs="Calibri"/>
                <w:kern w:val="0"/>
                <w:sz w:val="22"/>
              </w:rPr>
            </w:pPr>
            <w:r>
              <w:rPr>
                <w:rFonts w:hint="eastAsia" w:ascii="宋体" w:hAnsi="宋体" w:cs="Calibri"/>
                <w:kern w:val="0"/>
                <w:sz w:val="22"/>
              </w:rPr>
              <w:t>投标人须在投标文件中提供最快交货时间和详细的供货计划。投标人可根据自身经验、技术水平及管理能力自报竞争性</w:t>
            </w:r>
            <w:r>
              <w:rPr>
                <w:rFonts w:ascii="宋体" w:hAnsi="宋体" w:cs="Calibri"/>
                <w:kern w:val="0"/>
                <w:sz w:val="22"/>
              </w:rPr>
              <w:t>供货期</w:t>
            </w:r>
            <w:r>
              <w:rPr>
                <w:rFonts w:hint="eastAsia" w:ascii="宋体" w:hAnsi="宋体" w:cs="Calibri"/>
                <w:kern w:val="0"/>
                <w:sz w:val="22"/>
              </w:rPr>
              <w:t>，但不得超过招标人明确的计划</w:t>
            </w:r>
            <w:r>
              <w:rPr>
                <w:rFonts w:ascii="宋体" w:hAnsi="宋体" w:cs="Calibri"/>
                <w:kern w:val="0"/>
                <w:sz w:val="22"/>
              </w:rPr>
              <w:t>供货期</w:t>
            </w:r>
            <w:r>
              <w:rPr>
                <w:rFonts w:hint="eastAsia" w:ascii="宋体" w:hAnsi="宋体" w:cs="Calibri"/>
                <w:kern w:val="0"/>
                <w:sz w:val="22"/>
              </w:rPr>
              <w:t>。一旦中标，该</w:t>
            </w:r>
            <w:r>
              <w:rPr>
                <w:rFonts w:ascii="宋体" w:hAnsi="宋体" w:cs="Calibri"/>
                <w:kern w:val="0"/>
                <w:sz w:val="22"/>
              </w:rPr>
              <w:t>供货期</w:t>
            </w:r>
            <w:r>
              <w:rPr>
                <w:rFonts w:hint="eastAsia" w:ascii="宋体" w:hAnsi="宋体" w:cs="Calibri"/>
                <w:kern w:val="0"/>
                <w:sz w:val="22"/>
              </w:rPr>
              <w:t>即为合同</w:t>
            </w:r>
            <w:r>
              <w:rPr>
                <w:rFonts w:ascii="宋体" w:hAnsi="宋体" w:cs="Calibri"/>
                <w:kern w:val="0"/>
                <w:sz w:val="22"/>
              </w:rPr>
              <w:t>供货期</w:t>
            </w:r>
            <w:r>
              <w:rPr>
                <w:rFonts w:hint="eastAsia" w:ascii="宋体" w:hAnsi="宋体" w:cs="Calibri"/>
                <w:kern w:val="0"/>
                <w:sz w:val="22"/>
              </w:rPr>
              <w:t>。整个项目</w:t>
            </w:r>
            <w:r>
              <w:rPr>
                <w:rFonts w:ascii="宋体" w:hAnsi="宋体" w:cs="Calibri"/>
                <w:kern w:val="0"/>
                <w:sz w:val="22"/>
              </w:rPr>
              <w:t>供货期</w:t>
            </w:r>
            <w:r>
              <w:rPr>
                <w:rFonts w:hint="eastAsia" w:ascii="宋体" w:hAnsi="宋体" w:cs="Calibri"/>
                <w:kern w:val="0"/>
                <w:sz w:val="22"/>
              </w:rPr>
              <w:t>安排应服从招标人要求。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rPr>
                <w:rFonts w:ascii="宋体" w:hAnsi="宋体"/>
                <w:color w:val="000000"/>
                <w:sz w:val="22"/>
              </w:rPr>
            </w:pPr>
            <w:r>
              <w:rPr>
                <w:rFonts w:hint="eastAsia" w:ascii="宋体" w:hAnsi="宋体"/>
                <w:iCs/>
                <w:sz w:val="22"/>
              </w:rPr>
              <w:t>符</w:t>
            </w:r>
            <w:r>
              <w:rPr>
                <w:rFonts w:hint="eastAsia" w:ascii="宋体" w:hAnsi="宋体"/>
                <w:sz w:val="22"/>
              </w:rPr>
              <w:t>合国家现行标准（</w:t>
            </w:r>
            <w:r>
              <w:rPr>
                <w:rFonts w:hint="eastAsia" w:ascii="宋体" w:hAnsi="宋体"/>
                <w:sz w:val="22"/>
                <w:u w:val="single"/>
              </w:rPr>
              <w:t>详见第三章）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t>□组织，踏勘时间：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sym w:font="Wingdings 2" w:char="0052"/>
            </w: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2019</w:t>
            </w:r>
            <w:r>
              <w:rPr>
                <w:rFonts w:ascii="宋体" w:hAnsi="宋体" w:cs="Calibri"/>
                <w:kern w:val="0"/>
                <w:sz w:val="22"/>
              </w:rPr>
              <w:t>年</w:t>
            </w:r>
            <w:r>
              <w:rPr>
                <w:rFonts w:hint="eastAsia" w:ascii="宋体" w:hAnsi="宋体" w:cs="Calibri"/>
                <w:kern w:val="0"/>
                <w:sz w:val="22"/>
              </w:rPr>
              <w:t>11</w:t>
            </w:r>
            <w:r>
              <w:rPr>
                <w:rFonts w:ascii="宋体" w:hAnsi="宋体" w:cs="Calibri"/>
                <w:kern w:val="0"/>
                <w:sz w:val="22"/>
              </w:rPr>
              <w:t>月</w:t>
            </w:r>
            <w:r>
              <w:rPr>
                <w:rFonts w:hint="eastAsia" w:ascii="宋体" w:hAnsi="宋体" w:cs="Calibri"/>
                <w:kern w:val="0"/>
                <w:sz w:val="22"/>
              </w:rPr>
              <w:t>13</w:t>
            </w:r>
            <w:r>
              <w:rPr>
                <w:rFonts w:ascii="宋体" w:hAnsi="宋体" w:cs="Calibri"/>
                <w:kern w:val="0"/>
                <w:sz w:val="22"/>
              </w:rPr>
              <w:t>日11：30前，</w:t>
            </w:r>
            <w:r>
              <w:rPr>
                <w:rFonts w:hint="eastAsia" w:ascii="宋体" w:hAnsi="宋体" w:cs="Calibri"/>
                <w:kern w:val="0"/>
                <w:sz w:val="22"/>
              </w:rPr>
              <w:t>以书面加盖公章的形式通过E-mail或传真提交给招标人（投标联系人:贾工，电话0571-</w:t>
            </w:r>
            <w:r>
              <w:rPr>
                <w:rFonts w:ascii="宋体" w:hAnsi="宋体"/>
                <w:sz w:val="22"/>
              </w:rPr>
              <w:t>83837612</w:t>
            </w:r>
            <w:r>
              <w:rPr>
                <w:rFonts w:hint="eastAsia" w:ascii="宋体" w:hAnsi="宋体" w:cs="Calibri"/>
                <w:kern w:val="0"/>
                <w:sz w:val="22"/>
              </w:rPr>
              <w:t>；传真：0571-</w:t>
            </w:r>
            <w:r>
              <w:rPr>
                <w:rFonts w:ascii="宋体" w:hAnsi="宋体"/>
                <w:sz w:val="22"/>
              </w:rPr>
              <w:t>83837612</w:t>
            </w:r>
            <w:r>
              <w:rPr>
                <w:rFonts w:hint="eastAsia" w:ascii="宋体" w:hAnsi="宋体" w:cs="Calibri"/>
                <w:kern w:val="0"/>
                <w:sz w:val="22"/>
              </w:rPr>
              <w:t>；电子邮箱：zbzx@hzairport.com）投标人必须在规定时间前提出对招标文件的疑问，否则招标人有权拒绝接收和拒绝回答未在截止时间前提出的疑问。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hint="eastAsia" w:ascii="宋体" w:hAnsi="宋体" w:cs="Arial"/>
                <w:kern w:val="0"/>
                <w:sz w:val="22"/>
              </w:rPr>
              <w:t>2019年11月20日上午9时00分（北京时间）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投标保证金的形式：支票、银行汇票或电汇</w:t>
            </w:r>
            <w:r>
              <w:rPr>
                <w:rFonts w:hint="eastAsia" w:ascii="宋体" w:hAnsi="宋体"/>
                <w:b/>
                <w:sz w:val="22"/>
              </w:rPr>
              <w:t>，必须在投标截止时间前通过投标人的基本账户以银行转账方式缴纳。</w:t>
            </w:r>
          </w:p>
          <w:p>
            <w:pPr>
              <w:snapToGrid w:val="0"/>
              <w:rPr>
                <w:rFonts w:ascii="宋体" w:hAnsi="宋体"/>
                <w:sz w:val="22"/>
              </w:rPr>
            </w:pPr>
            <w:r>
              <w:rPr>
                <w:rFonts w:hint="eastAsia" w:ascii="宋体" w:hAnsi="宋体"/>
                <w:sz w:val="22"/>
              </w:rPr>
              <w:t>投标保证金的金额：</w:t>
            </w:r>
            <w:r>
              <w:rPr>
                <w:rFonts w:hint="eastAsia" w:ascii="宋体" w:hAnsi="宋体"/>
                <w:b/>
                <w:sz w:val="22"/>
              </w:rPr>
              <w:t>人民币 壹拾万元整</w:t>
            </w:r>
          </w:p>
          <w:p>
            <w:pPr>
              <w:snapToGrid w:val="0"/>
              <w:rPr>
                <w:rFonts w:ascii="宋体" w:hAnsi="宋体"/>
                <w:sz w:val="22"/>
              </w:rPr>
            </w:pPr>
            <w:r>
              <w:rPr>
                <w:rFonts w:hint="eastAsia" w:ascii="宋体" w:hAnsi="宋体"/>
                <w:sz w:val="22"/>
              </w:rPr>
              <w:t>投标保证金应在投标截止时间前汇入以下帐户：</w:t>
            </w:r>
          </w:p>
          <w:p>
            <w:pPr>
              <w:snapToGrid w:val="0"/>
              <w:rPr>
                <w:rFonts w:ascii="宋体" w:hAnsi="宋体"/>
                <w:sz w:val="22"/>
              </w:rPr>
            </w:pPr>
            <w:r>
              <w:rPr>
                <w:rFonts w:hint="eastAsia" w:ascii="宋体" w:hAnsi="宋体"/>
                <w:sz w:val="22"/>
              </w:rPr>
              <w:t>开户名：杭州萧山国际机场有限公司</w:t>
            </w:r>
          </w:p>
          <w:p>
            <w:pPr>
              <w:snapToGrid w:val="0"/>
              <w:rPr>
                <w:rFonts w:ascii="宋体" w:hAnsi="宋体"/>
                <w:sz w:val="22"/>
              </w:rPr>
            </w:pPr>
            <w:r>
              <w:rPr>
                <w:rFonts w:hint="eastAsia" w:ascii="宋体" w:hAnsi="宋体"/>
                <w:sz w:val="22"/>
              </w:rPr>
              <w:t xml:space="preserve">开户银行：工行杭州市空港城支行 </w:t>
            </w:r>
          </w:p>
          <w:p>
            <w:pPr>
              <w:snapToGrid w:val="0"/>
              <w:rPr>
                <w:rFonts w:ascii="宋体" w:hAnsi="宋体"/>
                <w:sz w:val="22"/>
                <w:lang w:val="zh-CN"/>
              </w:rPr>
            </w:pPr>
            <w:r>
              <w:rPr>
                <w:rFonts w:hint="eastAsia" w:ascii="宋体" w:hAnsi="宋体"/>
                <w:sz w:val="22"/>
              </w:rPr>
              <w:t>帐号：</w:t>
            </w:r>
            <w:r>
              <w:rPr>
                <w:rFonts w:hint="eastAsia" w:ascii="宋体" w:hAnsi="宋体"/>
                <w:sz w:val="22"/>
                <w:lang w:val="zh-CN"/>
              </w:rPr>
              <w:t>1202050209904601740</w:t>
            </w:r>
          </w:p>
          <w:p>
            <w:pPr>
              <w:snapToGrid w:val="0"/>
              <w:rPr>
                <w:rFonts w:ascii="宋体" w:hAnsi="宋体"/>
                <w:sz w:val="22"/>
                <w:lang w:val="zh-CN"/>
              </w:rPr>
            </w:pPr>
          </w:p>
          <w:p>
            <w:pPr>
              <w:snapToGrid w:val="0"/>
              <w:rPr>
                <w:rFonts w:ascii="宋体" w:hAnsi="宋体"/>
                <w:sz w:val="22"/>
              </w:rPr>
            </w:pPr>
            <w:r>
              <w:rPr>
                <w:rFonts w:hint="eastAsia" w:ascii="宋体" w:hAnsi="宋体"/>
                <w:b/>
                <w:sz w:val="22"/>
                <w:lang w:val="zh-CN"/>
              </w:rPr>
              <w:t>投标人提交投标保证金时需注明“＊＊项目投标保证金”，基本账户开户许可证和银行回单复印件等信息随投标函单独封装，随投标文件一同递交。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snapToGrid w:val="0"/>
              <w:rPr>
                <w:rFonts w:ascii="宋体" w:hAnsi="宋体" w:cs="Calibri"/>
                <w:kern w:val="0"/>
                <w:sz w:val="22"/>
              </w:rPr>
            </w:pPr>
            <w:r>
              <w:rPr>
                <w:rFonts w:hint="eastAsia" w:ascii="宋体" w:hAnsi="宋体" w:cs="宋体"/>
                <w:sz w:val="22"/>
              </w:rPr>
              <w:t>项目名称：</w:t>
            </w:r>
            <w:r>
              <w:rPr>
                <w:rFonts w:hint="eastAsia" w:ascii="宋体" w:hAnsi="宋体" w:cs="Calibri"/>
                <w:kern w:val="0"/>
                <w:sz w:val="22"/>
                <w:u w:val="single"/>
              </w:rPr>
              <w:t>杭州萧山国际机场主力泡沫消防车采购</w:t>
            </w:r>
            <w:r>
              <w:rPr>
                <w:rFonts w:ascii="宋体" w:hAnsi="宋体" w:cs="Calibri"/>
                <w:kern w:val="0"/>
                <w:sz w:val="22"/>
                <w:u w:val="single"/>
              </w:rPr>
              <w:t>项目</w:t>
            </w:r>
            <w:r>
              <w:rPr>
                <w:rFonts w:hint="eastAsia" w:ascii="宋体" w:hAnsi="宋体" w:cs="宋体"/>
                <w:sz w:val="22"/>
              </w:rPr>
              <w:t>投标文件</w:t>
            </w:r>
          </w:p>
          <w:p>
            <w:pPr>
              <w:autoSpaceDE w:val="0"/>
              <w:autoSpaceDN w:val="0"/>
              <w:adjustRightInd w:val="0"/>
              <w:snapToGrid w:val="0"/>
              <w:rPr>
                <w:rFonts w:ascii="宋体" w:hAnsi="宋体" w:cs="Calibri"/>
                <w:kern w:val="0"/>
                <w:sz w:val="22"/>
              </w:rPr>
            </w:pPr>
            <w:r>
              <w:rPr>
                <w:rFonts w:ascii="宋体" w:hAnsi="宋体" w:cs="Calibri"/>
                <w:kern w:val="0"/>
                <w:sz w:val="22"/>
              </w:rPr>
              <w:t>在</w:t>
            </w:r>
            <w:r>
              <w:rPr>
                <w:rFonts w:hint="eastAsia" w:ascii="宋体" w:hAnsi="宋体" w:cs="Arial"/>
                <w:kern w:val="0"/>
                <w:sz w:val="22"/>
                <w:u w:val="single"/>
              </w:rPr>
              <w:t>2019年11月20日上午9时00分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w:t>
            </w:r>
            <w:r>
              <w:rPr>
                <w:rFonts w:hint="eastAsia" w:ascii="宋体" w:hAnsi="宋体" w:cs="Calibri"/>
                <w:kern w:val="0"/>
                <w:sz w:val="22"/>
              </w:rPr>
              <w:t>1</w:t>
            </w:r>
            <w:r>
              <w:rPr>
                <w:rFonts w:ascii="宋体" w:hAnsi="宋体" w:cs="Calibri"/>
                <w:kern w:val="0"/>
                <w:sz w:val="22"/>
              </w:rPr>
              <w:t>）密封情况检查：由投标人或者其集体推选的代表检查投标文件的密封情况。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w:t>
            </w:r>
            <w:r>
              <w:rPr>
                <w:rFonts w:hint="eastAsia" w:ascii="宋体" w:hAnsi="宋体" w:cs="Calibri"/>
                <w:kern w:val="0"/>
                <w:sz w:val="22"/>
              </w:rPr>
              <w:t>2</w:t>
            </w:r>
            <w:r>
              <w:rPr>
                <w:rFonts w:ascii="宋体" w:hAnsi="宋体" w:cs="Calibri"/>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：5</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评标专家确定方式：评标委员会由招标人组建。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的形式：</w:t>
            </w:r>
            <w:r>
              <w:rPr>
                <w:rFonts w:hint="eastAsia" w:ascii="宋体" w:hAnsi="宋体"/>
                <w:sz w:val="22"/>
              </w:rPr>
              <w:t>银行转账</w:t>
            </w:r>
          </w:p>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的金额：</w:t>
            </w:r>
            <w:r>
              <w:rPr>
                <w:rFonts w:hint="eastAsia" w:ascii="宋体" w:hAnsi="宋体"/>
                <w:sz w:val="22"/>
              </w:rPr>
              <w:t>合同总价的10%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50"/>
              <w:rPr>
                <w:rFonts w:ascii="宋体" w:hAnsi="宋体" w:cs="Calibri"/>
                <w:sz w:val="22"/>
                <w:szCs w:val="22"/>
              </w:rPr>
            </w:pPr>
            <w:r>
              <w:rPr>
                <w:rFonts w:ascii="宋体" w:hAnsi="宋体" w:cs="Calibri"/>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p>
            <w:pPr>
              <w:adjustRightInd w:val="0"/>
              <w:snapToGrid w:val="0"/>
              <w:rPr>
                <w:rFonts w:hint="eastAsia" w:ascii="宋体" w:hAnsi="宋体" w:cs="Calibri"/>
                <w:snapToGrid w:val="0"/>
                <w:kern w:val="0"/>
                <w:sz w:val="22"/>
              </w:rPr>
            </w:pPr>
            <w:r>
              <w:rPr>
                <w:rFonts w:hint="eastAsia" w:ascii="宋体" w:hAnsi="宋体" w:cs="Calibri"/>
                <w:snapToGrid w:val="0"/>
                <w:kern w:val="0"/>
                <w:sz w:val="22"/>
              </w:rPr>
              <w:t>3、</w:t>
            </w:r>
            <w:r>
              <w:rPr>
                <w:rFonts w:hint="eastAsia" w:hAnsi="宋体" w:cs="宋体"/>
                <w:b/>
                <w:sz w:val="22"/>
              </w:rPr>
              <w:t>★法定代表人授权委托</w:t>
            </w:r>
            <w:r>
              <w:rPr>
                <w:rFonts w:hAnsi="宋体" w:cs="宋体"/>
                <w:b/>
                <w:sz w:val="22"/>
              </w:rPr>
              <w:t>代理人投标的，</w:t>
            </w:r>
            <w:r>
              <w:rPr>
                <w:rFonts w:hint="eastAsia" w:hAnsi="宋体" w:cs="宋体"/>
                <w:b/>
                <w:sz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rPr>
              <w:t>)</w:t>
            </w:r>
            <w:r>
              <w:rPr>
                <w:rFonts w:hint="eastAsia" w:hAnsi="宋体" w:cs="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50"/>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2" w:name="_Toc26216"/>
    </w:p>
    <w:p>
      <w:pPr>
        <w:autoSpaceDE w:val="0"/>
        <w:autoSpaceDN w:val="0"/>
        <w:adjustRightInd w:val="0"/>
        <w:snapToGrid w:val="0"/>
        <w:spacing w:line="360" w:lineRule="exact"/>
        <w:rPr>
          <w:rFonts w:ascii="宋体" w:hAnsi="宋体" w:cs="Calibri"/>
          <w:b/>
          <w:bCs/>
          <w:kern w:val="0"/>
          <w:sz w:val="22"/>
        </w:rPr>
      </w:pPr>
      <w:r>
        <w:rPr>
          <w:b/>
        </w:rPr>
        <w:br w:type="page"/>
      </w:r>
      <w:bookmarkEnd w:id="2"/>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1.1 项目概况</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1.1.2项目</w:t>
      </w:r>
      <w:r>
        <w:rPr>
          <w:rFonts w:hint="eastAsia" w:ascii="宋体" w:hAnsi="宋体" w:cs="Calibri"/>
          <w:color w:val="000000"/>
          <w:kern w:val="0"/>
          <w:sz w:val="22"/>
        </w:rPr>
        <w:t>交货</w:t>
      </w:r>
      <w:r>
        <w:rPr>
          <w:rFonts w:ascii="宋体" w:hAnsi="宋体" w:cs="Calibri"/>
          <w:color w:val="000000"/>
          <w:kern w:val="0"/>
          <w:sz w:val="22"/>
        </w:rPr>
        <w:t>地点见投标人须知前附表</w:t>
      </w:r>
      <w:r>
        <w:rPr>
          <w:rFonts w:ascii="宋体" w:hAnsi="宋体" w:cs="Calibri"/>
          <w:color w:val="000000"/>
          <w:sz w:val="22"/>
        </w:rPr>
        <w:t>。</w:t>
      </w:r>
    </w:p>
    <w:p>
      <w:pPr>
        <w:autoSpaceDE w:val="0"/>
        <w:autoSpaceDN w:val="0"/>
        <w:adjustRightInd w:val="0"/>
        <w:snapToGrid w:val="0"/>
        <w:spacing w:line="360" w:lineRule="exact"/>
        <w:rPr>
          <w:rFonts w:ascii="宋体" w:hAnsi="宋体" w:cs="Calibri"/>
          <w:b/>
          <w:bCs/>
          <w:kern w:val="0"/>
          <w:sz w:val="22"/>
        </w:rPr>
      </w:pPr>
      <w:bookmarkStart w:id="3"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4"/>
      <w:r>
        <w:rPr>
          <w:rFonts w:hint="eastAsia" w:ascii="宋体" w:hAnsi="宋体" w:cs="Calibri"/>
          <w:b/>
          <w:bCs/>
          <w:kern w:val="0"/>
          <w:sz w:val="22"/>
        </w:rPr>
        <w:t>内容</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5"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5"/>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6"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7"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8"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w:t>
      </w:r>
      <w:r>
        <w:rPr>
          <w:rFonts w:hint="eastAsia" w:ascii="宋体" w:hAnsi="宋体" w:cs="Calibri"/>
          <w:b/>
          <w:bCs/>
          <w:kern w:val="0"/>
          <w:sz w:val="22"/>
        </w:rPr>
        <w:t>供货</w:t>
      </w:r>
      <w:r>
        <w:rPr>
          <w:rFonts w:ascii="宋体" w:hAnsi="宋体" w:cs="Calibri"/>
          <w:b/>
          <w:bCs/>
          <w:kern w:val="0"/>
          <w:sz w:val="22"/>
        </w:rPr>
        <w:t>期</w:t>
      </w:r>
      <w:bookmarkEnd w:id="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rPr>
          <w:rFonts w:ascii="宋体" w:hAnsi="宋体" w:cs="Calibri"/>
          <w:color w:val="000000"/>
          <w:sz w:val="22"/>
        </w:rPr>
      </w:pPr>
      <w:bookmarkStart w:id="9" w:name="_Toc13907"/>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9"/>
    </w:p>
    <w:p>
      <w:pPr>
        <w:adjustRightInd w:val="0"/>
        <w:snapToGrid w:val="0"/>
        <w:spacing w:line="360" w:lineRule="exact"/>
        <w:ind w:firstLine="440"/>
        <w:rPr>
          <w:rFonts w:ascii="宋体" w:hAnsi="宋体" w:cs="Calibri"/>
          <w:color w:val="000000"/>
          <w:sz w:val="22"/>
        </w:rPr>
      </w:pPr>
      <w:r>
        <w:rPr>
          <w:rFonts w:hint="eastAsia" w:ascii="宋体" w:hAnsi="宋体" w:cs="Calibri"/>
          <w:sz w:val="22"/>
        </w:rPr>
        <w:t>不踏勘现场</w:t>
      </w:r>
    </w:p>
    <w:p>
      <w:pPr>
        <w:autoSpaceDE w:val="0"/>
        <w:autoSpaceDN w:val="0"/>
        <w:adjustRightInd w:val="0"/>
        <w:snapToGrid w:val="0"/>
        <w:spacing w:line="360" w:lineRule="exact"/>
        <w:rPr>
          <w:rFonts w:ascii="宋体" w:hAnsi="宋体" w:cs="Calibri"/>
          <w:b/>
          <w:bCs/>
          <w:kern w:val="0"/>
          <w:sz w:val="22"/>
        </w:rPr>
      </w:pPr>
      <w:bookmarkStart w:id="10"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1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1"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1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本项目</w:t>
      </w:r>
      <w:r>
        <w:rPr>
          <w:rFonts w:hint="eastAsia" w:ascii="宋体" w:hAnsi="宋体" w:cs="Calibri"/>
          <w:color w:val="000000"/>
          <w:sz w:val="22"/>
        </w:rPr>
        <w:t>涉及到其它专业的部分分项工作</w:t>
      </w:r>
      <w:r>
        <w:rPr>
          <w:rFonts w:ascii="宋体" w:hAnsi="宋体" w:cs="Calibri"/>
          <w:color w:val="000000"/>
          <w:sz w:val="22"/>
        </w:rPr>
        <w:t>允许分包。</w:t>
      </w:r>
    </w:p>
    <w:p>
      <w:pPr>
        <w:autoSpaceDE w:val="0"/>
        <w:autoSpaceDN w:val="0"/>
        <w:adjustRightInd w:val="0"/>
        <w:snapToGrid w:val="0"/>
        <w:spacing w:line="360" w:lineRule="exact"/>
        <w:rPr>
          <w:rFonts w:ascii="宋体" w:hAnsi="宋体" w:cs="Calibri"/>
          <w:b/>
          <w:bCs/>
          <w:kern w:val="0"/>
          <w:sz w:val="22"/>
        </w:rPr>
      </w:pPr>
      <w:bookmarkStart w:id="12"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12"/>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13" w:name="_Toc15241"/>
      <w:bookmarkStart w:id="14" w:name="_Toc143421657"/>
      <w:r>
        <w:rPr>
          <w:rFonts w:ascii="宋体" w:hAnsi="宋体" w:cs="Calibri"/>
          <w:b/>
          <w:bCs/>
          <w:kern w:val="0"/>
          <w:sz w:val="22"/>
        </w:rPr>
        <w:t>2.招标文件</w:t>
      </w:r>
      <w:bookmarkEnd w:id="13"/>
      <w:bookmarkEnd w:id="14"/>
    </w:p>
    <w:p>
      <w:pPr>
        <w:autoSpaceDE w:val="0"/>
        <w:autoSpaceDN w:val="0"/>
        <w:adjustRightInd w:val="0"/>
        <w:snapToGrid w:val="0"/>
        <w:spacing w:line="360" w:lineRule="exact"/>
        <w:rPr>
          <w:rFonts w:ascii="宋体" w:hAnsi="宋体" w:cs="Calibri"/>
          <w:b/>
          <w:bCs/>
          <w:kern w:val="0"/>
          <w:sz w:val="22"/>
        </w:rPr>
      </w:pPr>
      <w:bookmarkStart w:id="15" w:name="_Toc1426"/>
      <w:r>
        <w:rPr>
          <w:rFonts w:ascii="宋体" w:hAnsi="宋体" w:cs="Calibri"/>
          <w:b/>
          <w:bCs/>
          <w:kern w:val="0"/>
          <w:sz w:val="22"/>
        </w:rPr>
        <w:t>2.1 招标文件的组成</w:t>
      </w:r>
      <w:bookmarkEnd w:id="15"/>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rPr>
          <w:rFonts w:ascii="宋体" w:hAnsi="宋体" w:cs="Calibri"/>
          <w:kern w:val="0"/>
          <w:sz w:val="22"/>
        </w:rPr>
      </w:pPr>
      <w:r>
        <w:rPr>
          <w:rFonts w:ascii="宋体" w:hAnsi="宋体" w:cs="Calibri"/>
          <w:kern w:val="0"/>
          <w:sz w:val="22"/>
        </w:rPr>
        <w:t>（3）货物需求一览表及技术规格</w:t>
      </w:r>
    </w:p>
    <w:p>
      <w:pPr>
        <w:adjustRightInd w:val="0"/>
        <w:snapToGrid w:val="0"/>
        <w:spacing w:line="360" w:lineRule="exact"/>
        <w:ind w:firstLine="440"/>
        <w:rPr>
          <w:rFonts w:ascii="宋体" w:hAnsi="宋体" w:cs="Calibri"/>
          <w:kern w:val="0"/>
          <w:sz w:val="22"/>
        </w:rPr>
      </w:pPr>
      <w:r>
        <w:rPr>
          <w:rFonts w:ascii="宋体" w:hAnsi="宋体" w:cs="Calibri"/>
          <w:kern w:val="0"/>
          <w:sz w:val="22"/>
        </w:rPr>
        <w:t>（4）合同条款</w:t>
      </w:r>
    </w:p>
    <w:p>
      <w:pPr>
        <w:adjustRightInd w:val="0"/>
        <w:snapToGrid w:val="0"/>
        <w:spacing w:line="360" w:lineRule="exact"/>
        <w:ind w:firstLine="440"/>
        <w:rPr>
          <w:rFonts w:ascii="宋体" w:hAnsi="宋体" w:cs="Calibri"/>
          <w:kern w:val="0"/>
          <w:sz w:val="22"/>
        </w:rPr>
      </w:pPr>
      <w:r>
        <w:rPr>
          <w:rFonts w:ascii="宋体" w:hAnsi="宋体" w:cs="Calibri"/>
          <w:kern w:val="0"/>
          <w:sz w:val="22"/>
        </w:rPr>
        <w:t>（5）评标办法</w:t>
      </w:r>
      <w:r>
        <w:rPr>
          <w:rFonts w:hint="eastAsia" w:ascii="宋体" w:hAnsi="宋体" w:cs="Calibri"/>
          <w:kern w:val="0"/>
          <w:sz w:val="22"/>
        </w:rPr>
        <w:t>及标准</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16" w:name="_Toc18230"/>
      <w:r>
        <w:rPr>
          <w:rFonts w:ascii="宋体" w:hAnsi="宋体" w:cs="Calibri"/>
          <w:b/>
          <w:bCs/>
          <w:kern w:val="0"/>
          <w:sz w:val="22"/>
        </w:rPr>
        <w:t>2.2 招标文件的澄清</w:t>
      </w:r>
      <w:bookmarkEnd w:id="1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cs="Calibri"/>
          <w:color w:val="000000"/>
          <w:szCs w:val="21"/>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bookmarkStart w:id="17" w:name="_Toc18303"/>
      <w:r>
        <w:rPr>
          <w:rFonts w:ascii="宋体" w:hAnsi="宋体" w:cs="Calibri"/>
          <w:b/>
          <w:bCs/>
          <w:kern w:val="0"/>
          <w:sz w:val="22"/>
        </w:rPr>
        <w:t>2.3 招标文件的修改</w:t>
      </w:r>
      <w:bookmarkEnd w:id="17"/>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utoSpaceDE w:val="0"/>
        <w:autoSpaceDN w:val="0"/>
        <w:adjustRightInd w:val="0"/>
        <w:snapToGrid w:val="0"/>
        <w:spacing w:line="360" w:lineRule="exact"/>
        <w:rPr>
          <w:rFonts w:ascii="宋体" w:hAnsi="宋体" w:cs="Calibri"/>
          <w:b/>
          <w:bCs/>
          <w:kern w:val="0"/>
          <w:sz w:val="22"/>
        </w:rPr>
      </w:pPr>
      <w:bookmarkStart w:id="18" w:name="_Toc143421658"/>
      <w:bookmarkStart w:id="19" w:name="_Toc18870"/>
      <w:r>
        <w:rPr>
          <w:rFonts w:ascii="宋体" w:hAnsi="宋体" w:cs="Calibri"/>
          <w:b/>
          <w:bCs/>
          <w:kern w:val="0"/>
          <w:sz w:val="22"/>
        </w:rPr>
        <w:t>3.投标文件</w:t>
      </w:r>
      <w:bookmarkEnd w:id="18"/>
      <w:bookmarkEnd w:id="19"/>
    </w:p>
    <w:p>
      <w:pPr>
        <w:autoSpaceDE w:val="0"/>
        <w:autoSpaceDN w:val="0"/>
        <w:adjustRightInd w:val="0"/>
        <w:snapToGrid w:val="0"/>
        <w:spacing w:line="360" w:lineRule="exact"/>
        <w:rPr>
          <w:rFonts w:ascii="宋体" w:hAnsi="宋体" w:cs="Calibri"/>
          <w:b/>
          <w:bCs/>
          <w:kern w:val="0"/>
          <w:sz w:val="22"/>
        </w:rPr>
      </w:pPr>
      <w:bookmarkStart w:id="20" w:name="_Toc461"/>
      <w:r>
        <w:rPr>
          <w:rFonts w:ascii="宋体" w:hAnsi="宋体" w:cs="Calibri"/>
          <w:b/>
          <w:bCs/>
          <w:kern w:val="0"/>
          <w:sz w:val="22"/>
        </w:rPr>
        <w:t>3.1 投标文件的语言和计量单位</w:t>
      </w:r>
      <w:bookmarkEnd w:id="20"/>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“销售</w:t>
      </w:r>
      <w:r>
        <w:rPr>
          <w:rFonts w:hint="eastAsia" w:ascii="宋体" w:hAnsi="宋体" w:cs="Calibri"/>
          <w:kern w:val="0"/>
          <w:sz w:val="22"/>
        </w:rPr>
        <w:t>（供货）</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1" w:name="_Toc1411"/>
      <w:r>
        <w:rPr>
          <w:rFonts w:ascii="宋体" w:hAnsi="宋体" w:cs="Calibri"/>
          <w:b/>
          <w:bCs/>
          <w:kern w:val="0"/>
          <w:sz w:val="22"/>
        </w:rPr>
        <w:t>3.2 投标文件的组成</w:t>
      </w:r>
      <w:bookmarkEnd w:id="21"/>
    </w:p>
    <w:p>
      <w:pPr>
        <w:adjustRightInd w:val="0"/>
        <w:snapToGrid w:val="0"/>
        <w:spacing w:line="360" w:lineRule="exact"/>
        <w:ind w:firstLine="440"/>
        <w:rPr>
          <w:rFonts w:ascii="宋体" w:hAnsi="宋体" w:cs="Calibri"/>
          <w:sz w:val="22"/>
        </w:rPr>
      </w:pPr>
      <w:bookmarkStart w:id="22" w:name="_Toc32225"/>
      <w:r>
        <w:rPr>
          <w:rFonts w:ascii="宋体" w:hAnsi="宋体" w:cs="Calibri"/>
          <w:sz w:val="22"/>
        </w:rPr>
        <w:t>3.2.1投标函；</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2</w:t>
      </w:r>
      <w:r>
        <w:rPr>
          <w:rFonts w:ascii="宋体" w:hAnsi="宋体" w:cs="Calibri"/>
          <w:color w:val="000000"/>
          <w:sz w:val="22"/>
        </w:rPr>
        <w:t>法定代表人资格证明书；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3</w:t>
      </w:r>
      <w:r>
        <w:rPr>
          <w:rFonts w:ascii="宋体" w:hAnsi="宋体" w:cs="Calibri"/>
          <w:color w:val="000000"/>
          <w:sz w:val="22"/>
        </w:rPr>
        <w:t>授权委托书</w:t>
      </w:r>
      <w:r>
        <w:rPr>
          <w:rFonts w:hint="eastAsia" w:ascii="宋体" w:hAnsi="宋体" w:cs="Calibri"/>
          <w:color w:val="000000"/>
          <w:sz w:val="22"/>
        </w:rPr>
        <w:t>，</w:t>
      </w:r>
      <w:r>
        <w:rPr>
          <w:rFonts w:hint="eastAsia" w:hAnsi="宋体" w:cs="宋体"/>
          <w:b/>
          <w:sz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rPr>
        <w:t>)</w:t>
      </w:r>
      <w:r>
        <w:rPr>
          <w:rFonts w:hAnsi="宋体" w:cs="宋体"/>
          <w:sz w:val="22"/>
        </w:rPr>
        <w:t>；</w:t>
      </w:r>
      <w:r>
        <w:rPr>
          <w:rFonts w:ascii="宋体" w:hAnsi="宋体" w:cs="Calibri"/>
          <w:color w:val="000000"/>
          <w:sz w:val="22"/>
        </w:rPr>
        <w:t>；</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4</w:t>
      </w:r>
      <w:r>
        <w:rPr>
          <w:rFonts w:ascii="宋体" w:hAnsi="宋体" w:cs="Calibri"/>
          <w:color w:val="000000"/>
          <w:sz w:val="22"/>
        </w:rPr>
        <w:t xml:space="preserve"> 投标报价表；</w:t>
      </w:r>
    </w:p>
    <w:p>
      <w:pPr>
        <w:adjustRightInd w:val="0"/>
        <w:snapToGrid w:val="0"/>
        <w:spacing w:line="360" w:lineRule="exact"/>
        <w:ind w:firstLine="440"/>
        <w:rPr>
          <w:rFonts w:ascii="宋体" w:hAnsi="宋体" w:cs="Calibri"/>
          <w:sz w:val="22"/>
        </w:rPr>
      </w:pPr>
      <w:r>
        <w:rPr>
          <w:rFonts w:ascii="宋体" w:hAnsi="宋体" w:cs="Calibri"/>
          <w:sz w:val="22"/>
        </w:rPr>
        <w:t>3.2.5投标人资格证明文件：</w:t>
      </w:r>
    </w:p>
    <w:p>
      <w:pPr>
        <w:adjustRightInd w:val="0"/>
        <w:snapToGrid w:val="0"/>
        <w:spacing w:line="360" w:lineRule="exact"/>
        <w:ind w:firstLine="44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360" w:lineRule="exact"/>
        <w:ind w:firstLine="44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360" w:lineRule="exact"/>
        <w:ind w:firstLine="44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360" w:lineRule="exact"/>
        <w:ind w:firstLine="44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360" w:lineRule="exact"/>
        <w:ind w:firstLine="440"/>
        <w:rPr>
          <w:rFonts w:ascii="宋体" w:hAnsi="宋体" w:cs="宋体"/>
          <w:sz w:val="22"/>
        </w:rPr>
      </w:pPr>
      <w:r>
        <w:rPr>
          <w:rFonts w:ascii="宋体" w:hAnsi="宋体" w:cs="Calibri"/>
          <w:sz w:val="22"/>
        </w:rPr>
        <w:t>3.2.6</w:t>
      </w:r>
      <w:r>
        <w:rPr>
          <w:rFonts w:hint="eastAsia" w:ascii="宋体" w:hAnsi="宋体" w:cs="宋体"/>
          <w:sz w:val="22"/>
        </w:rPr>
        <w:t>技术规格偏离表；</w:t>
      </w:r>
    </w:p>
    <w:p>
      <w:pPr>
        <w:adjustRightInd w:val="0"/>
        <w:snapToGrid w:val="0"/>
        <w:spacing w:line="360" w:lineRule="exact"/>
        <w:ind w:firstLine="440"/>
        <w:rPr>
          <w:rFonts w:ascii="宋体" w:hAnsi="宋体" w:cs="Calibri"/>
          <w:sz w:val="22"/>
        </w:rPr>
      </w:pPr>
      <w:r>
        <w:rPr>
          <w:rFonts w:hint="eastAsia" w:ascii="宋体" w:hAnsi="宋体" w:cs="宋体"/>
          <w:sz w:val="22"/>
        </w:rPr>
        <w:t>3.2.7 商务条款响应偏离表；</w:t>
      </w:r>
    </w:p>
    <w:p>
      <w:pPr>
        <w:adjustRightInd w:val="0"/>
        <w:snapToGrid w:val="0"/>
        <w:spacing w:line="360" w:lineRule="exact"/>
        <w:ind w:firstLine="440"/>
        <w:rPr>
          <w:rFonts w:ascii="宋体" w:hAnsi="宋体" w:cs="宋体"/>
          <w:sz w:val="22"/>
        </w:rPr>
      </w:pPr>
      <w:r>
        <w:rPr>
          <w:rFonts w:hint="eastAsia" w:ascii="宋体" w:hAnsi="宋体" w:cs="宋体"/>
          <w:sz w:val="22"/>
        </w:rPr>
        <w:t>3.2.8系统设备供货范围（包括设备数量、型号规格、产地、品牌），进口零部件详细清单（需说明产地、品牌）；</w:t>
      </w:r>
    </w:p>
    <w:p>
      <w:pPr>
        <w:adjustRightInd w:val="0"/>
        <w:snapToGrid w:val="0"/>
        <w:spacing w:line="360" w:lineRule="exact"/>
        <w:ind w:firstLine="440"/>
        <w:rPr>
          <w:rFonts w:ascii="宋体" w:hAnsi="宋体" w:cs="宋体"/>
          <w:sz w:val="22"/>
        </w:rPr>
      </w:pPr>
      <w:r>
        <w:rPr>
          <w:rFonts w:hint="eastAsia" w:ascii="宋体" w:hAnsi="宋体" w:cs="宋体"/>
          <w:sz w:val="22"/>
        </w:rPr>
        <w:t>3.2.9技术参数、结构及性能特点等产品技术规格书；</w:t>
      </w:r>
    </w:p>
    <w:p>
      <w:pPr>
        <w:adjustRightInd w:val="0"/>
        <w:snapToGrid w:val="0"/>
        <w:spacing w:line="360" w:lineRule="exact"/>
        <w:ind w:firstLine="440"/>
        <w:rPr>
          <w:rFonts w:ascii="宋体" w:hAnsi="宋体" w:cs="宋体"/>
          <w:sz w:val="22"/>
        </w:rPr>
      </w:pPr>
      <w:r>
        <w:rPr>
          <w:rFonts w:hint="eastAsia" w:ascii="宋体" w:hAnsi="宋体" w:cs="宋体"/>
          <w:sz w:val="22"/>
        </w:rPr>
        <w:t>3.2.10主要原材料及部件性能和生产厂家；</w:t>
      </w:r>
    </w:p>
    <w:p>
      <w:pPr>
        <w:adjustRightInd w:val="0"/>
        <w:snapToGrid w:val="0"/>
        <w:spacing w:line="360" w:lineRule="exact"/>
        <w:ind w:firstLine="440"/>
        <w:rPr>
          <w:rFonts w:ascii="宋体" w:hAnsi="宋体" w:cs="宋体"/>
          <w:sz w:val="22"/>
        </w:rPr>
      </w:pPr>
      <w:r>
        <w:rPr>
          <w:rFonts w:hint="eastAsia" w:ascii="宋体" w:hAnsi="宋体" w:cs="宋体"/>
          <w:sz w:val="22"/>
        </w:rPr>
        <w:t>3.2.11产品制造、安装、验收标准和验收方法；</w:t>
      </w:r>
    </w:p>
    <w:p>
      <w:pPr>
        <w:adjustRightInd w:val="0"/>
        <w:snapToGrid w:val="0"/>
        <w:spacing w:line="360" w:lineRule="exact"/>
        <w:ind w:firstLine="440"/>
        <w:rPr>
          <w:rFonts w:ascii="宋体" w:hAnsi="宋体" w:cs="宋体"/>
          <w:sz w:val="22"/>
        </w:rPr>
      </w:pPr>
      <w:r>
        <w:rPr>
          <w:rFonts w:hint="eastAsia" w:ascii="宋体" w:hAnsi="宋体" w:cs="宋体"/>
          <w:sz w:val="22"/>
        </w:rPr>
        <w:t>3.2.12现场指导、调试；</w:t>
      </w:r>
    </w:p>
    <w:p>
      <w:pPr>
        <w:adjustRightInd w:val="0"/>
        <w:snapToGrid w:val="0"/>
        <w:spacing w:line="360" w:lineRule="exact"/>
        <w:ind w:firstLine="440"/>
        <w:rPr>
          <w:rFonts w:ascii="宋体" w:hAnsi="宋体" w:cs="宋体"/>
          <w:sz w:val="22"/>
        </w:rPr>
      </w:pPr>
      <w:r>
        <w:rPr>
          <w:rFonts w:hint="eastAsia" w:ascii="宋体" w:hAnsi="宋体" w:cs="宋体"/>
          <w:sz w:val="22"/>
        </w:rPr>
        <w:t>3.2.13</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360" w:lineRule="exact"/>
        <w:ind w:firstLine="440"/>
        <w:rPr>
          <w:rFonts w:ascii="宋体" w:hAnsi="宋体" w:cs="宋体"/>
          <w:sz w:val="22"/>
        </w:rPr>
      </w:pPr>
      <w:r>
        <w:rPr>
          <w:rFonts w:hint="eastAsia" w:ascii="宋体" w:hAnsi="宋体" w:cs="宋体"/>
          <w:sz w:val="22"/>
        </w:rPr>
        <w:t>3.2.14提供详细的培训计划，包括培训内容、培训时间、培训人数等；</w:t>
      </w:r>
    </w:p>
    <w:p>
      <w:pPr>
        <w:adjustRightInd w:val="0"/>
        <w:snapToGrid w:val="0"/>
        <w:spacing w:line="360" w:lineRule="exact"/>
        <w:ind w:firstLine="440"/>
        <w:rPr>
          <w:rFonts w:ascii="宋体" w:hAnsi="宋体" w:cs="宋体"/>
          <w:sz w:val="22"/>
        </w:rPr>
      </w:pPr>
      <w:r>
        <w:rPr>
          <w:rFonts w:hint="eastAsia" w:ascii="宋体" w:hAnsi="宋体" w:cs="宋体"/>
          <w:sz w:val="22"/>
        </w:rPr>
        <w:t>3.2.15关于质量保证期的说明；</w:t>
      </w:r>
    </w:p>
    <w:p>
      <w:pPr>
        <w:adjustRightInd w:val="0"/>
        <w:snapToGrid w:val="0"/>
        <w:spacing w:line="360" w:lineRule="exact"/>
        <w:ind w:firstLine="440"/>
        <w:rPr>
          <w:rFonts w:ascii="宋体" w:hAnsi="宋体" w:cs="宋体"/>
          <w:sz w:val="22"/>
        </w:rPr>
      </w:pPr>
      <w:r>
        <w:rPr>
          <w:rFonts w:hint="eastAsia" w:ascii="宋体" w:hAnsi="宋体" w:cs="宋体"/>
          <w:sz w:val="22"/>
        </w:rPr>
        <w:t>3.2.16优惠条件：投标人承诺给予用户的其他优惠条款，包括付款条件、培训服务、质量保证期等方面的优惠；</w:t>
      </w:r>
    </w:p>
    <w:p>
      <w:pPr>
        <w:adjustRightInd w:val="0"/>
        <w:snapToGrid w:val="0"/>
        <w:spacing w:line="360" w:lineRule="exact"/>
        <w:ind w:firstLine="440"/>
        <w:rPr>
          <w:rFonts w:ascii="宋体" w:hAnsi="宋体" w:cs="宋体"/>
          <w:sz w:val="22"/>
        </w:rPr>
      </w:pPr>
      <w:r>
        <w:rPr>
          <w:rFonts w:hint="eastAsia" w:ascii="宋体" w:hAnsi="宋体" w:cs="宋体"/>
          <w:sz w:val="22"/>
        </w:rPr>
        <w:t>3.2.17</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2"/>
    </w:p>
    <w:p>
      <w:pPr>
        <w:adjustRightInd w:val="0"/>
        <w:snapToGrid w:val="0"/>
        <w:spacing w:line="360" w:lineRule="exact"/>
        <w:ind w:firstLine="440"/>
        <w:rPr>
          <w:rFonts w:ascii="宋体" w:hAnsi="宋体" w:cs="Calibri"/>
          <w:sz w:val="22"/>
        </w:rPr>
      </w:pPr>
      <w:bookmarkStart w:id="23" w:name="_Toc13307"/>
      <w:r>
        <w:rPr>
          <w:rFonts w:ascii="宋体" w:hAnsi="宋体" w:cs="Calibri"/>
          <w:sz w:val="22"/>
        </w:rPr>
        <w:t>3.3.1</w:t>
      </w:r>
      <w:r>
        <w:rPr>
          <w:rFonts w:hint="eastAsia" w:ascii="宋体" w:hAnsi="宋体" w:cs="宋体"/>
          <w:sz w:val="22"/>
        </w:rPr>
        <w:t>投标人递交的投标函及投标报价表中的投标总价必须一致。</w:t>
      </w:r>
      <w:r>
        <w:rPr>
          <w:rFonts w:ascii="宋体" w:hAnsi="宋体" w:cs="Calibri"/>
          <w:sz w:val="22"/>
        </w:rPr>
        <w:t>投标人对该项目只允许有一个总报价，招标人不接受任何有选择的报价及修正报价；</w:t>
      </w:r>
    </w:p>
    <w:p>
      <w:pPr>
        <w:adjustRightInd w:val="0"/>
        <w:snapToGrid w:val="0"/>
        <w:spacing w:line="360" w:lineRule="exact"/>
        <w:ind w:firstLine="440"/>
        <w:rPr>
          <w:rFonts w:ascii="宋体" w:hAnsi="宋体" w:cs="宋体"/>
          <w:bCs/>
          <w:sz w:val="22"/>
        </w:rPr>
      </w:pPr>
      <w:r>
        <w:rPr>
          <w:rFonts w:ascii="宋体" w:hAnsi="宋体" w:cs="Calibri"/>
          <w:sz w:val="22"/>
        </w:rPr>
        <w:t>3.3.</w:t>
      </w:r>
      <w:r>
        <w:rPr>
          <w:rFonts w:hint="eastAsia" w:ascii="宋体" w:hAnsi="宋体" w:cs="Calibri"/>
          <w:sz w:val="22"/>
        </w:rPr>
        <w:t>2</w:t>
      </w:r>
      <w:r>
        <w:rPr>
          <w:rFonts w:hint="eastAsia" w:ascii="宋体" w:hAnsi="宋体" w:cs="宋体"/>
          <w:sz w:val="22"/>
        </w:rPr>
        <w:t>投标人所报投标总价应为投标人为完成本项目所发生的一切费用（包含并不限于货物</w:t>
      </w:r>
      <w:r>
        <w:rPr>
          <w:rFonts w:ascii="宋体" w:hAnsi="宋体" w:cs="宋体"/>
          <w:sz w:val="22"/>
        </w:rPr>
        <w:t>的</w:t>
      </w:r>
      <w:r>
        <w:rPr>
          <w:rFonts w:hint="eastAsia" w:ascii="宋体" w:hAnsi="宋体" w:cs="宋体"/>
          <w:sz w:val="22"/>
        </w:rPr>
        <w:t>供货、运输（包括送至招标人指定地点卸车）、包装费、保险费、税费、验收、技术培训及售后服务等）</w:t>
      </w:r>
      <w:r>
        <w:rPr>
          <w:rFonts w:ascii="宋体" w:hAnsi="宋体" w:cs="宋体"/>
          <w:sz w:val="22"/>
        </w:rPr>
        <w:t>，包括</w:t>
      </w:r>
      <w:r>
        <w:rPr>
          <w:rFonts w:hint="eastAsia" w:ascii="宋体" w:hAnsi="宋体" w:cs="宋体"/>
          <w:sz w:val="22"/>
        </w:rPr>
        <w:t>货物供货</w:t>
      </w:r>
      <w:r>
        <w:rPr>
          <w:rFonts w:ascii="宋体" w:hAnsi="宋体" w:cs="宋体"/>
          <w:sz w:val="22"/>
        </w:rPr>
        <w:t>及相关服务等全过程产生的所有成本和费用以及一切税费</w:t>
      </w:r>
      <w:r>
        <w:rPr>
          <w:rFonts w:ascii="宋体" w:hAnsi="宋体" w:cs="Calibri"/>
          <w:sz w:val="22"/>
        </w:rPr>
        <w:t>；</w:t>
      </w:r>
      <w:r>
        <w:rPr>
          <w:rFonts w:ascii="宋体" w:hAnsi="宋体" w:cs="宋体"/>
          <w:bCs/>
          <w:sz w:val="22"/>
        </w:rPr>
        <w:t xml:space="preserve"> </w:t>
      </w:r>
    </w:p>
    <w:p>
      <w:pPr>
        <w:adjustRightInd w:val="0"/>
        <w:snapToGrid w:val="0"/>
        <w:spacing w:line="360" w:lineRule="exact"/>
        <w:ind w:firstLine="440"/>
        <w:rPr>
          <w:rFonts w:ascii="宋体" w:hAnsi="宋体" w:cs="宋体"/>
          <w:sz w:val="22"/>
        </w:rPr>
      </w:pPr>
      <w:r>
        <w:rPr>
          <w:rFonts w:ascii="宋体" w:hAnsi="宋体" w:cs="Calibri"/>
          <w:sz w:val="22"/>
        </w:rPr>
        <w:t>3.3.</w:t>
      </w:r>
      <w:r>
        <w:rPr>
          <w:rFonts w:hint="eastAsia" w:ascii="宋体" w:hAnsi="宋体" w:cs="Calibri"/>
          <w:sz w:val="22"/>
        </w:rPr>
        <w:t>3</w:t>
      </w:r>
      <w:r>
        <w:rPr>
          <w:rFonts w:hint="eastAsia" w:ascii="宋体" w:hAnsi="宋体" w:cs="宋体"/>
          <w:sz w:val="22"/>
        </w:rPr>
        <w:t>投标人应按“投标报价表”的要求报价，在投标报价表上写明拟提供货物的单价和总价；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4</w:t>
      </w:r>
      <w:r>
        <w:rPr>
          <w:rFonts w:hint="eastAsia" w:ascii="宋体" w:hAnsi="宋体" w:cs="宋体"/>
          <w:sz w:val="22"/>
        </w:rPr>
        <w:t>如果投标人认为为圆满完成本项目还有其他需要单独计价的配合工作，则应列明具体的细目和金额。所有与本项目有关的未列入“投标报价表”的工作内容，均被认为已经包含在其他细目及投标总价中。</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5投标人(如中标)在投标文件中提供的货物清单和报价将是签订合同的唯一依据，其报价在本次投标有效期内不能发生改变（</w:t>
      </w:r>
      <w:r>
        <w:rPr>
          <w:rFonts w:hint="eastAsia" w:ascii="宋体" w:hAnsi="宋体" w:cs="宋体"/>
          <w:sz w:val="22"/>
        </w:rPr>
        <w:t>招标人变更除外）</w:t>
      </w:r>
      <w:r>
        <w:rPr>
          <w:rFonts w:hint="eastAsia" w:ascii="宋体" w:hAnsi="宋体" w:cs="Calibri"/>
          <w:sz w:val="22"/>
        </w:rPr>
        <w:t>。如有改变，招标人将拒绝与其签订合同。</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6投标人对每种货物只允许有一个报价。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7招标人不接受任何折扣优惠报价，不接受任何赠送和选择性报价。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8所有根据合同或其它原因应由投标人支付的税款和其它应交纳的费用都要包括在投标人提交的投标价格中。</w:t>
      </w:r>
    </w:p>
    <w:p>
      <w:pPr>
        <w:adjustRightInd w:val="0"/>
        <w:snapToGrid w:val="0"/>
        <w:spacing w:line="360" w:lineRule="exact"/>
        <w:ind w:firstLine="440"/>
        <w:rPr>
          <w:rFonts w:ascii="宋体" w:hAnsi="宋体" w:cs="Calibri"/>
          <w:sz w:val="22"/>
        </w:rPr>
      </w:pPr>
      <w:r>
        <w:rPr>
          <w:rFonts w:hint="eastAsia" w:ascii="宋体" w:hAnsi="宋体" w:cs="Calibri"/>
          <w:sz w:val="22"/>
        </w:rPr>
        <w:t>3.3.9其它须在报价中考虑的因素：</w:t>
      </w:r>
    </w:p>
    <w:p>
      <w:pPr>
        <w:adjustRightInd w:val="0"/>
        <w:snapToGrid w:val="0"/>
        <w:spacing w:line="360" w:lineRule="exact"/>
        <w:ind w:firstLine="440"/>
        <w:rPr>
          <w:rFonts w:ascii="宋体" w:hAnsi="宋体" w:cs="Calibri"/>
          <w:sz w:val="22"/>
        </w:rPr>
      </w:pPr>
      <w:r>
        <w:rPr>
          <w:rFonts w:hint="eastAsia" w:ascii="宋体" w:hAnsi="宋体" w:cs="Calibri"/>
          <w:sz w:val="22"/>
        </w:rPr>
        <w:t>（1）本项目在安装期间，应注意保护好招标人现有成品，如有损坏，须无条件修复至招标人满意，各投标人须自行考虑相关费用并计入投标总价且一次性包干。</w:t>
      </w:r>
    </w:p>
    <w:p>
      <w:pPr>
        <w:adjustRightInd w:val="0"/>
        <w:snapToGrid w:val="0"/>
        <w:spacing w:line="360" w:lineRule="exact"/>
        <w:ind w:firstLine="440"/>
        <w:rPr>
          <w:rFonts w:ascii="宋体" w:hAnsi="宋体" w:cs="Calibri"/>
          <w:sz w:val="22"/>
        </w:rPr>
      </w:pPr>
      <w:r>
        <w:rPr>
          <w:rFonts w:hint="eastAsia" w:ascii="宋体" w:hAnsi="宋体" w:cs="Calibri"/>
          <w:sz w:val="22"/>
        </w:rPr>
        <w:t>（2）交付验收前产品的保护费由投标人自行考虑并计入总价。</w:t>
      </w:r>
    </w:p>
    <w:p>
      <w:pPr>
        <w:adjustRightInd w:val="0"/>
        <w:snapToGrid w:val="0"/>
        <w:spacing w:line="360" w:lineRule="exact"/>
        <w:ind w:firstLine="440"/>
        <w:rPr>
          <w:rFonts w:ascii="宋体" w:hAnsi="宋体" w:cs="Calibri"/>
          <w:sz w:val="22"/>
        </w:rPr>
      </w:pPr>
      <w:r>
        <w:rPr>
          <w:rFonts w:hint="eastAsia" w:ascii="宋体" w:hAnsi="宋体" w:cs="Calibri"/>
          <w:sz w:val="22"/>
        </w:rPr>
        <w:t>（3）投标人安装过程中需自行负责现场人员生命、财产安全，自行解决与现场人员的劳务关系纠纷，可能产生的费用计入投标总价。</w:t>
      </w:r>
    </w:p>
    <w:p>
      <w:pPr>
        <w:adjustRightInd w:val="0"/>
        <w:snapToGrid w:val="0"/>
        <w:spacing w:line="360" w:lineRule="exact"/>
        <w:ind w:firstLine="440"/>
        <w:rPr>
          <w:rFonts w:ascii="宋体" w:hAnsi="宋体" w:cs="Calibri"/>
          <w:sz w:val="22"/>
        </w:rPr>
      </w:pPr>
      <w:r>
        <w:rPr>
          <w:rFonts w:hint="eastAsia" w:ascii="宋体" w:hAnsi="宋体" w:cs="Calibri"/>
          <w:sz w:val="22"/>
        </w:rPr>
        <w:t>3.3.10</w:t>
      </w:r>
      <w:r>
        <w:rPr>
          <w:rFonts w:hint="eastAsia" w:ascii="宋体" w:hAnsi="宋体" w:cs="Calibri"/>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ascii="宋体" w:hAnsi="宋体" w:cs="Calibri"/>
          <w:b/>
          <w:color w:val="000000"/>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3"/>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4" w:name="_Toc30464"/>
      <w:r>
        <w:rPr>
          <w:rFonts w:ascii="宋体" w:hAnsi="宋体" w:cs="Calibri"/>
          <w:b/>
          <w:bCs/>
          <w:kern w:val="0"/>
          <w:sz w:val="22"/>
        </w:rPr>
        <w:t>3.5 投标保证金</w:t>
      </w:r>
      <w:bookmarkEnd w:id="24"/>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3.5.2招标人与中标人签订合同书后5日内，应当向未中标的投标人和中标人退还投标保证金。</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5" w:name="_Toc29989"/>
      <w:r>
        <w:rPr>
          <w:rFonts w:ascii="宋体" w:hAnsi="宋体" w:cs="Calibri"/>
          <w:b/>
          <w:bCs/>
          <w:kern w:val="0"/>
          <w:sz w:val="22"/>
        </w:rPr>
        <w:t>3.6 投标文件的编制</w:t>
      </w:r>
      <w:bookmarkEnd w:id="25"/>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供货期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供货期</w:t>
      </w:r>
      <w:r>
        <w:rPr>
          <w:rFonts w:ascii="宋体" w:hAnsi="宋体" w:cs="Calibri"/>
          <w:kern w:val="0"/>
          <w:sz w:val="22"/>
        </w:rPr>
        <w:t>、投标有效期、招标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6" w:name="_Toc143421659"/>
    </w:p>
    <w:p>
      <w:pPr>
        <w:autoSpaceDE w:val="0"/>
        <w:autoSpaceDN w:val="0"/>
        <w:adjustRightInd w:val="0"/>
        <w:snapToGrid w:val="0"/>
        <w:spacing w:line="360" w:lineRule="exact"/>
        <w:rPr>
          <w:rFonts w:ascii="宋体" w:hAnsi="宋体" w:cs="Calibri"/>
          <w:b/>
          <w:bCs/>
          <w:kern w:val="0"/>
          <w:sz w:val="22"/>
        </w:rPr>
      </w:pPr>
      <w:bookmarkStart w:id="27" w:name="_Toc32652"/>
      <w:r>
        <w:rPr>
          <w:rFonts w:ascii="宋体" w:hAnsi="宋体" w:cs="Calibri"/>
          <w:b/>
          <w:bCs/>
          <w:kern w:val="0"/>
          <w:sz w:val="22"/>
        </w:rPr>
        <w:t>4.投标</w:t>
      </w:r>
      <w:bookmarkEnd w:id="26"/>
      <w:bookmarkEnd w:id="27"/>
    </w:p>
    <w:p>
      <w:pPr>
        <w:autoSpaceDE w:val="0"/>
        <w:autoSpaceDN w:val="0"/>
        <w:adjustRightInd w:val="0"/>
        <w:snapToGrid w:val="0"/>
        <w:spacing w:line="360" w:lineRule="exact"/>
        <w:rPr>
          <w:rFonts w:ascii="宋体" w:hAnsi="宋体" w:cs="Calibri"/>
          <w:b/>
          <w:bCs/>
          <w:kern w:val="0"/>
          <w:sz w:val="22"/>
        </w:rPr>
      </w:pPr>
      <w:bookmarkStart w:id="28" w:name="_Toc649"/>
      <w:r>
        <w:rPr>
          <w:rFonts w:ascii="宋体" w:hAnsi="宋体" w:cs="Calibri"/>
          <w:b/>
          <w:bCs/>
          <w:kern w:val="0"/>
          <w:sz w:val="22"/>
        </w:rPr>
        <w:t>4.1 投标文件的密封和标识</w:t>
      </w:r>
      <w:bookmarkEnd w:id="28"/>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29" w:name="_Toc16616"/>
      <w:r>
        <w:rPr>
          <w:rFonts w:ascii="宋体" w:hAnsi="宋体" w:cs="Calibri"/>
          <w:b/>
          <w:bCs/>
          <w:kern w:val="0"/>
          <w:sz w:val="22"/>
        </w:rPr>
        <w:t xml:space="preserve">4.2 投标文件的递交 </w:t>
      </w:r>
      <w:bookmarkEnd w:id="29"/>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0" w:name="_Toc26099"/>
      <w:r>
        <w:rPr>
          <w:rFonts w:ascii="宋体" w:hAnsi="宋体" w:cs="Calibri"/>
          <w:b/>
          <w:bCs/>
          <w:kern w:val="0"/>
          <w:sz w:val="22"/>
        </w:rPr>
        <w:t>4.3 投标文件的修改和撤回</w:t>
      </w:r>
      <w:bookmarkEnd w:id="30"/>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1" w:name="_Toc29641"/>
      <w:r>
        <w:rPr>
          <w:rFonts w:ascii="宋体" w:hAnsi="宋体" w:cs="Calibri"/>
          <w:b/>
          <w:bCs/>
          <w:kern w:val="0"/>
          <w:sz w:val="22"/>
        </w:rPr>
        <w:t>5.开标</w:t>
      </w:r>
      <w:bookmarkEnd w:id="31"/>
    </w:p>
    <w:p>
      <w:pPr>
        <w:autoSpaceDE w:val="0"/>
        <w:autoSpaceDN w:val="0"/>
        <w:adjustRightInd w:val="0"/>
        <w:snapToGrid w:val="0"/>
        <w:spacing w:line="360" w:lineRule="exact"/>
        <w:rPr>
          <w:rFonts w:ascii="宋体" w:hAnsi="宋体" w:cs="Calibri"/>
          <w:b/>
          <w:bCs/>
          <w:kern w:val="0"/>
          <w:sz w:val="22"/>
        </w:rPr>
      </w:pPr>
      <w:bookmarkStart w:id="32" w:name="_Toc15123"/>
      <w:r>
        <w:rPr>
          <w:rFonts w:ascii="宋体" w:hAnsi="宋体" w:cs="Calibri"/>
          <w:b/>
          <w:bCs/>
          <w:kern w:val="0"/>
          <w:sz w:val="22"/>
        </w:rPr>
        <w:t>5.1 开标时间和地点</w:t>
      </w:r>
      <w:bookmarkEnd w:id="32"/>
    </w:p>
    <w:p>
      <w:pPr>
        <w:adjustRightInd w:val="0"/>
        <w:snapToGrid w:val="0"/>
        <w:spacing w:line="360" w:lineRule="exact"/>
        <w:ind w:firstLine="440"/>
        <w:rPr>
          <w:rFonts w:ascii="宋体" w:hAnsi="宋体" w:cs="Calibri"/>
          <w:sz w:val="22"/>
        </w:rPr>
      </w:pPr>
      <w:r>
        <w:rPr>
          <w:rFonts w:ascii="宋体" w:hAnsi="宋体" w:cs="Calibri"/>
          <w:sz w:val="22"/>
        </w:rPr>
        <w:t>5.1.1</w:t>
      </w:r>
      <w:r>
        <w:rPr>
          <w:rFonts w:hint="eastAsia" w:ascii="宋体" w:hAnsi="宋体" w:cs="Calibri"/>
          <w:sz w:val="22"/>
        </w:rPr>
        <w:t>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w:t>
      </w:r>
      <w:r>
        <w:rPr>
          <w:rFonts w:ascii="宋体" w:hAnsi="宋体" w:cs="Calibri"/>
          <w:sz w:val="22"/>
        </w:rPr>
        <w:t>社保证明</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3" w:name="_Toc7101"/>
      <w:r>
        <w:rPr>
          <w:rFonts w:ascii="宋体" w:hAnsi="宋体" w:cs="Calibri"/>
          <w:b/>
          <w:bCs/>
          <w:kern w:val="0"/>
          <w:sz w:val="22"/>
        </w:rPr>
        <w:t>5.2 开标程序</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供货期</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4" w:name="_Toc31578"/>
      <w:r>
        <w:rPr>
          <w:rFonts w:ascii="宋体" w:hAnsi="宋体" w:cs="Calibri"/>
          <w:b/>
          <w:bCs/>
          <w:kern w:val="0"/>
          <w:sz w:val="22"/>
        </w:rPr>
        <w:t>6.评标</w:t>
      </w:r>
      <w:bookmarkEnd w:id="34"/>
    </w:p>
    <w:p>
      <w:pPr>
        <w:autoSpaceDE w:val="0"/>
        <w:autoSpaceDN w:val="0"/>
        <w:adjustRightInd w:val="0"/>
        <w:snapToGrid w:val="0"/>
        <w:spacing w:line="360" w:lineRule="exact"/>
        <w:rPr>
          <w:rFonts w:ascii="宋体" w:hAnsi="宋体" w:cs="Calibri"/>
          <w:b/>
          <w:bCs/>
          <w:kern w:val="0"/>
          <w:sz w:val="22"/>
        </w:rPr>
      </w:pPr>
      <w:bookmarkStart w:id="35" w:name="_Toc10279"/>
      <w:r>
        <w:rPr>
          <w:rFonts w:ascii="宋体" w:hAnsi="宋体" w:cs="Calibri"/>
          <w:b/>
          <w:bCs/>
          <w:kern w:val="0"/>
          <w:sz w:val="22"/>
        </w:rPr>
        <w:t>6.1 评标委员会</w:t>
      </w:r>
      <w:bookmarkEnd w:id="35"/>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6" w:name="_Toc3460"/>
      <w:r>
        <w:rPr>
          <w:rFonts w:ascii="宋体" w:hAnsi="宋体" w:cs="Calibri"/>
          <w:b/>
          <w:bCs/>
          <w:kern w:val="0"/>
          <w:sz w:val="22"/>
        </w:rPr>
        <w:t>6.2 评标原则</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37" w:name="_Toc28178"/>
      <w:r>
        <w:rPr>
          <w:rFonts w:ascii="宋体" w:hAnsi="宋体" w:cs="Calibri"/>
          <w:b/>
          <w:bCs/>
          <w:kern w:val="0"/>
          <w:sz w:val="22"/>
        </w:rPr>
        <w:t>6.3 评标</w:t>
      </w:r>
      <w:bookmarkEnd w:id="37"/>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38" w:name="_Toc24237"/>
      <w:r>
        <w:rPr>
          <w:rFonts w:ascii="宋体" w:hAnsi="宋体" w:cs="Calibri"/>
          <w:b/>
          <w:bCs/>
          <w:kern w:val="0"/>
          <w:sz w:val="22"/>
        </w:rPr>
        <w:t>7.合同授予</w:t>
      </w:r>
      <w:bookmarkEnd w:id="38"/>
    </w:p>
    <w:p>
      <w:pPr>
        <w:autoSpaceDE w:val="0"/>
        <w:autoSpaceDN w:val="0"/>
        <w:adjustRightInd w:val="0"/>
        <w:snapToGrid w:val="0"/>
        <w:spacing w:line="360" w:lineRule="exact"/>
        <w:rPr>
          <w:rFonts w:ascii="宋体" w:hAnsi="宋体" w:cs="Calibri"/>
          <w:b/>
          <w:bCs/>
          <w:kern w:val="0"/>
          <w:sz w:val="22"/>
        </w:rPr>
      </w:pPr>
      <w:bookmarkStart w:id="39" w:name="_Toc18809"/>
      <w:r>
        <w:rPr>
          <w:rFonts w:ascii="宋体" w:hAnsi="宋体" w:cs="Calibri"/>
          <w:b/>
          <w:bCs/>
          <w:kern w:val="0"/>
          <w:sz w:val="22"/>
        </w:rPr>
        <w:t>7.1 定标方式</w:t>
      </w:r>
      <w:bookmarkEnd w:id="39"/>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0" w:name="_Toc14573"/>
      <w:r>
        <w:rPr>
          <w:rFonts w:ascii="宋体" w:hAnsi="宋体" w:cs="Calibri"/>
          <w:b/>
          <w:bCs/>
          <w:kern w:val="0"/>
          <w:sz w:val="22"/>
        </w:rPr>
        <w:t>7.2 中标通知</w:t>
      </w:r>
      <w:bookmarkEnd w:id="40"/>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在投标人须知第3.4款规定的投标有效期内，招标人以书面形式向中标人发出中标通知书，同时将中标结果通知未中标的投标人。</w:t>
      </w:r>
    </w:p>
    <w:p>
      <w:pPr>
        <w:autoSpaceDE w:val="0"/>
        <w:autoSpaceDN w:val="0"/>
        <w:adjustRightInd w:val="0"/>
        <w:snapToGrid w:val="0"/>
        <w:spacing w:line="360" w:lineRule="exact"/>
        <w:rPr>
          <w:rFonts w:ascii="宋体" w:hAnsi="宋体" w:cs="Calibri"/>
          <w:b/>
          <w:bCs/>
          <w:kern w:val="0"/>
          <w:sz w:val="22"/>
        </w:rPr>
      </w:pPr>
      <w:bookmarkStart w:id="41" w:name="_Toc27132"/>
      <w:r>
        <w:rPr>
          <w:rFonts w:ascii="宋体" w:hAnsi="宋体" w:cs="Calibri"/>
          <w:b/>
          <w:bCs/>
          <w:kern w:val="0"/>
          <w:sz w:val="22"/>
        </w:rPr>
        <w:t>7.3 履约</w:t>
      </w:r>
      <w:r>
        <w:rPr>
          <w:rFonts w:hint="eastAsia" w:ascii="宋体" w:hAnsi="宋体" w:cs="Calibri"/>
          <w:b/>
          <w:bCs/>
          <w:kern w:val="0"/>
          <w:sz w:val="22"/>
        </w:rPr>
        <w:t>保证金</w:t>
      </w:r>
      <w:bookmarkEnd w:id="41"/>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2" w:name="_Toc27581"/>
      <w:r>
        <w:rPr>
          <w:rFonts w:ascii="宋体" w:hAnsi="宋体" w:cs="Calibri"/>
          <w:b/>
          <w:bCs/>
          <w:kern w:val="0"/>
          <w:sz w:val="22"/>
        </w:rPr>
        <w:t>7.4 签订合同</w:t>
      </w:r>
      <w:bookmarkEnd w:id="42"/>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3" w:name="_Toc11806"/>
      <w:bookmarkStart w:id="44" w:name="_Toc220123241"/>
      <w:bookmarkStart w:id="45" w:name="_Toc219809801"/>
      <w:r>
        <w:rPr>
          <w:rFonts w:ascii="宋体" w:hAnsi="宋体" w:cs="Calibri"/>
          <w:kern w:val="0"/>
          <w:sz w:val="22"/>
        </w:rPr>
        <w:t>.4.1招标人和中标人应当自中标通知书发出之日起30个工作日内订立书面</w:t>
      </w:r>
      <w:r>
        <w:rPr>
          <w:rFonts w:hint="eastAsia" w:ascii="宋体" w:hAnsi="宋体" w:cs="Calibri"/>
          <w:kern w:val="0"/>
          <w:sz w:val="22"/>
        </w:rPr>
        <w:t>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cs="Calibri"/>
          <w:b/>
          <w:color w:val="000000"/>
          <w:kern w:val="0"/>
          <w:sz w:val="22"/>
        </w:rPr>
      </w:pPr>
      <w:r>
        <w:rPr>
          <w:rFonts w:hint="eastAsia" w:ascii="宋体" w:hAnsi="宋体" w:cs="Calibri"/>
          <w:color w:val="000000"/>
          <w:kern w:val="0"/>
          <w:sz w:val="22"/>
        </w:rPr>
        <w:t xml:space="preserve">7.4.3 </w:t>
      </w:r>
      <w:r>
        <w:rPr>
          <w:rFonts w:hint="eastAsia" w:ascii="宋体" w:hAnsi="宋体" w:cs="Calibri"/>
          <w:b/>
          <w:color w:val="000000"/>
          <w:kern w:val="0"/>
          <w:sz w:val="22"/>
        </w:rPr>
        <w:t>招标人在授予合同有权对本项目的服务内容等予以增加或者减少，中标人不得提出异议，否则招标人有权取消其中标资格。</w:t>
      </w:r>
    </w:p>
    <w:p>
      <w:pPr>
        <w:adjustRightInd w:val="0"/>
        <w:snapToGrid w:val="0"/>
        <w:spacing w:line="360" w:lineRule="exact"/>
        <w:ind w:firstLine="440"/>
        <w:rPr>
          <w:rFonts w:ascii="宋体" w:hAnsi="宋体" w:cs="Calibri"/>
          <w:kern w:val="0"/>
          <w:sz w:val="22"/>
        </w:rPr>
      </w:pPr>
      <w:r>
        <w:rPr>
          <w:rFonts w:hint="eastAsia" w:ascii="宋体" w:hAnsi="宋体" w:cs="Calibri"/>
          <w:color w:val="000000"/>
          <w:kern w:val="0"/>
          <w:sz w:val="22"/>
        </w:rPr>
        <w:t xml:space="preserve">7.4.4 </w:t>
      </w:r>
      <w:r>
        <w:rPr>
          <w:rFonts w:hint="eastAsia" w:ascii="宋体" w:hAnsi="宋体" w:cs="Calibri"/>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3"/>
      <w:bookmarkEnd w:id="44"/>
      <w:bookmarkEnd w:id="45"/>
    </w:p>
    <w:p>
      <w:pPr>
        <w:autoSpaceDE w:val="0"/>
        <w:autoSpaceDN w:val="0"/>
        <w:adjustRightInd w:val="0"/>
        <w:snapToGrid w:val="0"/>
        <w:spacing w:line="360" w:lineRule="exact"/>
        <w:rPr>
          <w:rFonts w:ascii="宋体" w:hAnsi="宋体" w:cs="Calibri"/>
          <w:b/>
          <w:bCs/>
          <w:kern w:val="0"/>
          <w:sz w:val="22"/>
        </w:rPr>
      </w:pPr>
      <w:bookmarkStart w:id="46" w:name="_Toc220123242"/>
      <w:bookmarkStart w:id="47" w:name="_Toc15553"/>
      <w:bookmarkStart w:id="48" w:name="_Toc219809802"/>
      <w:r>
        <w:rPr>
          <w:rFonts w:ascii="宋体" w:hAnsi="宋体" w:cs="Calibri"/>
          <w:b/>
          <w:bCs/>
          <w:kern w:val="0"/>
          <w:sz w:val="22"/>
        </w:rPr>
        <w:t>8.1 重新招标</w:t>
      </w:r>
      <w:bookmarkEnd w:id="46"/>
      <w:bookmarkEnd w:id="47"/>
      <w:bookmarkEnd w:id="48"/>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49" w:name="_Toc18806"/>
      <w:bookmarkStart w:id="50" w:name="_Toc220123243"/>
      <w:bookmarkStart w:id="51" w:name="_Toc219809803"/>
      <w:r>
        <w:rPr>
          <w:rFonts w:ascii="宋体" w:hAnsi="宋体" w:cs="Calibri"/>
          <w:b/>
          <w:bCs/>
          <w:kern w:val="0"/>
          <w:sz w:val="22"/>
        </w:rPr>
        <w:t>8.2 不再招标</w:t>
      </w:r>
      <w:bookmarkEnd w:id="49"/>
      <w:bookmarkEnd w:id="50"/>
      <w:bookmarkEnd w:id="51"/>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2" w:name="_Toc2986"/>
      <w:bookmarkStart w:id="53" w:name="_Toc219809804"/>
      <w:bookmarkStart w:id="54" w:name="_Toc215941254"/>
      <w:bookmarkStart w:id="55" w:name="_Toc220123244"/>
      <w:r>
        <w:rPr>
          <w:rFonts w:ascii="宋体" w:hAnsi="宋体" w:cs="Calibri"/>
          <w:b/>
          <w:bCs/>
          <w:kern w:val="0"/>
          <w:sz w:val="22"/>
        </w:rPr>
        <w:t>9.纪律和监督</w:t>
      </w:r>
      <w:bookmarkEnd w:id="52"/>
      <w:bookmarkEnd w:id="53"/>
      <w:bookmarkEnd w:id="54"/>
      <w:bookmarkEnd w:id="55"/>
    </w:p>
    <w:p>
      <w:pPr>
        <w:autoSpaceDE w:val="0"/>
        <w:autoSpaceDN w:val="0"/>
        <w:adjustRightInd w:val="0"/>
        <w:snapToGrid w:val="0"/>
        <w:spacing w:line="360" w:lineRule="exact"/>
        <w:rPr>
          <w:rFonts w:ascii="宋体" w:hAnsi="宋体" w:cs="Calibri"/>
          <w:b/>
          <w:bCs/>
          <w:kern w:val="0"/>
          <w:sz w:val="22"/>
        </w:rPr>
      </w:pPr>
      <w:bookmarkStart w:id="56" w:name="_Toc219809805"/>
      <w:bookmarkStart w:id="57" w:name="_Toc220123245"/>
      <w:bookmarkStart w:id="58" w:name="_Toc5509"/>
      <w:r>
        <w:rPr>
          <w:rFonts w:ascii="宋体" w:hAnsi="宋体" w:cs="Calibri"/>
          <w:b/>
          <w:bCs/>
          <w:kern w:val="0"/>
          <w:sz w:val="22"/>
        </w:rPr>
        <w:t>9.1 对招标人的纪律要求</w:t>
      </w:r>
      <w:bookmarkEnd w:id="56"/>
      <w:bookmarkEnd w:id="57"/>
      <w:bookmarkEnd w:id="5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59" w:name="_Toc220123246"/>
      <w:bookmarkStart w:id="60" w:name="_Toc10820"/>
      <w:bookmarkStart w:id="61" w:name="_Toc219809806"/>
      <w:r>
        <w:rPr>
          <w:rFonts w:ascii="宋体" w:hAnsi="宋体" w:cs="Calibri"/>
          <w:b/>
          <w:bCs/>
          <w:kern w:val="0"/>
          <w:sz w:val="22"/>
        </w:rPr>
        <w:t>9.2 对投标人的纪律要求</w:t>
      </w:r>
      <w:bookmarkEnd w:id="59"/>
      <w:bookmarkEnd w:id="60"/>
      <w:bookmarkEnd w:id="6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b/>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2" w:name="_Toc220123247"/>
      <w:bookmarkStart w:id="63" w:name="_Toc219809807"/>
      <w:bookmarkStart w:id="64" w:name="_Toc10756"/>
      <w:r>
        <w:rPr>
          <w:rFonts w:ascii="宋体" w:hAnsi="宋体" w:cs="Calibri"/>
          <w:b/>
          <w:bCs/>
          <w:kern w:val="0"/>
          <w:sz w:val="22"/>
        </w:rPr>
        <w:t>9.3 对评标委员会成员的纪律要求</w:t>
      </w:r>
      <w:bookmarkEnd w:id="62"/>
      <w:bookmarkEnd w:id="63"/>
      <w:bookmarkEnd w:id="6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cs="Calibri"/>
          <w:color w:val="000000"/>
          <w:sz w:val="22"/>
        </w:rPr>
        <w:t>五</w:t>
      </w:r>
      <w:r>
        <w:rPr>
          <w:rFonts w:ascii="宋体" w:hAnsi="宋体" w:cs="Calibri"/>
          <w:color w:val="000000"/>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5" w:name="_Toc219809808"/>
      <w:bookmarkStart w:id="66" w:name="_Toc220123248"/>
      <w:bookmarkStart w:id="67" w:name="_Toc12792"/>
      <w:r>
        <w:rPr>
          <w:rFonts w:ascii="宋体" w:hAnsi="宋体" w:cs="Calibri"/>
          <w:b/>
          <w:bCs/>
          <w:kern w:val="0"/>
          <w:sz w:val="22"/>
        </w:rPr>
        <w:t>9.4 对评标活动有关的工作人员的纪律要求</w:t>
      </w:r>
      <w:bookmarkEnd w:id="65"/>
      <w:bookmarkEnd w:id="66"/>
      <w:bookmarkEnd w:id="6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与评标活动有关的工作人员不得收受他人的财</w:t>
      </w:r>
      <w:r>
        <w:rPr>
          <w:rFonts w:hint="eastAsia" w:ascii="宋体" w:hAnsi="宋体" w:cs="Calibri"/>
          <w:color w:val="000000"/>
          <w:sz w:val="22"/>
        </w:rPr>
        <w:t>物</w:t>
      </w:r>
      <w:r>
        <w:rPr>
          <w:rFonts w:ascii="宋体" w:hAnsi="宋体" w:cs="Calibri"/>
          <w:color w:val="000000"/>
          <w:sz w:val="22"/>
        </w:rPr>
        <w:t>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68" w:name="_Toc219809809"/>
      <w:bookmarkStart w:id="69" w:name="_Toc220123249"/>
      <w:bookmarkStart w:id="70" w:name="_Toc239"/>
      <w:r>
        <w:rPr>
          <w:rFonts w:ascii="宋体" w:hAnsi="宋体" w:cs="Calibri"/>
          <w:b/>
          <w:bCs/>
          <w:kern w:val="0"/>
          <w:sz w:val="22"/>
        </w:rPr>
        <w:t>9.5 投诉</w:t>
      </w:r>
      <w:bookmarkEnd w:id="68"/>
      <w:bookmarkEnd w:id="69"/>
      <w:bookmarkEnd w:id="7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1" w:name="_Toc10817"/>
      <w:r>
        <w:rPr>
          <w:rFonts w:ascii="宋体" w:hAnsi="宋体" w:cs="Calibri"/>
          <w:b/>
          <w:bCs/>
          <w:kern w:val="0"/>
          <w:sz w:val="22"/>
        </w:rPr>
        <w:t>10. 需要补充的其他内容</w:t>
      </w:r>
      <w:bookmarkEnd w:id="71"/>
    </w:p>
    <w:p>
      <w:pPr>
        <w:autoSpaceDE w:val="0"/>
        <w:autoSpaceDN w:val="0"/>
        <w:adjustRightInd w:val="0"/>
        <w:snapToGrid w:val="0"/>
        <w:spacing w:line="360" w:lineRule="exact"/>
        <w:ind w:firstLine="440"/>
        <w:jc w:val="left"/>
        <w:rPr>
          <w:rFonts w:ascii="宋体" w:hAnsi="宋体" w:cs="Calibri"/>
          <w:color w:val="000000"/>
          <w:sz w:val="22"/>
        </w:rPr>
      </w:pPr>
      <w:r>
        <w:rPr>
          <w:rFonts w:ascii="宋体" w:hAnsi="宋体" w:cs="Calibri"/>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51"/>
      </w:pPr>
      <w:r>
        <w:rPr>
          <w:sz w:val="24"/>
        </w:rPr>
        <w:br w:type="page"/>
      </w:r>
      <w:bookmarkStart w:id="72" w:name="_Toc321925453"/>
      <w:r>
        <w:t>第</w:t>
      </w:r>
      <w:r>
        <w:rPr>
          <w:rFonts w:hint="eastAsia"/>
        </w:rPr>
        <w:t>三</w:t>
      </w:r>
      <w:r>
        <w:t>章  货物需求一览表及技术规格</w:t>
      </w:r>
      <w:bookmarkEnd w:id="72"/>
    </w:p>
    <w:p>
      <w:pPr>
        <w:spacing w:line="400" w:lineRule="exact"/>
        <w:rPr>
          <w:rFonts w:ascii="宋体" w:hAnsi="宋体"/>
          <w:b/>
          <w:color w:val="000000"/>
          <w:sz w:val="22"/>
        </w:rPr>
      </w:pPr>
      <w:r>
        <w:rPr>
          <w:rFonts w:ascii="宋体" w:hAnsi="宋体"/>
          <w:b/>
          <w:color w:val="000000"/>
          <w:sz w:val="22"/>
        </w:rPr>
        <w:t>一、总则</w:t>
      </w:r>
    </w:p>
    <w:p>
      <w:pPr>
        <w:spacing w:line="400" w:lineRule="exact"/>
        <w:ind w:firstLine="440" w:firstLineChars="200"/>
        <w:rPr>
          <w:rFonts w:ascii="宋体" w:hAnsi="宋体"/>
          <w:color w:val="000000"/>
          <w:sz w:val="22"/>
        </w:rPr>
      </w:pPr>
      <w:r>
        <w:rPr>
          <w:rFonts w:ascii="宋体" w:hAnsi="宋体"/>
          <w:color w:val="000000"/>
          <w:sz w:val="22"/>
        </w:rPr>
        <w:t>1.1 本技术规格书是招标文件的组成部分。内容包括杭州萧山国际机场有限公司所需主力泡沫消防车的基本规格、条款、资料及有关文件。</w:t>
      </w:r>
    </w:p>
    <w:p>
      <w:pPr>
        <w:spacing w:line="400" w:lineRule="exact"/>
        <w:ind w:firstLine="440" w:firstLineChars="200"/>
        <w:rPr>
          <w:rFonts w:ascii="宋体" w:hAnsi="宋体"/>
          <w:color w:val="000000"/>
          <w:sz w:val="22"/>
        </w:rPr>
      </w:pPr>
      <w:r>
        <w:rPr>
          <w:rFonts w:ascii="宋体" w:hAnsi="宋体"/>
          <w:color w:val="000000"/>
          <w:sz w:val="22"/>
        </w:rPr>
        <w:t xml:space="preserve">1.2 </w:t>
      </w:r>
      <w:r>
        <w:rPr>
          <w:rFonts w:hint="eastAsia" w:ascii="宋体" w:hAnsi="宋体"/>
          <w:color w:val="000000"/>
          <w:sz w:val="22"/>
        </w:rPr>
        <w:t>投标人应提供技术稳定成熟的并已被广泛使用的合格产品和配置</w:t>
      </w:r>
      <w:r>
        <w:rPr>
          <w:rFonts w:ascii="宋体" w:hAnsi="宋体"/>
          <w:color w:val="000000"/>
          <w:sz w:val="22"/>
        </w:rPr>
        <w:t>。</w:t>
      </w:r>
    </w:p>
    <w:p>
      <w:pPr>
        <w:spacing w:line="400" w:lineRule="exact"/>
        <w:ind w:firstLine="442" w:firstLineChars="200"/>
        <w:rPr>
          <w:rFonts w:ascii="宋体" w:hAnsi="宋体"/>
          <w:b/>
          <w:color w:val="000000"/>
          <w:sz w:val="22"/>
        </w:rPr>
      </w:pPr>
      <w:r>
        <w:rPr>
          <w:rFonts w:hint="eastAsia" w:ascii="宋体" w:hAnsi="宋体"/>
          <w:b/>
          <w:color w:val="000000"/>
          <w:sz w:val="22"/>
        </w:rPr>
        <w:t>★1.3</w:t>
      </w:r>
      <w:r>
        <w:rPr>
          <w:rFonts w:ascii="宋体" w:hAnsi="宋体"/>
          <w:b/>
          <w:color w:val="000000"/>
          <w:sz w:val="22"/>
        </w:rPr>
        <w:t>投标的车辆及其所有零部件、配件和附件必须是全新并未经使用过的。</w:t>
      </w:r>
    </w:p>
    <w:p>
      <w:pPr>
        <w:spacing w:line="400" w:lineRule="exact"/>
        <w:ind w:firstLine="440" w:firstLineChars="200"/>
        <w:rPr>
          <w:rFonts w:ascii="宋体" w:hAnsi="宋体"/>
          <w:color w:val="000000"/>
          <w:sz w:val="22"/>
        </w:rPr>
      </w:pPr>
      <w:r>
        <w:rPr>
          <w:rFonts w:ascii="宋体" w:hAnsi="宋体"/>
          <w:color w:val="000000"/>
          <w:sz w:val="22"/>
        </w:rPr>
        <w:t>1.</w:t>
      </w:r>
      <w:r>
        <w:rPr>
          <w:rFonts w:hint="eastAsia" w:ascii="宋体" w:hAnsi="宋体"/>
          <w:color w:val="000000"/>
          <w:sz w:val="22"/>
        </w:rPr>
        <w:t>4</w:t>
      </w:r>
      <w:r>
        <w:rPr>
          <w:rFonts w:ascii="宋体" w:hAnsi="宋体"/>
          <w:color w:val="000000"/>
          <w:sz w:val="22"/>
        </w:rPr>
        <w:t xml:space="preserve"> 本规格书仅指出对主力泡沫消防车的基本技术和功能要求。投标人应根据投标车辆的技术发展状况，采用优良的制造工艺和生产标准，完成投标车辆的设计和制造，向招标人提供先进、完整、全新的主力泡沫消防车，并保证符合本规格书的要求。</w:t>
      </w:r>
    </w:p>
    <w:p>
      <w:pPr>
        <w:spacing w:line="400" w:lineRule="exact"/>
        <w:ind w:firstLine="440" w:firstLineChars="200"/>
        <w:rPr>
          <w:rFonts w:ascii="宋体" w:hAnsi="宋体"/>
          <w:color w:val="000000"/>
          <w:sz w:val="22"/>
        </w:rPr>
      </w:pPr>
      <w:r>
        <w:rPr>
          <w:rFonts w:ascii="宋体" w:hAnsi="宋体"/>
          <w:color w:val="000000"/>
          <w:sz w:val="22"/>
        </w:rPr>
        <w:t>1.5 投标人应在投标书中列表标明投标车辆的各项性能指标，任何偏差必须列入偏差表。中标后</w:t>
      </w:r>
      <w:r>
        <w:rPr>
          <w:rFonts w:hint="eastAsia" w:ascii="宋体" w:hAnsi="宋体"/>
          <w:color w:val="000000"/>
          <w:sz w:val="22"/>
        </w:rPr>
        <w:t>投标人</w:t>
      </w:r>
      <w:r>
        <w:rPr>
          <w:rFonts w:ascii="宋体" w:hAnsi="宋体"/>
          <w:color w:val="000000"/>
          <w:sz w:val="22"/>
        </w:rPr>
        <w:t>在合同谈判中的任何偏差不得超越此偏差表中已被招标人确认的条款。</w:t>
      </w:r>
    </w:p>
    <w:p>
      <w:pPr>
        <w:spacing w:line="400" w:lineRule="exact"/>
        <w:ind w:firstLine="440" w:firstLineChars="200"/>
        <w:rPr>
          <w:rFonts w:ascii="宋体" w:hAnsi="宋体"/>
          <w:color w:val="000000"/>
          <w:sz w:val="22"/>
        </w:rPr>
      </w:pPr>
      <w:r>
        <w:rPr>
          <w:rFonts w:ascii="宋体" w:hAnsi="宋体"/>
          <w:color w:val="000000"/>
          <w:sz w:val="22"/>
        </w:rPr>
        <w:t>1.6 投标人必须对投标内容和提供的产品所涉及的有关机械、电气、仪表、工艺等方面的一切专利承担责任，并负责保护招标人的利益不受任何损害。一切由于文字、商标、软件和技术专利等方面的侵权而引起的法律裁决、诉讼和费用均由投标人负责。</w:t>
      </w:r>
    </w:p>
    <w:p>
      <w:pPr>
        <w:spacing w:line="400" w:lineRule="exact"/>
        <w:ind w:firstLine="442" w:firstLineChars="200"/>
        <w:rPr>
          <w:rFonts w:ascii="宋体" w:hAnsi="宋体"/>
          <w:b/>
          <w:color w:val="000000"/>
          <w:sz w:val="22"/>
        </w:rPr>
      </w:pPr>
      <w:r>
        <w:rPr>
          <w:rFonts w:hint="eastAsia" w:ascii="宋体" w:hAnsi="宋体"/>
          <w:b/>
          <w:color w:val="000000"/>
          <w:sz w:val="22"/>
        </w:rPr>
        <w:t>★1.7投标文件需对本章技术条款作列表一对一应答，要求真实、准确，应答无论符合与否都要给出具体、详细的技术数据和说明，不能以“满足”或“符合”进行应答，否则评标委员会有权将其视为相关条目不能满足招标文件要求。</w:t>
      </w:r>
    </w:p>
    <w:p>
      <w:pPr>
        <w:spacing w:line="400" w:lineRule="exact"/>
        <w:rPr>
          <w:rFonts w:ascii="宋体" w:hAnsi="宋体"/>
          <w:b/>
          <w:color w:val="000000"/>
          <w:sz w:val="22"/>
        </w:rPr>
      </w:pPr>
      <w:r>
        <w:rPr>
          <w:rFonts w:ascii="宋体" w:hAnsi="宋体"/>
          <w:b/>
          <w:color w:val="000000"/>
          <w:sz w:val="22"/>
        </w:rPr>
        <w:t>二、工作范围</w:t>
      </w:r>
    </w:p>
    <w:p>
      <w:pPr>
        <w:spacing w:line="400" w:lineRule="exact"/>
        <w:ind w:firstLine="440" w:firstLineChars="200"/>
        <w:rPr>
          <w:rFonts w:ascii="宋体" w:hAnsi="宋体"/>
          <w:color w:val="000000"/>
          <w:sz w:val="22"/>
        </w:rPr>
      </w:pPr>
      <w:r>
        <w:rPr>
          <w:rFonts w:ascii="宋体" w:hAnsi="宋体"/>
          <w:color w:val="000000"/>
          <w:sz w:val="22"/>
        </w:rPr>
        <w:t>2.1 投标人需按本规格书的要求完成本次招标范围内车辆的设计、制造、测试、运输、调试、试运行、验收、产品保护、售后服务和其他相关工作；</w:t>
      </w:r>
    </w:p>
    <w:p>
      <w:pPr>
        <w:spacing w:line="400" w:lineRule="exact"/>
        <w:ind w:firstLine="440" w:firstLineChars="200"/>
        <w:rPr>
          <w:rFonts w:ascii="宋体" w:hAnsi="宋体"/>
          <w:color w:val="000000"/>
          <w:sz w:val="22"/>
        </w:rPr>
      </w:pPr>
      <w:r>
        <w:rPr>
          <w:rFonts w:ascii="宋体" w:hAnsi="宋体"/>
          <w:color w:val="000000"/>
          <w:sz w:val="22"/>
        </w:rPr>
        <w:t>2.2 投标人需向招标人提交所需的资料，所有资料必须符合本规格书的要求；</w:t>
      </w:r>
    </w:p>
    <w:p>
      <w:pPr>
        <w:spacing w:line="400" w:lineRule="exact"/>
        <w:ind w:firstLine="440" w:firstLineChars="200"/>
        <w:rPr>
          <w:rFonts w:ascii="宋体" w:hAnsi="宋体"/>
          <w:color w:val="000000"/>
          <w:sz w:val="22"/>
        </w:rPr>
      </w:pPr>
      <w:r>
        <w:rPr>
          <w:rFonts w:ascii="宋体" w:hAnsi="宋体"/>
          <w:color w:val="000000"/>
          <w:sz w:val="22"/>
        </w:rPr>
        <w:t>2.3 投标人在投标时应提供完整的投标车辆的产品样本</w:t>
      </w:r>
      <w:r>
        <w:rPr>
          <w:rFonts w:hint="eastAsia" w:ascii="宋体" w:hAnsi="宋体"/>
          <w:color w:val="000000"/>
          <w:sz w:val="22"/>
        </w:rPr>
        <w:t>（包括并不限于公开发行的产品广告彩页、官网公布的产品信息等）</w:t>
      </w:r>
      <w:r>
        <w:rPr>
          <w:rFonts w:ascii="宋体" w:hAnsi="宋体"/>
          <w:color w:val="000000"/>
          <w:sz w:val="22"/>
        </w:rPr>
        <w:t>及本规格书要求的各项测试报告，如果投标的车辆性能参数与样本有矛盾，以后者为准；如果投标的车辆样本与测试报告有矛盾，以后者为准；</w:t>
      </w:r>
    </w:p>
    <w:p>
      <w:pPr>
        <w:spacing w:line="400" w:lineRule="exact"/>
        <w:ind w:firstLine="440" w:firstLineChars="200"/>
        <w:rPr>
          <w:rFonts w:ascii="宋体" w:hAnsi="宋体"/>
          <w:sz w:val="22"/>
        </w:rPr>
      </w:pPr>
      <w:r>
        <w:rPr>
          <w:rFonts w:ascii="宋体" w:hAnsi="宋体"/>
          <w:sz w:val="22"/>
        </w:rPr>
        <w:t>2.4 投</w:t>
      </w:r>
      <w:r>
        <w:rPr>
          <w:rFonts w:hint="eastAsia" w:ascii="宋体" w:hAnsi="宋体"/>
          <w:sz w:val="22"/>
        </w:rPr>
        <w:t>标人在投标书中必须列表标明投标车辆和主要部件（主要部件是指：发动机、变速箱、底盘系统、消防水泵、消防主炮、消防副炮，以下同）的制造商全称、国别或地区、地址、电话、传真、联系人姓名、品牌 、型号等；如有国内代理，应提供国内代理的地址、电话、传真、联系人姓名，并提供资格证明或授权书。</w:t>
      </w:r>
    </w:p>
    <w:p>
      <w:pPr>
        <w:spacing w:line="400" w:lineRule="exact"/>
        <w:ind w:firstLine="440" w:firstLineChars="200"/>
        <w:rPr>
          <w:rFonts w:ascii="宋体" w:hAnsi="宋体"/>
          <w:sz w:val="22"/>
        </w:rPr>
      </w:pPr>
      <w:r>
        <w:rPr>
          <w:rFonts w:hint="eastAsia" w:ascii="宋体" w:hAnsi="宋体"/>
          <w:sz w:val="22"/>
        </w:rPr>
        <w:t>2.5 投标车辆和主要部件（主要部件是指：发动机、变速箱、底盘系统、消防水泵、消防主炮、消防副炮）制造日期至投标设备交付使用时不得超过十八个月。</w:t>
      </w:r>
    </w:p>
    <w:p>
      <w:pPr>
        <w:spacing w:line="400" w:lineRule="exact"/>
        <w:ind w:firstLine="440" w:firstLineChars="200"/>
        <w:rPr>
          <w:rFonts w:ascii="宋体" w:hAnsi="宋体"/>
          <w:color w:val="000000"/>
          <w:sz w:val="22"/>
        </w:rPr>
      </w:pPr>
      <w:r>
        <w:rPr>
          <w:rFonts w:ascii="宋体" w:hAnsi="宋体"/>
          <w:color w:val="000000"/>
          <w:sz w:val="22"/>
        </w:rPr>
        <w:t>2.</w:t>
      </w:r>
      <w:r>
        <w:rPr>
          <w:rFonts w:hint="eastAsia" w:ascii="宋体" w:hAnsi="宋体"/>
          <w:color w:val="000000"/>
          <w:sz w:val="22"/>
        </w:rPr>
        <w:t>6</w:t>
      </w:r>
      <w:r>
        <w:rPr>
          <w:rFonts w:ascii="宋体" w:hAnsi="宋体"/>
          <w:color w:val="000000"/>
          <w:sz w:val="22"/>
        </w:rPr>
        <w:t>投标人在投标时，须提供中文或中英文对照的技术文件、资料、图纸及相应的磁盘或光盘等</w:t>
      </w:r>
      <w:r>
        <w:rPr>
          <w:rFonts w:hint="eastAsia" w:ascii="宋体" w:hAnsi="宋体"/>
          <w:color w:val="000000"/>
          <w:sz w:val="22"/>
        </w:rPr>
        <w:t>，当原件和翻译件意思表示不一致时，以原件为准；当中文和英文意思表示不一致时，以中文为准</w:t>
      </w:r>
      <w:r>
        <w:rPr>
          <w:rFonts w:ascii="宋体" w:hAnsi="宋体"/>
          <w:color w:val="000000"/>
          <w:sz w:val="22"/>
        </w:rPr>
        <w:t>。</w:t>
      </w:r>
    </w:p>
    <w:p>
      <w:pPr>
        <w:spacing w:line="400" w:lineRule="exact"/>
        <w:rPr>
          <w:rFonts w:ascii="宋体" w:hAnsi="宋体"/>
          <w:b/>
          <w:color w:val="000000"/>
          <w:sz w:val="22"/>
        </w:rPr>
      </w:pPr>
      <w:r>
        <w:rPr>
          <w:rFonts w:ascii="宋体" w:hAnsi="宋体"/>
          <w:b/>
          <w:color w:val="000000"/>
          <w:sz w:val="22"/>
        </w:rPr>
        <w:t>三、设备清单</w:t>
      </w:r>
    </w:p>
    <w:tbl>
      <w:tblPr>
        <w:tblStyle w:val="58"/>
        <w:tblW w:w="9503"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5"/>
        <w:gridCol w:w="1155"/>
        <w:gridCol w:w="4647"/>
        <w:gridCol w:w="1706"/>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82" w:hRule="atLeast"/>
        </w:trPr>
        <w:tc>
          <w:tcPr>
            <w:tcW w:w="1995" w:type="dxa"/>
            <w:vAlign w:val="center"/>
          </w:tcPr>
          <w:p>
            <w:pPr>
              <w:jc w:val="center"/>
              <w:rPr>
                <w:rFonts w:ascii="宋体" w:hAnsi="宋体"/>
                <w:caps/>
                <w:color w:val="000000"/>
                <w:sz w:val="22"/>
              </w:rPr>
            </w:pPr>
            <w:r>
              <w:rPr>
                <w:rFonts w:ascii="宋体" w:hAnsi="宋体"/>
                <w:caps/>
                <w:color w:val="000000"/>
                <w:sz w:val="22"/>
              </w:rPr>
              <w:t>货物名称</w:t>
            </w:r>
          </w:p>
        </w:tc>
        <w:tc>
          <w:tcPr>
            <w:tcW w:w="1155" w:type="dxa"/>
            <w:vAlign w:val="center"/>
          </w:tcPr>
          <w:p>
            <w:pPr>
              <w:jc w:val="center"/>
              <w:rPr>
                <w:rFonts w:ascii="宋体" w:hAnsi="宋体"/>
                <w:caps/>
                <w:color w:val="000000"/>
                <w:sz w:val="22"/>
              </w:rPr>
            </w:pPr>
            <w:r>
              <w:rPr>
                <w:rFonts w:ascii="宋体" w:hAnsi="宋体"/>
                <w:caps/>
                <w:color w:val="000000"/>
                <w:sz w:val="22"/>
              </w:rPr>
              <w:t>数 量</w:t>
            </w:r>
          </w:p>
        </w:tc>
        <w:tc>
          <w:tcPr>
            <w:tcW w:w="4647" w:type="dxa"/>
            <w:vAlign w:val="center"/>
          </w:tcPr>
          <w:p>
            <w:pPr>
              <w:jc w:val="center"/>
              <w:rPr>
                <w:rFonts w:ascii="宋体" w:hAnsi="宋体"/>
                <w:caps/>
                <w:color w:val="000000"/>
                <w:sz w:val="22"/>
              </w:rPr>
            </w:pPr>
            <w:r>
              <w:rPr>
                <w:rFonts w:ascii="宋体" w:hAnsi="宋体"/>
                <w:caps/>
                <w:color w:val="000000"/>
                <w:sz w:val="22"/>
              </w:rPr>
              <w:t>交货期</w:t>
            </w:r>
          </w:p>
        </w:tc>
        <w:tc>
          <w:tcPr>
            <w:tcW w:w="1706" w:type="dxa"/>
            <w:vAlign w:val="center"/>
          </w:tcPr>
          <w:p>
            <w:pPr>
              <w:jc w:val="center"/>
              <w:rPr>
                <w:rFonts w:ascii="宋体" w:hAnsi="宋体"/>
                <w:caps/>
                <w:color w:val="000000"/>
                <w:sz w:val="22"/>
              </w:rPr>
            </w:pPr>
            <w:r>
              <w:rPr>
                <w:rFonts w:ascii="宋体" w:hAnsi="宋体"/>
                <w:caps/>
                <w:color w:val="000000"/>
                <w:sz w:val="22"/>
              </w:rPr>
              <w:t>交货地点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1995" w:type="dxa"/>
            <w:vAlign w:val="center"/>
          </w:tcPr>
          <w:p>
            <w:pPr>
              <w:jc w:val="center"/>
              <w:rPr>
                <w:rFonts w:ascii="宋体" w:hAnsi="宋体"/>
                <w:color w:val="000000"/>
                <w:sz w:val="22"/>
              </w:rPr>
            </w:pPr>
            <w:r>
              <w:rPr>
                <w:rFonts w:ascii="宋体" w:hAnsi="宋体"/>
                <w:color w:val="000000"/>
                <w:sz w:val="22"/>
              </w:rPr>
              <w:t>主力泡沫</w:t>
            </w:r>
          </w:p>
          <w:p>
            <w:pPr>
              <w:jc w:val="center"/>
              <w:rPr>
                <w:rFonts w:ascii="宋体" w:hAnsi="宋体"/>
                <w:color w:val="000000"/>
                <w:sz w:val="22"/>
              </w:rPr>
            </w:pPr>
            <w:r>
              <w:rPr>
                <w:rFonts w:ascii="宋体" w:hAnsi="宋体"/>
                <w:color w:val="000000"/>
                <w:sz w:val="22"/>
              </w:rPr>
              <w:t>消防车</w:t>
            </w:r>
          </w:p>
        </w:tc>
        <w:tc>
          <w:tcPr>
            <w:tcW w:w="1155" w:type="dxa"/>
            <w:vAlign w:val="center"/>
          </w:tcPr>
          <w:p>
            <w:pPr>
              <w:jc w:val="center"/>
              <w:rPr>
                <w:rFonts w:ascii="宋体" w:hAnsi="宋体"/>
                <w:color w:val="000000"/>
                <w:sz w:val="22"/>
              </w:rPr>
            </w:pPr>
            <w:r>
              <w:rPr>
                <w:rFonts w:ascii="宋体" w:hAnsi="宋体"/>
                <w:color w:val="000000"/>
                <w:sz w:val="22"/>
              </w:rPr>
              <w:t>1辆</w:t>
            </w:r>
          </w:p>
        </w:tc>
        <w:tc>
          <w:tcPr>
            <w:tcW w:w="4647" w:type="dxa"/>
            <w:vAlign w:val="center"/>
          </w:tcPr>
          <w:p>
            <w:pPr>
              <w:jc w:val="left"/>
              <w:rPr>
                <w:rFonts w:ascii="宋体" w:hAnsi="宋体"/>
                <w:color w:val="000000"/>
                <w:sz w:val="22"/>
              </w:rPr>
            </w:pPr>
            <w:r>
              <w:rPr>
                <w:rFonts w:hint="eastAsia" w:ascii="宋体" w:hAnsi="宋体"/>
                <w:color w:val="000000"/>
                <w:sz w:val="22"/>
              </w:rPr>
              <w:t>合同签订之日起13个月以内</w:t>
            </w:r>
          </w:p>
        </w:tc>
        <w:tc>
          <w:tcPr>
            <w:tcW w:w="1706" w:type="dxa"/>
            <w:vAlign w:val="center"/>
          </w:tcPr>
          <w:p>
            <w:pPr>
              <w:jc w:val="center"/>
              <w:rPr>
                <w:rFonts w:ascii="宋体" w:hAnsi="宋体"/>
                <w:color w:val="000000"/>
                <w:sz w:val="22"/>
              </w:rPr>
            </w:pPr>
            <w:r>
              <w:rPr>
                <w:rFonts w:ascii="宋体" w:hAnsi="宋体"/>
                <w:color w:val="000000"/>
                <w:sz w:val="22"/>
              </w:rPr>
              <w:t>杭州萧山</w:t>
            </w:r>
          </w:p>
          <w:p>
            <w:pPr>
              <w:jc w:val="center"/>
              <w:rPr>
                <w:rFonts w:ascii="宋体" w:hAnsi="宋体"/>
                <w:color w:val="000000"/>
                <w:sz w:val="22"/>
              </w:rPr>
            </w:pPr>
            <w:r>
              <w:rPr>
                <w:rFonts w:ascii="宋体" w:hAnsi="宋体"/>
                <w:color w:val="000000"/>
                <w:sz w:val="22"/>
              </w:rPr>
              <w:t>国际机场</w:t>
            </w:r>
          </w:p>
        </w:tc>
      </w:tr>
    </w:tbl>
    <w:p>
      <w:pPr>
        <w:spacing w:line="400" w:lineRule="exact"/>
        <w:rPr>
          <w:rFonts w:ascii="宋体" w:hAnsi="宋体"/>
          <w:b/>
          <w:color w:val="000000"/>
          <w:sz w:val="22"/>
        </w:rPr>
      </w:pPr>
      <w:r>
        <w:rPr>
          <w:rFonts w:ascii="宋体" w:hAnsi="宋体"/>
          <w:b/>
          <w:color w:val="000000"/>
          <w:sz w:val="22"/>
        </w:rPr>
        <w:t>四、总体要求</w:t>
      </w:r>
    </w:p>
    <w:p>
      <w:pPr>
        <w:snapToGrid w:val="0"/>
        <w:spacing w:line="400" w:lineRule="exact"/>
        <w:ind w:firstLine="440" w:firstLineChars="200"/>
        <w:rPr>
          <w:rFonts w:ascii="宋体" w:hAnsi="宋体"/>
          <w:color w:val="000000"/>
          <w:sz w:val="22"/>
        </w:rPr>
      </w:pPr>
      <w:r>
        <w:rPr>
          <w:rFonts w:hint="eastAsia" w:ascii="宋体" w:hAnsi="宋体"/>
          <w:color w:val="000000"/>
          <w:sz w:val="22"/>
        </w:rPr>
        <w:t>4.</w:t>
      </w:r>
      <w:r>
        <w:rPr>
          <w:rFonts w:ascii="宋体" w:hAnsi="宋体"/>
          <w:color w:val="000000"/>
          <w:sz w:val="22"/>
        </w:rPr>
        <w:t>1 现场条件</w:t>
      </w:r>
    </w:p>
    <w:p>
      <w:pPr>
        <w:snapToGrid w:val="0"/>
        <w:spacing w:line="400" w:lineRule="exact"/>
        <w:ind w:firstLine="440" w:firstLineChars="200"/>
        <w:rPr>
          <w:rFonts w:ascii="宋体" w:hAnsi="宋体"/>
          <w:color w:val="000000"/>
          <w:sz w:val="22"/>
        </w:rPr>
      </w:pPr>
      <w:r>
        <w:rPr>
          <w:rFonts w:ascii="宋体" w:hAnsi="宋体"/>
          <w:color w:val="000000"/>
          <w:sz w:val="22"/>
        </w:rPr>
        <w:t>招标文件中描述的车辆和各种设备应在下列的现场条件下正常工作，投标人在选择所提供的车辆和设备时，应满足这些条件：</w:t>
      </w:r>
    </w:p>
    <w:p>
      <w:pPr>
        <w:snapToGrid w:val="0"/>
        <w:spacing w:line="400" w:lineRule="exact"/>
        <w:ind w:firstLine="440" w:firstLineChars="200"/>
        <w:rPr>
          <w:rFonts w:ascii="宋体" w:hAnsi="宋体"/>
          <w:color w:val="000000"/>
          <w:sz w:val="22"/>
        </w:rPr>
      </w:pPr>
      <w:r>
        <w:rPr>
          <w:rFonts w:ascii="宋体" w:hAnsi="宋体"/>
          <w:color w:val="000000"/>
          <w:sz w:val="22"/>
        </w:rPr>
        <w:t>大气压力：99.8Kpa--103KPa。</w:t>
      </w:r>
    </w:p>
    <w:p>
      <w:pPr>
        <w:snapToGrid w:val="0"/>
        <w:spacing w:line="400" w:lineRule="exact"/>
        <w:ind w:firstLine="440" w:firstLineChars="200"/>
        <w:rPr>
          <w:rFonts w:ascii="宋体" w:hAnsi="宋体"/>
          <w:color w:val="000000"/>
          <w:sz w:val="22"/>
        </w:rPr>
      </w:pPr>
      <w:r>
        <w:rPr>
          <w:rFonts w:ascii="宋体" w:hAnsi="宋体"/>
          <w:color w:val="000000"/>
          <w:sz w:val="22"/>
        </w:rPr>
        <w:t>环境温度: -30℃--+60℃</w:t>
      </w:r>
    </w:p>
    <w:p>
      <w:pPr>
        <w:snapToGrid w:val="0"/>
        <w:spacing w:line="400" w:lineRule="exact"/>
        <w:ind w:firstLine="440" w:firstLineChars="200"/>
        <w:rPr>
          <w:rFonts w:ascii="宋体" w:hAnsi="宋体"/>
          <w:color w:val="000000"/>
          <w:sz w:val="22"/>
        </w:rPr>
      </w:pPr>
      <w:r>
        <w:rPr>
          <w:rFonts w:ascii="宋体" w:hAnsi="宋体"/>
          <w:color w:val="000000"/>
          <w:sz w:val="22"/>
        </w:rPr>
        <w:t>空气中有盐雾</w:t>
      </w:r>
    </w:p>
    <w:p>
      <w:pPr>
        <w:snapToGrid w:val="0"/>
        <w:spacing w:line="400" w:lineRule="exact"/>
        <w:ind w:firstLine="440" w:firstLineChars="200"/>
        <w:rPr>
          <w:rFonts w:ascii="宋体" w:hAnsi="宋体"/>
          <w:color w:val="000000"/>
          <w:sz w:val="22"/>
        </w:rPr>
      </w:pPr>
      <w:r>
        <w:rPr>
          <w:rFonts w:ascii="宋体" w:hAnsi="宋体"/>
          <w:color w:val="000000"/>
          <w:sz w:val="22"/>
        </w:rPr>
        <w:t>相对湿度：20%--100%，平均80%。</w:t>
      </w:r>
    </w:p>
    <w:p>
      <w:pPr>
        <w:snapToGrid w:val="0"/>
        <w:spacing w:line="400" w:lineRule="exact"/>
        <w:ind w:firstLine="440" w:firstLineChars="200"/>
        <w:rPr>
          <w:rFonts w:ascii="宋体" w:hAnsi="宋体"/>
          <w:color w:val="000000"/>
          <w:sz w:val="22"/>
        </w:rPr>
      </w:pPr>
      <w:r>
        <w:rPr>
          <w:rFonts w:ascii="宋体" w:hAnsi="宋体"/>
          <w:color w:val="000000"/>
          <w:sz w:val="22"/>
        </w:rPr>
        <w:t>最大风速：45m/s。</w:t>
      </w:r>
    </w:p>
    <w:p>
      <w:pPr>
        <w:snapToGrid w:val="0"/>
        <w:spacing w:line="400" w:lineRule="exact"/>
        <w:ind w:firstLine="440" w:firstLineChars="200"/>
        <w:rPr>
          <w:rFonts w:ascii="宋体" w:hAnsi="宋体"/>
          <w:color w:val="000000"/>
          <w:sz w:val="22"/>
        </w:rPr>
      </w:pPr>
      <w:r>
        <w:rPr>
          <w:rFonts w:ascii="宋体" w:hAnsi="宋体"/>
          <w:color w:val="000000"/>
          <w:sz w:val="22"/>
        </w:rPr>
        <w:t>电源</w:t>
      </w:r>
      <w:r>
        <w:rPr>
          <w:rFonts w:hint="eastAsia" w:ascii="宋体" w:hAnsi="宋体"/>
          <w:color w:val="000000"/>
          <w:sz w:val="22"/>
        </w:rPr>
        <w:t>：</w:t>
      </w:r>
      <w:r>
        <w:rPr>
          <w:rFonts w:ascii="宋体" w:hAnsi="宋体"/>
          <w:color w:val="000000"/>
          <w:sz w:val="22"/>
        </w:rPr>
        <w:t>电压380V±10%    三相</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w:t>
      </w:r>
      <w:r>
        <w:rPr>
          <w:rFonts w:hint="eastAsia" w:ascii="宋体" w:hAnsi="宋体"/>
          <w:color w:val="000000"/>
          <w:sz w:val="22"/>
        </w:rPr>
        <w:t xml:space="preserve">  </w:t>
      </w:r>
      <w:r>
        <w:rPr>
          <w:rFonts w:ascii="宋体" w:hAnsi="宋体"/>
          <w:color w:val="000000"/>
          <w:sz w:val="22"/>
        </w:rPr>
        <w:t>电压220V±10%  单相</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w:t>
      </w:r>
      <w:r>
        <w:rPr>
          <w:rFonts w:hint="eastAsia" w:ascii="宋体" w:hAnsi="宋体"/>
          <w:color w:val="000000"/>
          <w:sz w:val="22"/>
        </w:rPr>
        <w:t xml:space="preserve">  </w:t>
      </w:r>
      <w:r>
        <w:rPr>
          <w:rFonts w:ascii="宋体" w:hAnsi="宋体"/>
          <w:color w:val="000000"/>
          <w:sz w:val="22"/>
        </w:rPr>
        <w:t>频率50Hz±2%。</w:t>
      </w:r>
    </w:p>
    <w:p>
      <w:pPr>
        <w:snapToGrid w:val="0"/>
        <w:spacing w:line="400" w:lineRule="exact"/>
        <w:ind w:firstLine="440" w:firstLineChars="200"/>
        <w:rPr>
          <w:rFonts w:ascii="宋体" w:hAnsi="宋体"/>
          <w:color w:val="000000"/>
          <w:sz w:val="22"/>
        </w:rPr>
      </w:pPr>
      <w:r>
        <w:rPr>
          <w:rFonts w:ascii="宋体" w:hAnsi="宋体"/>
          <w:color w:val="000000"/>
          <w:sz w:val="22"/>
        </w:rPr>
        <w:t>抗地震强度：水平加速度0.3g</w:t>
      </w:r>
    </w:p>
    <w:p>
      <w:pPr>
        <w:snapToGrid w:val="0"/>
        <w:spacing w:line="400" w:lineRule="exact"/>
        <w:ind w:firstLine="440" w:firstLineChars="200"/>
        <w:rPr>
          <w:rFonts w:ascii="宋体" w:hAnsi="宋体"/>
          <w:color w:val="000000"/>
          <w:sz w:val="22"/>
        </w:rPr>
      </w:pPr>
      <w:r>
        <w:rPr>
          <w:rFonts w:hint="eastAsia" w:ascii="宋体" w:hAnsi="宋体"/>
          <w:color w:val="000000"/>
          <w:sz w:val="22"/>
        </w:rPr>
        <w:t xml:space="preserve">            </w:t>
      </w:r>
      <w:r>
        <w:rPr>
          <w:rFonts w:ascii="宋体" w:hAnsi="宋体"/>
          <w:color w:val="000000"/>
          <w:sz w:val="22"/>
        </w:rPr>
        <w:t>垂直加速度0.15g</w:t>
      </w:r>
    </w:p>
    <w:p>
      <w:pPr>
        <w:snapToGrid w:val="0"/>
        <w:spacing w:line="400" w:lineRule="exact"/>
        <w:ind w:firstLine="440" w:firstLineChars="200"/>
        <w:rPr>
          <w:rFonts w:ascii="宋体" w:hAnsi="宋体"/>
          <w:color w:val="000000"/>
          <w:sz w:val="22"/>
        </w:rPr>
      </w:pPr>
      <w:r>
        <w:rPr>
          <w:rFonts w:hint="eastAsia" w:ascii="宋体" w:hAnsi="宋体"/>
          <w:color w:val="000000"/>
          <w:sz w:val="22"/>
        </w:rPr>
        <w:t xml:space="preserve">            </w:t>
      </w:r>
      <w:r>
        <w:rPr>
          <w:rFonts w:ascii="宋体" w:hAnsi="宋体"/>
          <w:color w:val="000000"/>
          <w:sz w:val="22"/>
        </w:rPr>
        <w:t>安全系数&gt;1.67</w:t>
      </w:r>
    </w:p>
    <w:p>
      <w:pPr>
        <w:snapToGrid w:val="0"/>
        <w:spacing w:line="400" w:lineRule="exact"/>
        <w:ind w:firstLine="440" w:firstLineChars="200"/>
        <w:rPr>
          <w:rFonts w:ascii="宋体" w:hAnsi="宋体"/>
          <w:color w:val="000000"/>
          <w:sz w:val="22"/>
        </w:rPr>
      </w:pPr>
      <w:r>
        <w:rPr>
          <w:rFonts w:ascii="宋体" w:hAnsi="宋体"/>
          <w:color w:val="000000"/>
          <w:sz w:val="22"/>
        </w:rPr>
        <w:t>4.2 产品标准和规范</w:t>
      </w:r>
    </w:p>
    <w:p>
      <w:pPr>
        <w:snapToGrid w:val="0"/>
        <w:spacing w:line="400" w:lineRule="exact"/>
        <w:ind w:firstLine="440" w:firstLineChars="200"/>
        <w:rPr>
          <w:rFonts w:ascii="宋体" w:hAnsi="宋体"/>
          <w:color w:val="000000"/>
          <w:sz w:val="22"/>
        </w:rPr>
      </w:pPr>
      <w:r>
        <w:rPr>
          <w:rFonts w:ascii="宋体" w:hAnsi="宋体"/>
          <w:color w:val="000000"/>
          <w:sz w:val="22"/>
        </w:rPr>
        <w:t>4.2.1 投标车辆的设计、制造、试验等，应采用适合于该项目的最新的且</w:t>
      </w:r>
      <w:r>
        <w:rPr>
          <w:rFonts w:hint="eastAsia" w:ascii="宋体" w:hAnsi="宋体"/>
          <w:color w:val="000000"/>
          <w:sz w:val="22"/>
        </w:rPr>
        <w:t>正在</w:t>
      </w:r>
      <w:r>
        <w:rPr>
          <w:rFonts w:ascii="宋体" w:hAnsi="宋体"/>
          <w:color w:val="000000"/>
          <w:sz w:val="22"/>
        </w:rPr>
        <w:t>实施的标准和规范，这些标准包括并不限于：</w:t>
      </w:r>
    </w:p>
    <w:p>
      <w:pPr>
        <w:snapToGrid w:val="0"/>
        <w:spacing w:line="400" w:lineRule="exact"/>
        <w:ind w:firstLine="440" w:firstLineChars="200"/>
        <w:rPr>
          <w:rFonts w:ascii="宋体" w:hAnsi="宋体"/>
          <w:color w:val="000000"/>
          <w:sz w:val="22"/>
        </w:rPr>
      </w:pPr>
      <w:r>
        <w:rPr>
          <w:rFonts w:hint="eastAsia" w:ascii="仿宋" w:hAnsi="仿宋" w:eastAsia="仿宋"/>
          <w:color w:val="000000"/>
          <w:sz w:val="22"/>
        </w:rPr>
        <w:t>★</w:t>
      </w:r>
      <w:r>
        <w:rPr>
          <w:rFonts w:ascii="宋体" w:hAnsi="宋体"/>
          <w:color w:val="000000"/>
          <w:sz w:val="22"/>
        </w:rPr>
        <w:t>4.2.1.1 中国国家标准和中国行业标准(GB,</w:t>
      </w:r>
      <w:r>
        <w:rPr>
          <w:rFonts w:hint="eastAsia" w:ascii="宋体" w:hAnsi="宋体"/>
          <w:color w:val="000000"/>
          <w:sz w:val="22"/>
        </w:rPr>
        <w:t>GA,</w:t>
      </w:r>
      <w:r>
        <w:rPr>
          <w:rFonts w:ascii="宋体" w:hAnsi="宋体"/>
          <w:color w:val="000000"/>
          <w:sz w:val="22"/>
        </w:rPr>
        <w:t>MH等)。</w:t>
      </w:r>
    </w:p>
    <w:p>
      <w:pPr>
        <w:snapToGrid w:val="0"/>
        <w:spacing w:line="400" w:lineRule="exact"/>
        <w:ind w:firstLine="440" w:firstLineChars="200"/>
        <w:rPr>
          <w:rFonts w:ascii="宋体" w:hAnsi="宋体"/>
          <w:color w:val="000000"/>
          <w:sz w:val="22"/>
        </w:rPr>
      </w:pPr>
      <w:r>
        <w:rPr>
          <w:rFonts w:ascii="宋体" w:hAnsi="宋体"/>
          <w:color w:val="000000"/>
          <w:sz w:val="22"/>
        </w:rPr>
        <w:t>4.2.1.2 国际权威性组织标准:</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w:t>
      </w:r>
      <w:r>
        <w:rPr>
          <w:rFonts w:hint="eastAsia" w:ascii="宋体" w:hAnsi="宋体"/>
          <w:color w:val="000000"/>
          <w:sz w:val="22"/>
        </w:rPr>
        <w:t xml:space="preserve"> </w:t>
      </w:r>
      <w:r>
        <w:rPr>
          <w:rFonts w:ascii="宋体" w:hAnsi="宋体"/>
          <w:color w:val="000000"/>
          <w:sz w:val="22"/>
        </w:rPr>
        <w:t>ISO（国际标准化组织）；</w:t>
      </w:r>
    </w:p>
    <w:p>
      <w:pPr>
        <w:snapToGrid w:val="0"/>
        <w:spacing w:line="400" w:lineRule="exact"/>
        <w:ind w:firstLine="1100" w:firstLineChars="500"/>
        <w:rPr>
          <w:rFonts w:ascii="宋体" w:hAnsi="宋体"/>
          <w:color w:val="000000"/>
          <w:sz w:val="22"/>
        </w:rPr>
      </w:pPr>
      <w:r>
        <w:rPr>
          <w:rFonts w:hint="eastAsia" w:ascii="宋体" w:hAnsi="宋体"/>
          <w:color w:val="000000"/>
          <w:sz w:val="22"/>
        </w:rPr>
        <w:t>SI(国际单位制)</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ICAO（国际民间航空组织）；</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IATA（国际航空运输协会）；</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IEC（国际电工委员会）；</w:t>
      </w:r>
    </w:p>
    <w:p>
      <w:pPr>
        <w:snapToGrid w:val="0"/>
        <w:spacing w:line="400" w:lineRule="exact"/>
        <w:ind w:firstLine="440" w:firstLineChars="200"/>
        <w:rPr>
          <w:rFonts w:ascii="宋体" w:hAnsi="宋体"/>
          <w:color w:val="000000"/>
          <w:sz w:val="22"/>
        </w:rPr>
      </w:pPr>
      <w:r>
        <w:rPr>
          <w:rFonts w:ascii="宋体" w:hAnsi="宋体"/>
          <w:color w:val="000000"/>
          <w:sz w:val="22"/>
        </w:rPr>
        <w:t xml:space="preserve">      SAE（美国汽车工程师协会）</w:t>
      </w:r>
      <w:r>
        <w:rPr>
          <w:rFonts w:hint="eastAsia" w:ascii="宋体" w:hAnsi="宋体"/>
          <w:color w:val="000000"/>
          <w:sz w:val="22"/>
        </w:rPr>
        <w:t>；</w:t>
      </w:r>
    </w:p>
    <w:p>
      <w:pPr>
        <w:snapToGrid w:val="0"/>
        <w:spacing w:line="400" w:lineRule="exact"/>
        <w:ind w:firstLine="1100" w:firstLineChars="500"/>
        <w:rPr>
          <w:rFonts w:ascii="宋体" w:hAnsi="宋体"/>
          <w:color w:val="000000"/>
          <w:sz w:val="22"/>
        </w:rPr>
      </w:pPr>
      <w:r>
        <w:rPr>
          <w:rFonts w:hint="eastAsia" w:ascii="宋体" w:hAnsi="宋体"/>
          <w:color w:val="000000"/>
          <w:sz w:val="22"/>
        </w:rPr>
        <w:t>FAA（美国运输部联邦航空局）</w:t>
      </w:r>
    </w:p>
    <w:p>
      <w:pPr>
        <w:snapToGrid w:val="0"/>
        <w:spacing w:line="400" w:lineRule="exact"/>
        <w:ind w:firstLine="1100" w:firstLineChars="500"/>
        <w:rPr>
          <w:rFonts w:ascii="宋体" w:hAnsi="宋体"/>
          <w:color w:val="000000"/>
          <w:sz w:val="22"/>
        </w:rPr>
      </w:pPr>
      <w:r>
        <w:rPr>
          <w:rFonts w:hint="eastAsia" w:ascii="宋体" w:hAnsi="宋体"/>
          <w:color w:val="000000"/>
          <w:sz w:val="22"/>
        </w:rPr>
        <w:t>NFPA（美国消防协会）</w:t>
      </w:r>
    </w:p>
    <w:p>
      <w:pPr>
        <w:snapToGrid w:val="0"/>
        <w:spacing w:line="400" w:lineRule="exact"/>
        <w:ind w:firstLine="1100" w:firstLineChars="500"/>
        <w:rPr>
          <w:rFonts w:ascii="宋体" w:hAnsi="宋体"/>
          <w:color w:val="000000"/>
          <w:sz w:val="22"/>
        </w:rPr>
      </w:pPr>
      <w:r>
        <w:rPr>
          <w:rFonts w:hint="eastAsia" w:ascii="宋体" w:hAnsi="宋体"/>
          <w:color w:val="000000"/>
          <w:sz w:val="22"/>
        </w:rPr>
        <w:t>DIN（德国国家标准）</w:t>
      </w:r>
    </w:p>
    <w:p>
      <w:pPr>
        <w:snapToGrid w:val="0"/>
        <w:spacing w:line="400" w:lineRule="exact"/>
        <w:ind w:firstLine="1100" w:firstLineChars="500"/>
        <w:rPr>
          <w:rFonts w:ascii="宋体" w:hAnsi="宋体"/>
          <w:color w:val="000000"/>
          <w:sz w:val="22"/>
        </w:rPr>
      </w:pPr>
      <w:r>
        <w:rPr>
          <w:rFonts w:hint="eastAsia" w:ascii="宋体" w:hAnsi="宋体"/>
          <w:color w:val="000000"/>
          <w:sz w:val="22"/>
        </w:rPr>
        <w:t>JIS（日本工业标准）</w:t>
      </w:r>
    </w:p>
    <w:p>
      <w:pPr>
        <w:snapToGrid w:val="0"/>
        <w:spacing w:line="400" w:lineRule="exact"/>
        <w:ind w:firstLine="1100" w:firstLineChars="500"/>
        <w:rPr>
          <w:rFonts w:ascii="宋体" w:hAnsi="宋体"/>
          <w:color w:val="000000"/>
          <w:sz w:val="22"/>
        </w:rPr>
      </w:pPr>
      <w:r>
        <w:rPr>
          <w:rFonts w:hint="eastAsia" w:ascii="宋体" w:hAnsi="宋体"/>
          <w:color w:val="000000"/>
          <w:sz w:val="22"/>
        </w:rPr>
        <w:t>AISI（美国钢铁协会）</w:t>
      </w:r>
    </w:p>
    <w:p>
      <w:pPr>
        <w:snapToGrid w:val="0"/>
        <w:spacing w:line="400" w:lineRule="exact"/>
        <w:ind w:firstLine="440" w:firstLineChars="200"/>
        <w:rPr>
          <w:rFonts w:ascii="宋体" w:hAnsi="宋体"/>
          <w:color w:val="000000"/>
          <w:sz w:val="22"/>
        </w:rPr>
      </w:pPr>
      <w:r>
        <w:rPr>
          <w:rFonts w:hint="eastAsia" w:ascii="宋体" w:hAnsi="宋体"/>
          <w:color w:val="000000"/>
          <w:sz w:val="22"/>
        </w:rPr>
        <w:t>4.2.2</w:t>
      </w:r>
      <w:r>
        <w:rPr>
          <w:rFonts w:ascii="宋体" w:hAnsi="宋体"/>
          <w:color w:val="000000"/>
          <w:sz w:val="22"/>
        </w:rPr>
        <w:t>投标人</w:t>
      </w:r>
      <w:r>
        <w:rPr>
          <w:rFonts w:hint="eastAsia" w:ascii="宋体" w:hAnsi="宋体"/>
          <w:color w:val="000000"/>
          <w:sz w:val="22"/>
        </w:rPr>
        <w:t>所投车辆应优先采用</w:t>
      </w:r>
      <w:r>
        <w:rPr>
          <w:rFonts w:ascii="宋体" w:hAnsi="宋体"/>
          <w:color w:val="000000"/>
          <w:sz w:val="22"/>
        </w:rPr>
        <w:t>中国国家标准和中国行业标准(GB,</w:t>
      </w:r>
      <w:r>
        <w:rPr>
          <w:rFonts w:hint="eastAsia" w:ascii="宋体" w:hAnsi="宋体"/>
          <w:color w:val="000000"/>
          <w:sz w:val="22"/>
        </w:rPr>
        <w:t>GA,</w:t>
      </w:r>
      <w:r>
        <w:rPr>
          <w:rFonts w:ascii="宋体" w:hAnsi="宋体"/>
          <w:color w:val="000000"/>
          <w:sz w:val="22"/>
        </w:rPr>
        <w:t>MH等)</w:t>
      </w:r>
      <w:r>
        <w:rPr>
          <w:rFonts w:hint="eastAsia" w:ascii="宋体" w:hAnsi="宋体"/>
          <w:color w:val="000000"/>
          <w:sz w:val="22"/>
        </w:rPr>
        <w:t>。</w:t>
      </w:r>
    </w:p>
    <w:p>
      <w:pPr>
        <w:snapToGrid w:val="0"/>
        <w:spacing w:line="400" w:lineRule="exact"/>
        <w:ind w:firstLine="440" w:firstLineChars="200"/>
        <w:rPr>
          <w:rFonts w:ascii="宋体" w:hAnsi="宋体"/>
          <w:color w:val="000000"/>
          <w:sz w:val="22"/>
        </w:rPr>
      </w:pPr>
      <w:r>
        <w:rPr>
          <w:rFonts w:ascii="宋体" w:hAnsi="宋体"/>
          <w:color w:val="000000"/>
          <w:sz w:val="22"/>
        </w:rPr>
        <w:t>4.2.</w:t>
      </w:r>
      <w:r>
        <w:rPr>
          <w:rFonts w:hint="eastAsia" w:ascii="宋体" w:hAnsi="宋体"/>
          <w:color w:val="000000"/>
          <w:sz w:val="22"/>
        </w:rPr>
        <w:t>3</w:t>
      </w:r>
      <w:r>
        <w:rPr>
          <w:rFonts w:ascii="宋体" w:hAnsi="宋体"/>
          <w:color w:val="000000"/>
          <w:sz w:val="22"/>
        </w:rPr>
        <w:t>在投标时必须详细列出所提供车辆和设备的设计、制造和检测采用的标准。投标人使用</w:t>
      </w:r>
      <w:r>
        <w:rPr>
          <w:rFonts w:hint="eastAsia" w:ascii="宋体" w:hAnsi="宋体"/>
          <w:color w:val="000000"/>
          <w:sz w:val="22"/>
        </w:rPr>
        <w:t>4.2.1条款规定</w:t>
      </w:r>
      <w:r>
        <w:rPr>
          <w:rFonts w:ascii="宋体" w:hAnsi="宋体"/>
          <w:color w:val="000000"/>
          <w:sz w:val="22"/>
        </w:rPr>
        <w:t>以外的标准和规范时，应加以说明，并在投标时提交用于替代的标准或规范的原文和中文译本，明显的差异点要特别说明。当推荐的标准和规范等效于或优于本规格书要求时，才可能被招标人接受。</w:t>
      </w:r>
    </w:p>
    <w:p>
      <w:pPr>
        <w:snapToGrid w:val="0"/>
        <w:spacing w:line="400" w:lineRule="exact"/>
        <w:ind w:firstLine="440" w:firstLineChars="200"/>
        <w:rPr>
          <w:rFonts w:ascii="宋体" w:hAnsi="宋体"/>
          <w:color w:val="000000"/>
          <w:sz w:val="22"/>
        </w:rPr>
      </w:pPr>
      <w:r>
        <w:rPr>
          <w:rFonts w:ascii="宋体" w:hAnsi="宋体"/>
          <w:color w:val="000000"/>
          <w:sz w:val="22"/>
        </w:rPr>
        <w:t>4.2.</w:t>
      </w:r>
      <w:r>
        <w:rPr>
          <w:rFonts w:hint="eastAsia" w:ascii="宋体" w:hAnsi="宋体"/>
          <w:color w:val="000000"/>
          <w:sz w:val="22"/>
        </w:rPr>
        <w:t>4</w:t>
      </w:r>
      <w:r>
        <w:rPr>
          <w:rFonts w:ascii="宋体" w:hAnsi="宋体"/>
          <w:color w:val="000000"/>
          <w:sz w:val="22"/>
        </w:rPr>
        <w:t xml:space="preserve"> 对车辆的各种零、配件应充分考虑其标准化和通用化，便于互换。</w:t>
      </w:r>
    </w:p>
    <w:p>
      <w:pPr>
        <w:snapToGrid w:val="0"/>
        <w:spacing w:line="400" w:lineRule="exact"/>
        <w:ind w:firstLine="440" w:firstLineChars="200"/>
        <w:rPr>
          <w:rFonts w:ascii="宋体" w:hAnsi="宋体"/>
          <w:color w:val="000000"/>
          <w:sz w:val="22"/>
        </w:rPr>
      </w:pPr>
      <w:r>
        <w:rPr>
          <w:rFonts w:ascii="宋体" w:hAnsi="宋体"/>
          <w:color w:val="000000"/>
          <w:sz w:val="22"/>
        </w:rPr>
        <w:t>4.2.</w:t>
      </w:r>
      <w:r>
        <w:rPr>
          <w:rFonts w:hint="eastAsia" w:ascii="宋体" w:hAnsi="宋体"/>
          <w:color w:val="000000"/>
          <w:sz w:val="22"/>
        </w:rPr>
        <w:t>5</w:t>
      </w:r>
      <w:r>
        <w:rPr>
          <w:rFonts w:ascii="宋体" w:hAnsi="宋体"/>
          <w:color w:val="000000"/>
          <w:sz w:val="22"/>
        </w:rPr>
        <w:t xml:space="preserve"> 投标书中使用所有计量单位都必须使用国际（SI）规定的单位及其导出单位。</w:t>
      </w:r>
    </w:p>
    <w:p>
      <w:pPr>
        <w:snapToGrid w:val="0"/>
        <w:spacing w:line="400" w:lineRule="exact"/>
        <w:ind w:firstLine="440" w:firstLineChars="200"/>
        <w:rPr>
          <w:rFonts w:ascii="宋体" w:hAnsi="宋体"/>
          <w:color w:val="000000"/>
          <w:sz w:val="22"/>
        </w:rPr>
      </w:pPr>
      <w:r>
        <w:rPr>
          <w:rFonts w:ascii="宋体" w:hAnsi="宋体"/>
          <w:color w:val="000000"/>
          <w:sz w:val="22"/>
        </w:rPr>
        <w:t>4.3 资料要求</w:t>
      </w:r>
    </w:p>
    <w:p>
      <w:pPr>
        <w:snapToGrid w:val="0"/>
        <w:spacing w:line="400" w:lineRule="exact"/>
        <w:ind w:firstLine="440" w:firstLineChars="200"/>
        <w:rPr>
          <w:rFonts w:ascii="宋体" w:hAnsi="宋体"/>
          <w:color w:val="000000"/>
          <w:sz w:val="22"/>
        </w:rPr>
      </w:pPr>
      <w:r>
        <w:rPr>
          <w:rFonts w:ascii="宋体" w:hAnsi="宋体"/>
          <w:color w:val="000000"/>
          <w:sz w:val="22"/>
        </w:rPr>
        <w:t>4.3.1 基本要求</w:t>
      </w:r>
    </w:p>
    <w:p>
      <w:pPr>
        <w:snapToGrid w:val="0"/>
        <w:spacing w:line="400" w:lineRule="exact"/>
        <w:ind w:firstLine="440" w:firstLineChars="200"/>
        <w:rPr>
          <w:rFonts w:ascii="宋体" w:hAnsi="宋体"/>
          <w:color w:val="000000"/>
          <w:sz w:val="22"/>
        </w:rPr>
      </w:pPr>
      <w:r>
        <w:rPr>
          <w:rFonts w:ascii="宋体" w:hAnsi="宋体"/>
          <w:color w:val="000000"/>
          <w:sz w:val="22"/>
        </w:rPr>
        <w:t>4.3.1.1 本规格书要求的所有技术文件及资料均须免费提供电子版一套和</w:t>
      </w:r>
      <w:r>
        <w:rPr>
          <w:rFonts w:hint="eastAsia" w:ascii="宋体" w:hAnsi="宋体"/>
          <w:color w:val="000000"/>
          <w:sz w:val="22"/>
        </w:rPr>
        <w:t>纸质</w:t>
      </w:r>
      <w:r>
        <w:rPr>
          <w:rFonts w:ascii="宋体" w:hAnsi="宋体"/>
          <w:color w:val="000000"/>
          <w:sz w:val="22"/>
        </w:rPr>
        <w:t>版</w:t>
      </w:r>
      <w:r>
        <w:rPr>
          <w:rFonts w:hint="eastAsia" w:ascii="宋体" w:hAnsi="宋体"/>
          <w:color w:val="000000"/>
          <w:sz w:val="22"/>
        </w:rPr>
        <w:t>三</w:t>
      </w:r>
      <w:r>
        <w:rPr>
          <w:rFonts w:ascii="宋体" w:hAnsi="宋体"/>
          <w:color w:val="000000"/>
          <w:sz w:val="22"/>
        </w:rPr>
        <w:t>套</w:t>
      </w:r>
      <w:r>
        <w:rPr>
          <w:rFonts w:hint="eastAsia" w:ascii="宋体" w:hAnsi="宋体"/>
          <w:color w:val="000000"/>
          <w:sz w:val="22"/>
        </w:rPr>
        <w:t>，</w:t>
      </w:r>
      <w:r>
        <w:rPr>
          <w:rFonts w:ascii="宋体" w:hAnsi="宋体"/>
          <w:color w:val="000000"/>
          <w:sz w:val="22"/>
        </w:rPr>
        <w:t>所有资料和图纸必须是中文或中英文对照的。</w:t>
      </w:r>
    </w:p>
    <w:p>
      <w:pPr>
        <w:snapToGrid w:val="0"/>
        <w:spacing w:line="400" w:lineRule="exact"/>
        <w:ind w:firstLine="440" w:firstLineChars="200"/>
        <w:rPr>
          <w:rFonts w:ascii="宋体" w:hAnsi="宋体"/>
          <w:color w:val="000000"/>
          <w:sz w:val="22"/>
        </w:rPr>
      </w:pPr>
      <w:r>
        <w:rPr>
          <w:rFonts w:ascii="宋体" w:hAnsi="宋体"/>
          <w:color w:val="000000"/>
          <w:sz w:val="22"/>
        </w:rPr>
        <w:t>4.3.1.2 所有提交的图纸、文件、资料均应是清晰、完整的，图纸及技术文件上应有编号，签约后提交的图纸及技术文件还应有合同号，并盖有供货商已做过检查的印记，各项设备的图纸上还应有制造厂商的名称。</w:t>
      </w:r>
    </w:p>
    <w:p>
      <w:pPr>
        <w:snapToGrid w:val="0"/>
        <w:spacing w:line="400" w:lineRule="exact"/>
        <w:ind w:firstLine="440" w:firstLineChars="200"/>
        <w:rPr>
          <w:rFonts w:ascii="宋体" w:hAnsi="宋体"/>
          <w:color w:val="000000"/>
          <w:sz w:val="22"/>
        </w:rPr>
      </w:pPr>
      <w:r>
        <w:rPr>
          <w:rFonts w:ascii="宋体" w:hAnsi="宋体"/>
          <w:color w:val="000000"/>
          <w:sz w:val="22"/>
        </w:rPr>
        <w:t>4.3.1.3 如果提交的文件发生短缺、损失或损坏，在接到招标人通知后一周内补齐这些文件。由于提交了不完整或不正确的图纸及数据，引起的一切相关费用及责任必须由投标人承担。</w:t>
      </w:r>
    </w:p>
    <w:p>
      <w:pPr>
        <w:snapToGrid w:val="0"/>
        <w:spacing w:line="400" w:lineRule="exact"/>
        <w:ind w:firstLine="440" w:firstLineChars="200"/>
        <w:rPr>
          <w:rFonts w:ascii="宋体" w:hAnsi="宋体"/>
          <w:color w:val="000000"/>
          <w:sz w:val="22"/>
        </w:rPr>
      </w:pPr>
      <w:r>
        <w:rPr>
          <w:rFonts w:ascii="宋体" w:hAnsi="宋体"/>
          <w:color w:val="000000"/>
          <w:sz w:val="22"/>
        </w:rPr>
        <w:t>4.3.2投标时须提供的资料：</w:t>
      </w:r>
    </w:p>
    <w:p>
      <w:pPr>
        <w:snapToGrid w:val="0"/>
        <w:spacing w:line="400" w:lineRule="exact"/>
        <w:ind w:firstLine="440" w:firstLineChars="200"/>
        <w:rPr>
          <w:rFonts w:ascii="宋体" w:hAnsi="宋体"/>
          <w:color w:val="000000"/>
          <w:sz w:val="22"/>
        </w:rPr>
      </w:pPr>
      <w:r>
        <w:rPr>
          <w:rFonts w:ascii="宋体" w:hAnsi="宋体"/>
          <w:color w:val="000000"/>
          <w:sz w:val="22"/>
        </w:rPr>
        <w:t>4.3.2.1 供货设备清单（包括设备附件清单）。</w:t>
      </w:r>
    </w:p>
    <w:p>
      <w:pPr>
        <w:snapToGrid w:val="0"/>
        <w:spacing w:line="400" w:lineRule="exact"/>
        <w:ind w:firstLine="440" w:firstLineChars="200"/>
        <w:rPr>
          <w:rFonts w:ascii="宋体" w:hAnsi="宋体"/>
          <w:color w:val="000000"/>
          <w:sz w:val="22"/>
        </w:rPr>
      </w:pPr>
      <w:r>
        <w:rPr>
          <w:rFonts w:ascii="宋体" w:hAnsi="宋体"/>
          <w:color w:val="000000"/>
          <w:sz w:val="22"/>
        </w:rPr>
        <w:t>4.3.2.2 车辆制造厂及主要部件制造厂的技术资格能力。</w:t>
      </w:r>
    </w:p>
    <w:p>
      <w:pPr>
        <w:snapToGrid w:val="0"/>
        <w:spacing w:line="400" w:lineRule="exact"/>
        <w:ind w:firstLine="440" w:firstLineChars="200"/>
        <w:rPr>
          <w:rFonts w:ascii="宋体" w:hAnsi="宋体"/>
          <w:color w:val="000000"/>
          <w:sz w:val="22"/>
        </w:rPr>
      </w:pPr>
      <w:r>
        <w:rPr>
          <w:rFonts w:ascii="宋体" w:hAnsi="宋体"/>
          <w:color w:val="000000"/>
          <w:sz w:val="22"/>
        </w:rPr>
        <w:t xml:space="preserve">4.3.2.3 </w:t>
      </w:r>
      <w:r>
        <w:rPr>
          <w:rFonts w:hint="eastAsia" w:ascii="宋体" w:hAnsi="宋体"/>
          <w:color w:val="000000"/>
          <w:sz w:val="22"/>
        </w:rPr>
        <w:t>招标文件要求的第三方检测报告（第三方检测报告是指合格的中国消防产品检测机构或者中国认可的国际消防产品检测机构出具的检测报告，如果前者与后者的检测结论不一致，以前者为准。以下同）</w:t>
      </w:r>
      <w:r>
        <w:rPr>
          <w:rFonts w:ascii="宋体" w:hAnsi="宋体"/>
          <w:color w:val="000000"/>
          <w:sz w:val="22"/>
        </w:rPr>
        <w:t>。</w:t>
      </w:r>
    </w:p>
    <w:p>
      <w:pPr>
        <w:snapToGrid w:val="0"/>
        <w:spacing w:line="400" w:lineRule="exact"/>
        <w:ind w:firstLine="440" w:firstLineChars="200"/>
        <w:rPr>
          <w:rFonts w:ascii="宋体" w:hAnsi="宋体"/>
          <w:color w:val="000000"/>
          <w:sz w:val="22"/>
        </w:rPr>
      </w:pPr>
      <w:r>
        <w:rPr>
          <w:rFonts w:ascii="宋体" w:hAnsi="宋体"/>
          <w:color w:val="000000"/>
          <w:sz w:val="22"/>
        </w:rPr>
        <w:t>4.3.2.4 所投车辆的样本（须与招标文件要求</w:t>
      </w:r>
      <w:r>
        <w:rPr>
          <w:rFonts w:hint="eastAsia" w:ascii="宋体" w:hAnsi="宋体"/>
          <w:color w:val="000000"/>
          <w:sz w:val="22"/>
        </w:rPr>
        <w:t>相同</w:t>
      </w:r>
      <w:r>
        <w:rPr>
          <w:rFonts w:ascii="宋体" w:hAnsi="宋体"/>
          <w:color w:val="000000"/>
          <w:sz w:val="22"/>
        </w:rPr>
        <w:t>的设备的图片），并提供可反映车辆的整车外观、主要部件外观和驾驶操作台配置的彩色图片。</w:t>
      </w:r>
    </w:p>
    <w:p>
      <w:pPr>
        <w:snapToGrid w:val="0"/>
        <w:spacing w:line="400" w:lineRule="exact"/>
        <w:ind w:firstLine="440" w:firstLineChars="200"/>
        <w:rPr>
          <w:rFonts w:ascii="宋体" w:hAnsi="宋体"/>
          <w:color w:val="000000"/>
          <w:sz w:val="22"/>
        </w:rPr>
      </w:pPr>
      <w:r>
        <w:rPr>
          <w:rFonts w:ascii="宋体" w:hAnsi="宋体"/>
          <w:color w:val="000000"/>
          <w:sz w:val="22"/>
        </w:rPr>
        <w:t>4.3.2.5 所投车辆的左视图、右视图、前视图、后视图和顶视图（包括中文的描述）</w:t>
      </w:r>
      <w:r>
        <w:rPr>
          <w:rFonts w:hint="eastAsia" w:ascii="宋体" w:hAnsi="宋体"/>
          <w:color w:val="000000"/>
          <w:sz w:val="22"/>
        </w:rPr>
        <w:t>等</w:t>
      </w:r>
      <w:r>
        <w:rPr>
          <w:rFonts w:ascii="宋体" w:hAnsi="宋体"/>
          <w:color w:val="000000"/>
          <w:sz w:val="22"/>
        </w:rPr>
        <w:t>。</w:t>
      </w:r>
    </w:p>
    <w:p>
      <w:pPr>
        <w:snapToGrid w:val="0"/>
        <w:spacing w:line="400" w:lineRule="exact"/>
        <w:ind w:firstLine="440" w:firstLineChars="200"/>
        <w:rPr>
          <w:rFonts w:ascii="宋体" w:hAnsi="宋体"/>
          <w:color w:val="000000"/>
          <w:sz w:val="22"/>
        </w:rPr>
      </w:pPr>
      <w:r>
        <w:rPr>
          <w:rFonts w:ascii="宋体" w:hAnsi="宋体"/>
          <w:color w:val="000000"/>
          <w:sz w:val="22"/>
        </w:rPr>
        <w:t>4.3.2.6 技术资料和图纸：</w:t>
      </w:r>
    </w:p>
    <w:p>
      <w:pPr>
        <w:snapToGrid w:val="0"/>
        <w:spacing w:line="400" w:lineRule="exact"/>
        <w:ind w:firstLine="440" w:firstLineChars="200"/>
        <w:rPr>
          <w:rFonts w:ascii="宋体" w:hAnsi="宋体"/>
          <w:color w:val="000000"/>
          <w:sz w:val="22"/>
        </w:rPr>
      </w:pPr>
      <w:r>
        <w:rPr>
          <w:rFonts w:ascii="宋体" w:hAnsi="宋体"/>
          <w:color w:val="000000"/>
          <w:sz w:val="22"/>
        </w:rPr>
        <w:t>4.3.2.6.1 所投车辆及主要部件技术性能参数。</w:t>
      </w:r>
    </w:p>
    <w:p>
      <w:pPr>
        <w:snapToGrid w:val="0"/>
        <w:spacing w:line="400" w:lineRule="exact"/>
        <w:ind w:firstLine="440" w:firstLineChars="200"/>
        <w:rPr>
          <w:rFonts w:ascii="宋体" w:hAnsi="宋体"/>
          <w:color w:val="000000"/>
          <w:sz w:val="22"/>
        </w:rPr>
      </w:pPr>
      <w:r>
        <w:rPr>
          <w:rFonts w:ascii="宋体" w:hAnsi="宋体"/>
          <w:color w:val="000000"/>
          <w:sz w:val="22"/>
        </w:rPr>
        <w:t>4.3.2.6.2 所投车辆及主要部件的结构及技术特点说明。</w:t>
      </w:r>
    </w:p>
    <w:p>
      <w:pPr>
        <w:snapToGrid w:val="0"/>
        <w:spacing w:line="400" w:lineRule="exact"/>
        <w:ind w:firstLine="440" w:firstLineChars="200"/>
        <w:rPr>
          <w:rFonts w:ascii="宋体" w:hAnsi="宋体"/>
          <w:color w:val="000000"/>
          <w:sz w:val="22"/>
        </w:rPr>
      </w:pPr>
      <w:r>
        <w:rPr>
          <w:rFonts w:hint="eastAsia" w:ascii="宋体" w:hAnsi="宋体"/>
          <w:color w:val="000000"/>
          <w:sz w:val="22"/>
        </w:rPr>
        <w:t>4.3.2.6.3对所投车辆设计和制造工艺的介绍。</w:t>
      </w:r>
    </w:p>
    <w:p>
      <w:pPr>
        <w:snapToGrid w:val="0"/>
        <w:spacing w:line="400" w:lineRule="exact"/>
        <w:ind w:firstLine="440" w:firstLineChars="200"/>
        <w:rPr>
          <w:rFonts w:ascii="宋体" w:hAnsi="宋体"/>
          <w:color w:val="000000"/>
          <w:sz w:val="22"/>
        </w:rPr>
      </w:pPr>
      <w:r>
        <w:rPr>
          <w:rFonts w:hint="eastAsia" w:ascii="宋体" w:hAnsi="宋体"/>
          <w:color w:val="000000"/>
          <w:sz w:val="22"/>
        </w:rPr>
        <w:t>4.3.2.6.4对所投车辆使用操作和维护保养特点总体情况的介绍；</w:t>
      </w:r>
      <w:r>
        <w:rPr>
          <w:rFonts w:ascii="宋体" w:hAnsi="宋体"/>
          <w:color w:val="000000"/>
          <w:sz w:val="22"/>
        </w:rPr>
        <w:t xml:space="preserve"> </w:t>
      </w:r>
    </w:p>
    <w:p>
      <w:pPr>
        <w:snapToGrid w:val="0"/>
        <w:spacing w:line="400" w:lineRule="exact"/>
        <w:ind w:firstLine="440" w:firstLineChars="200"/>
        <w:rPr>
          <w:rFonts w:ascii="宋体" w:hAnsi="宋体"/>
          <w:sz w:val="22"/>
        </w:rPr>
      </w:pPr>
      <w:r>
        <w:rPr>
          <w:rFonts w:ascii="宋体" w:hAnsi="宋体"/>
          <w:color w:val="000000"/>
          <w:sz w:val="22"/>
        </w:rPr>
        <w:t>4.3.2.6.</w:t>
      </w:r>
      <w:r>
        <w:rPr>
          <w:rFonts w:hint="eastAsia" w:ascii="宋体" w:hAnsi="宋体"/>
          <w:color w:val="000000"/>
          <w:sz w:val="22"/>
        </w:rPr>
        <w:t>5</w:t>
      </w:r>
      <w:r>
        <w:rPr>
          <w:rFonts w:ascii="宋体" w:hAnsi="宋体"/>
          <w:color w:val="000000"/>
          <w:sz w:val="22"/>
        </w:rPr>
        <w:t xml:space="preserve"> 所投车辆满</w:t>
      </w:r>
      <w:r>
        <w:rPr>
          <w:rFonts w:ascii="宋体" w:hAnsi="宋体"/>
          <w:sz w:val="22"/>
        </w:rPr>
        <w:t>载时的</w:t>
      </w:r>
      <w:r>
        <w:rPr>
          <w:rFonts w:hint="eastAsia" w:ascii="宋体" w:hAnsi="宋体"/>
          <w:sz w:val="22"/>
        </w:rPr>
        <w:t>质</w:t>
      </w:r>
      <w:r>
        <w:rPr>
          <w:rFonts w:ascii="宋体" w:hAnsi="宋体"/>
          <w:sz w:val="22"/>
        </w:rPr>
        <w:t>心高度。</w:t>
      </w:r>
    </w:p>
    <w:p>
      <w:pPr>
        <w:snapToGrid w:val="0"/>
        <w:spacing w:line="400" w:lineRule="exact"/>
        <w:ind w:firstLine="440" w:firstLineChars="200"/>
        <w:rPr>
          <w:rFonts w:ascii="宋体" w:hAnsi="宋体"/>
          <w:color w:val="000000"/>
          <w:sz w:val="22"/>
        </w:rPr>
      </w:pPr>
      <w:r>
        <w:rPr>
          <w:rFonts w:ascii="宋体" w:hAnsi="宋体"/>
          <w:color w:val="000000"/>
          <w:sz w:val="22"/>
        </w:rPr>
        <w:t>4.3.2</w:t>
      </w:r>
      <w:r>
        <w:rPr>
          <w:rFonts w:hint="eastAsia" w:ascii="宋体" w:hAnsi="宋体"/>
          <w:color w:val="000000"/>
          <w:sz w:val="22"/>
        </w:rPr>
        <w:t>.7根据</w:t>
      </w:r>
      <w:r>
        <w:rPr>
          <w:rFonts w:ascii="宋体" w:hAnsi="宋体"/>
          <w:color w:val="000000"/>
          <w:sz w:val="22"/>
        </w:rPr>
        <w:t>按制造工序要求的生产期、试验期、交货期</w:t>
      </w:r>
      <w:r>
        <w:rPr>
          <w:rFonts w:hint="eastAsia" w:ascii="宋体" w:hAnsi="宋体"/>
          <w:color w:val="000000"/>
          <w:sz w:val="22"/>
        </w:rPr>
        <w:t>制定的</w:t>
      </w:r>
      <w:r>
        <w:rPr>
          <w:rFonts w:ascii="宋体" w:hAnsi="宋体"/>
          <w:color w:val="000000"/>
          <w:sz w:val="22"/>
        </w:rPr>
        <w:t>工作计划</w:t>
      </w:r>
      <w:r>
        <w:rPr>
          <w:rFonts w:hint="eastAsia" w:ascii="宋体" w:hAnsi="宋体"/>
          <w:color w:val="000000"/>
          <w:sz w:val="22"/>
        </w:rPr>
        <w:t>，</w:t>
      </w:r>
      <w:r>
        <w:rPr>
          <w:rFonts w:ascii="宋体" w:hAnsi="宋体"/>
          <w:color w:val="000000"/>
          <w:sz w:val="22"/>
        </w:rPr>
        <w:t>包括：</w:t>
      </w:r>
    </w:p>
    <w:p>
      <w:pPr>
        <w:snapToGrid w:val="0"/>
        <w:spacing w:line="400" w:lineRule="exact"/>
        <w:ind w:firstLine="440" w:firstLineChars="200"/>
        <w:rPr>
          <w:rFonts w:ascii="宋体" w:hAnsi="宋体"/>
          <w:color w:val="000000"/>
          <w:sz w:val="22"/>
        </w:rPr>
      </w:pPr>
      <w:r>
        <w:rPr>
          <w:rFonts w:ascii="宋体" w:hAnsi="宋体"/>
          <w:color w:val="000000"/>
          <w:sz w:val="22"/>
        </w:rPr>
        <w:t>4.3.2.</w:t>
      </w:r>
      <w:r>
        <w:rPr>
          <w:rFonts w:hint="eastAsia" w:ascii="宋体" w:hAnsi="宋体"/>
          <w:color w:val="000000"/>
          <w:sz w:val="22"/>
        </w:rPr>
        <w:t>7</w:t>
      </w:r>
      <w:r>
        <w:rPr>
          <w:rFonts w:ascii="宋体" w:hAnsi="宋体"/>
          <w:color w:val="000000"/>
          <w:sz w:val="22"/>
        </w:rPr>
        <w:t>.1 负责本项目的人员名单、职务、职称及简单履历，联系电话、传真和EMAIL地址。</w:t>
      </w:r>
    </w:p>
    <w:p>
      <w:pPr>
        <w:snapToGrid w:val="0"/>
        <w:spacing w:line="400" w:lineRule="exact"/>
        <w:ind w:firstLine="440" w:firstLineChars="200"/>
        <w:rPr>
          <w:rFonts w:ascii="宋体" w:hAnsi="宋体"/>
          <w:color w:val="000000"/>
          <w:sz w:val="22"/>
        </w:rPr>
      </w:pPr>
      <w:r>
        <w:rPr>
          <w:rFonts w:ascii="宋体" w:hAnsi="宋体"/>
          <w:color w:val="000000"/>
          <w:sz w:val="22"/>
        </w:rPr>
        <w:t>4.3.2.</w:t>
      </w:r>
      <w:r>
        <w:rPr>
          <w:rFonts w:hint="eastAsia" w:ascii="宋体" w:hAnsi="宋体"/>
          <w:color w:val="000000"/>
          <w:sz w:val="22"/>
        </w:rPr>
        <w:t>7</w:t>
      </w:r>
      <w:r>
        <w:rPr>
          <w:rFonts w:ascii="宋体" w:hAnsi="宋体"/>
          <w:color w:val="000000"/>
          <w:sz w:val="22"/>
        </w:rPr>
        <w:t xml:space="preserve">.2 </w:t>
      </w:r>
      <w:r>
        <w:rPr>
          <w:rFonts w:hint="eastAsia" w:ascii="宋体" w:hAnsi="宋体"/>
          <w:color w:val="000000"/>
          <w:sz w:val="22"/>
        </w:rPr>
        <w:t>工厂生产计划、</w:t>
      </w:r>
      <w:r>
        <w:rPr>
          <w:rFonts w:ascii="宋体" w:hAnsi="宋体"/>
          <w:color w:val="000000"/>
          <w:sz w:val="22"/>
        </w:rPr>
        <w:t>工厂检</w:t>
      </w:r>
      <w:r>
        <w:rPr>
          <w:rFonts w:hint="eastAsia" w:ascii="宋体" w:hAnsi="宋体"/>
          <w:color w:val="000000"/>
          <w:sz w:val="22"/>
        </w:rPr>
        <w:t>测</w:t>
      </w:r>
      <w:r>
        <w:rPr>
          <w:rFonts w:ascii="宋体" w:hAnsi="宋体"/>
          <w:color w:val="000000"/>
          <w:sz w:val="22"/>
        </w:rPr>
        <w:t>计划，车辆检验测试项目。</w:t>
      </w:r>
    </w:p>
    <w:p>
      <w:pPr>
        <w:snapToGrid w:val="0"/>
        <w:spacing w:line="400" w:lineRule="exact"/>
        <w:ind w:firstLine="440" w:firstLineChars="200"/>
        <w:rPr>
          <w:rFonts w:ascii="宋体" w:hAnsi="宋体"/>
          <w:color w:val="000000"/>
          <w:sz w:val="22"/>
        </w:rPr>
      </w:pPr>
      <w:r>
        <w:rPr>
          <w:rFonts w:ascii="宋体" w:hAnsi="宋体"/>
          <w:color w:val="000000"/>
          <w:sz w:val="22"/>
        </w:rPr>
        <w:t>4.3.2.</w:t>
      </w:r>
      <w:r>
        <w:rPr>
          <w:rFonts w:hint="eastAsia" w:ascii="宋体" w:hAnsi="宋体"/>
          <w:color w:val="000000"/>
          <w:sz w:val="22"/>
        </w:rPr>
        <w:t>7</w:t>
      </w:r>
      <w:r>
        <w:rPr>
          <w:rFonts w:ascii="宋体" w:hAnsi="宋体"/>
          <w:color w:val="000000"/>
          <w:sz w:val="22"/>
        </w:rPr>
        <w:t>.3现场培训计划</w:t>
      </w:r>
      <w:r>
        <w:rPr>
          <w:rFonts w:hint="eastAsia" w:ascii="宋体" w:hAnsi="宋体"/>
          <w:color w:val="000000"/>
          <w:sz w:val="22"/>
        </w:rPr>
        <w:t>，包括对师资力量的介绍，对培训内容和培训方法的介绍，对教材编制的介绍。</w:t>
      </w:r>
    </w:p>
    <w:p>
      <w:pPr>
        <w:snapToGrid w:val="0"/>
        <w:spacing w:line="400" w:lineRule="exact"/>
        <w:ind w:firstLine="440" w:firstLineChars="200"/>
        <w:rPr>
          <w:rFonts w:ascii="宋体" w:hAnsi="宋体"/>
          <w:sz w:val="22"/>
        </w:rPr>
      </w:pPr>
      <w:r>
        <w:rPr>
          <w:rFonts w:ascii="宋体" w:hAnsi="宋体"/>
          <w:sz w:val="22"/>
        </w:rPr>
        <w:t>4.3.2.</w:t>
      </w:r>
      <w:r>
        <w:rPr>
          <w:rFonts w:hint="eastAsia" w:ascii="宋体" w:hAnsi="宋体"/>
          <w:sz w:val="22"/>
        </w:rPr>
        <w:t>7</w:t>
      </w:r>
      <w:r>
        <w:rPr>
          <w:rFonts w:ascii="宋体" w:hAnsi="宋体"/>
          <w:sz w:val="22"/>
        </w:rPr>
        <w:t>.4设备交付验收计划。</w:t>
      </w:r>
    </w:p>
    <w:p>
      <w:pPr>
        <w:snapToGrid w:val="0"/>
        <w:spacing w:line="400" w:lineRule="exact"/>
        <w:ind w:firstLine="440" w:firstLineChars="200"/>
        <w:rPr>
          <w:rFonts w:ascii="宋体" w:hAnsi="宋体"/>
          <w:color w:val="000000"/>
          <w:sz w:val="22"/>
        </w:rPr>
      </w:pPr>
      <w:r>
        <w:rPr>
          <w:rFonts w:ascii="宋体" w:hAnsi="宋体"/>
          <w:color w:val="000000"/>
          <w:sz w:val="22"/>
        </w:rPr>
        <w:t>4.3.3签约后需提供的资料:</w:t>
      </w:r>
    </w:p>
    <w:p>
      <w:pPr>
        <w:snapToGrid w:val="0"/>
        <w:spacing w:line="400" w:lineRule="exact"/>
        <w:ind w:firstLine="440" w:firstLineChars="200"/>
        <w:rPr>
          <w:rFonts w:ascii="宋体" w:hAnsi="宋体"/>
          <w:color w:val="000000"/>
          <w:sz w:val="22"/>
        </w:rPr>
      </w:pPr>
      <w:r>
        <w:rPr>
          <w:rFonts w:ascii="宋体" w:hAnsi="宋体"/>
          <w:color w:val="000000"/>
          <w:sz w:val="22"/>
        </w:rPr>
        <w:t>4.3.3.1 投标人在签约后10天内应向招标人提供一份提交资料的进度表，此表应得到招标人认可，并满足设计、制造、组装、调试、试运行和验收等工作的要求。</w:t>
      </w:r>
    </w:p>
    <w:p>
      <w:pPr>
        <w:snapToGrid w:val="0"/>
        <w:spacing w:line="400" w:lineRule="exact"/>
        <w:ind w:firstLine="440" w:firstLineChars="200"/>
        <w:rPr>
          <w:rFonts w:ascii="宋体" w:hAnsi="宋体"/>
          <w:color w:val="000000"/>
          <w:sz w:val="22"/>
        </w:rPr>
      </w:pPr>
      <w:r>
        <w:rPr>
          <w:rFonts w:ascii="宋体" w:hAnsi="宋体"/>
          <w:color w:val="000000"/>
          <w:sz w:val="22"/>
        </w:rPr>
        <w:t>4.3.3.2投标人必须在设备出厂检测完成后15天内将</w:t>
      </w:r>
      <w:r>
        <w:rPr>
          <w:rFonts w:hint="eastAsia" w:ascii="宋体" w:hAnsi="宋体"/>
          <w:color w:val="000000"/>
          <w:sz w:val="22"/>
        </w:rPr>
        <w:t>拟</w:t>
      </w:r>
      <w:r>
        <w:rPr>
          <w:rFonts w:ascii="宋体" w:hAnsi="宋体"/>
          <w:color w:val="000000"/>
          <w:sz w:val="22"/>
        </w:rPr>
        <w:t>交付车辆的整车外观</w:t>
      </w:r>
      <w:r>
        <w:rPr>
          <w:rFonts w:hint="eastAsia" w:ascii="宋体" w:hAnsi="宋体"/>
          <w:color w:val="000000"/>
          <w:sz w:val="22"/>
        </w:rPr>
        <w:t>、</w:t>
      </w:r>
      <w:r>
        <w:rPr>
          <w:rFonts w:ascii="宋体" w:hAnsi="宋体"/>
          <w:color w:val="000000"/>
          <w:sz w:val="22"/>
        </w:rPr>
        <w:t>驾驶室</w:t>
      </w:r>
      <w:r>
        <w:rPr>
          <w:rFonts w:hint="eastAsia" w:ascii="宋体" w:hAnsi="宋体"/>
          <w:color w:val="000000"/>
          <w:sz w:val="22"/>
        </w:rPr>
        <w:t>操控台、</w:t>
      </w:r>
      <w:r>
        <w:rPr>
          <w:rFonts w:ascii="宋体" w:hAnsi="宋体"/>
          <w:color w:val="000000"/>
          <w:sz w:val="22"/>
        </w:rPr>
        <w:t>左视图、右视图、前视图、后视图和顶视图的照片以及所有分项检测、整车检验证书</w:t>
      </w:r>
      <w:r>
        <w:rPr>
          <w:rFonts w:hint="eastAsia" w:ascii="宋体" w:hAnsi="宋体"/>
          <w:color w:val="000000"/>
          <w:sz w:val="22"/>
        </w:rPr>
        <w:t>及</w:t>
      </w:r>
      <w:r>
        <w:rPr>
          <w:rFonts w:ascii="宋体" w:hAnsi="宋体"/>
          <w:color w:val="000000"/>
          <w:sz w:val="22"/>
        </w:rPr>
        <w:t>报告</w:t>
      </w:r>
      <w:r>
        <w:rPr>
          <w:rFonts w:hint="eastAsia" w:ascii="宋体" w:hAnsi="宋体"/>
          <w:color w:val="000000"/>
          <w:sz w:val="22"/>
        </w:rPr>
        <w:t>的电子版</w:t>
      </w:r>
      <w:r>
        <w:rPr>
          <w:rFonts w:ascii="宋体" w:hAnsi="宋体"/>
          <w:color w:val="000000"/>
          <w:sz w:val="22"/>
        </w:rPr>
        <w:t>提交招标人。</w:t>
      </w:r>
    </w:p>
    <w:p>
      <w:pPr>
        <w:snapToGrid w:val="0"/>
        <w:spacing w:line="400" w:lineRule="exact"/>
        <w:ind w:firstLine="440" w:firstLineChars="200"/>
        <w:rPr>
          <w:rFonts w:ascii="宋体" w:hAnsi="宋体"/>
          <w:color w:val="000000"/>
          <w:sz w:val="22"/>
        </w:rPr>
      </w:pPr>
      <w:r>
        <w:rPr>
          <w:rFonts w:ascii="宋体" w:hAnsi="宋体"/>
          <w:color w:val="000000"/>
          <w:sz w:val="22"/>
        </w:rPr>
        <w:t>4.3.3.3投标人应在现场培训开始前</w:t>
      </w:r>
      <w:r>
        <w:rPr>
          <w:rFonts w:hint="eastAsia" w:ascii="宋体" w:hAnsi="宋体"/>
          <w:color w:val="000000"/>
          <w:sz w:val="22"/>
        </w:rPr>
        <w:t>15</w:t>
      </w:r>
      <w:r>
        <w:rPr>
          <w:rFonts w:ascii="宋体" w:hAnsi="宋体"/>
          <w:color w:val="000000"/>
          <w:sz w:val="22"/>
        </w:rPr>
        <w:t>天向招标人免费提供相关的中文资料</w:t>
      </w:r>
      <w:r>
        <w:rPr>
          <w:rFonts w:hint="eastAsia" w:ascii="宋体" w:hAnsi="宋体"/>
          <w:color w:val="000000"/>
          <w:sz w:val="22"/>
        </w:rPr>
        <w:t>和培训教材</w:t>
      </w:r>
      <w:r>
        <w:rPr>
          <w:rFonts w:ascii="宋体" w:hAnsi="宋体"/>
          <w:color w:val="000000"/>
          <w:sz w:val="22"/>
        </w:rPr>
        <w:t>。</w:t>
      </w:r>
    </w:p>
    <w:p>
      <w:pPr>
        <w:snapToGrid w:val="0"/>
        <w:spacing w:line="400" w:lineRule="exact"/>
        <w:ind w:firstLine="440" w:firstLineChars="200"/>
        <w:rPr>
          <w:rFonts w:ascii="宋体" w:hAnsi="宋体"/>
          <w:color w:val="000000"/>
          <w:sz w:val="22"/>
        </w:rPr>
      </w:pPr>
      <w:r>
        <w:rPr>
          <w:rFonts w:ascii="宋体" w:hAnsi="宋体"/>
          <w:color w:val="000000"/>
          <w:sz w:val="22"/>
        </w:rPr>
        <w:t>4.3.3.4 在调试和试运行</w:t>
      </w:r>
      <w:r>
        <w:rPr>
          <w:rFonts w:hint="eastAsia" w:ascii="宋体" w:hAnsi="宋体"/>
          <w:color w:val="000000"/>
          <w:sz w:val="22"/>
        </w:rPr>
        <w:t>1</w:t>
      </w:r>
      <w:r>
        <w:rPr>
          <w:rFonts w:ascii="宋体" w:hAnsi="宋体"/>
          <w:color w:val="000000"/>
          <w:sz w:val="22"/>
        </w:rPr>
        <w:t>5天前，投标人需提交中文操作与维修手册，内容包括：</w:t>
      </w:r>
    </w:p>
    <w:p>
      <w:pPr>
        <w:snapToGrid w:val="0"/>
        <w:spacing w:line="400" w:lineRule="exact"/>
        <w:ind w:firstLine="440" w:firstLineChars="200"/>
        <w:rPr>
          <w:rFonts w:ascii="宋体" w:hAnsi="宋体"/>
          <w:color w:val="000000"/>
          <w:sz w:val="22"/>
        </w:rPr>
      </w:pPr>
      <w:r>
        <w:rPr>
          <w:rFonts w:ascii="宋体" w:hAnsi="宋体"/>
          <w:color w:val="000000"/>
          <w:sz w:val="22"/>
        </w:rPr>
        <w:t>4.3.3.4.1车辆和主要配套部件及系统的操作手册和维护指南、保养说明书。</w:t>
      </w:r>
    </w:p>
    <w:p>
      <w:pPr>
        <w:snapToGrid w:val="0"/>
        <w:spacing w:line="400" w:lineRule="exact"/>
        <w:ind w:firstLine="440" w:firstLineChars="200"/>
        <w:rPr>
          <w:rFonts w:ascii="宋体" w:hAnsi="宋体"/>
          <w:color w:val="000000"/>
          <w:sz w:val="22"/>
        </w:rPr>
      </w:pPr>
      <w:r>
        <w:rPr>
          <w:rFonts w:ascii="宋体" w:hAnsi="宋体"/>
          <w:color w:val="000000"/>
          <w:sz w:val="22"/>
        </w:rPr>
        <w:t>4.3.3.4.</w:t>
      </w:r>
      <w:r>
        <w:rPr>
          <w:rFonts w:hint="eastAsia" w:ascii="宋体" w:hAnsi="宋体"/>
          <w:color w:val="000000"/>
          <w:sz w:val="22"/>
        </w:rPr>
        <w:t>2</w:t>
      </w:r>
      <w:r>
        <w:rPr>
          <w:rFonts w:ascii="宋体" w:hAnsi="宋体"/>
          <w:color w:val="000000"/>
          <w:sz w:val="22"/>
        </w:rPr>
        <w:t xml:space="preserve"> 所</w:t>
      </w:r>
      <w:r>
        <w:rPr>
          <w:rFonts w:hint="eastAsia" w:ascii="宋体" w:hAnsi="宋体"/>
          <w:color w:val="000000"/>
          <w:sz w:val="22"/>
        </w:rPr>
        <w:t>投</w:t>
      </w:r>
      <w:r>
        <w:rPr>
          <w:rFonts w:ascii="宋体" w:hAnsi="宋体"/>
          <w:color w:val="000000"/>
          <w:sz w:val="22"/>
        </w:rPr>
        <w:t>车辆及主要配套部件的规格型号</w:t>
      </w:r>
      <w:r>
        <w:rPr>
          <w:rFonts w:hint="eastAsia" w:ascii="宋体" w:hAnsi="宋体"/>
          <w:color w:val="000000"/>
          <w:sz w:val="22"/>
        </w:rPr>
        <w:t>、</w:t>
      </w:r>
      <w:r>
        <w:rPr>
          <w:rFonts w:ascii="宋体" w:hAnsi="宋体"/>
          <w:color w:val="000000"/>
          <w:sz w:val="22"/>
        </w:rPr>
        <w:t>主要性能参数及</w:t>
      </w:r>
      <w:r>
        <w:rPr>
          <w:rFonts w:hint="eastAsia" w:ascii="宋体" w:hAnsi="宋体"/>
          <w:color w:val="000000"/>
          <w:sz w:val="22"/>
        </w:rPr>
        <w:t>结构</w:t>
      </w:r>
      <w:r>
        <w:rPr>
          <w:rFonts w:ascii="宋体" w:hAnsi="宋体"/>
          <w:color w:val="000000"/>
          <w:sz w:val="22"/>
        </w:rPr>
        <w:t>原理图</w:t>
      </w:r>
      <w:r>
        <w:rPr>
          <w:rFonts w:hint="eastAsia" w:ascii="宋体" w:hAnsi="宋体"/>
          <w:color w:val="000000"/>
          <w:sz w:val="22"/>
        </w:rPr>
        <w:t>和</w:t>
      </w:r>
      <w:r>
        <w:rPr>
          <w:rFonts w:ascii="宋体" w:hAnsi="宋体"/>
          <w:color w:val="000000"/>
          <w:sz w:val="22"/>
        </w:rPr>
        <w:t>说明。</w:t>
      </w:r>
    </w:p>
    <w:p>
      <w:pPr>
        <w:snapToGrid w:val="0"/>
        <w:spacing w:line="400" w:lineRule="exact"/>
        <w:ind w:firstLine="440" w:firstLineChars="200"/>
        <w:rPr>
          <w:rFonts w:ascii="宋体" w:hAnsi="宋体"/>
          <w:color w:val="000000"/>
          <w:sz w:val="22"/>
        </w:rPr>
      </w:pPr>
      <w:r>
        <w:rPr>
          <w:rFonts w:ascii="宋体" w:hAnsi="宋体"/>
          <w:color w:val="000000"/>
          <w:sz w:val="22"/>
        </w:rPr>
        <w:t>4.3.3.4.</w:t>
      </w:r>
      <w:r>
        <w:rPr>
          <w:rFonts w:hint="eastAsia" w:ascii="宋体" w:hAnsi="宋体"/>
          <w:color w:val="000000"/>
          <w:sz w:val="22"/>
        </w:rPr>
        <w:t>3</w:t>
      </w:r>
      <w:r>
        <w:rPr>
          <w:rFonts w:ascii="宋体" w:hAnsi="宋体"/>
          <w:color w:val="000000"/>
          <w:sz w:val="22"/>
        </w:rPr>
        <w:t xml:space="preserve"> 车辆各个系统和主要部件常见的故障说明及处理方法。</w:t>
      </w:r>
    </w:p>
    <w:p>
      <w:pPr>
        <w:snapToGrid w:val="0"/>
        <w:spacing w:line="400" w:lineRule="exact"/>
        <w:ind w:firstLine="440" w:firstLineChars="200"/>
        <w:rPr>
          <w:rFonts w:ascii="宋体" w:hAnsi="宋体"/>
          <w:color w:val="000000"/>
          <w:sz w:val="22"/>
        </w:rPr>
      </w:pPr>
      <w:r>
        <w:rPr>
          <w:rFonts w:ascii="宋体" w:hAnsi="宋体"/>
          <w:color w:val="000000"/>
          <w:sz w:val="22"/>
        </w:rPr>
        <w:t>4.3.3.4.</w:t>
      </w:r>
      <w:r>
        <w:rPr>
          <w:rFonts w:hint="eastAsia" w:ascii="宋体" w:hAnsi="宋体"/>
          <w:color w:val="000000"/>
          <w:sz w:val="22"/>
        </w:rPr>
        <w:t>4</w:t>
      </w:r>
      <w:r>
        <w:rPr>
          <w:rFonts w:ascii="宋体" w:hAnsi="宋体"/>
          <w:color w:val="000000"/>
          <w:sz w:val="22"/>
        </w:rPr>
        <w:t xml:space="preserve"> 建议的定期保养时间、项目、技术要求及紧急处置程序。</w:t>
      </w:r>
    </w:p>
    <w:p>
      <w:pPr>
        <w:snapToGrid w:val="0"/>
        <w:spacing w:line="400" w:lineRule="exact"/>
        <w:ind w:firstLine="440" w:firstLineChars="200"/>
        <w:rPr>
          <w:rFonts w:ascii="宋体" w:hAnsi="宋体"/>
          <w:color w:val="000000"/>
          <w:sz w:val="22"/>
        </w:rPr>
      </w:pPr>
      <w:r>
        <w:rPr>
          <w:rFonts w:ascii="宋体" w:hAnsi="宋体"/>
          <w:color w:val="000000"/>
          <w:sz w:val="22"/>
        </w:rPr>
        <w:t>4.3.3.4.</w:t>
      </w:r>
      <w:r>
        <w:rPr>
          <w:rFonts w:hint="eastAsia" w:ascii="宋体" w:hAnsi="宋体"/>
          <w:color w:val="000000"/>
          <w:sz w:val="22"/>
        </w:rPr>
        <w:t>5</w:t>
      </w:r>
      <w:r>
        <w:rPr>
          <w:rFonts w:ascii="宋体" w:hAnsi="宋体"/>
          <w:color w:val="000000"/>
          <w:sz w:val="22"/>
        </w:rPr>
        <w:t>紧急维修中心的电话、传真，e-mail地址及负责人的联系方式。</w:t>
      </w:r>
    </w:p>
    <w:p>
      <w:pPr>
        <w:snapToGrid w:val="0"/>
        <w:spacing w:line="400" w:lineRule="exact"/>
        <w:ind w:firstLine="440" w:firstLineChars="200"/>
        <w:rPr>
          <w:rFonts w:ascii="宋体" w:hAnsi="宋体"/>
          <w:color w:val="000000"/>
          <w:sz w:val="22"/>
        </w:rPr>
      </w:pPr>
      <w:r>
        <w:rPr>
          <w:rFonts w:ascii="宋体" w:hAnsi="宋体"/>
          <w:color w:val="000000"/>
          <w:sz w:val="22"/>
        </w:rPr>
        <w:t>4.3.3.4.6 全车零件目录手册。全车零件应有统一完整的配件编号，零件目录手册调整后应及时更新。</w:t>
      </w:r>
    </w:p>
    <w:p>
      <w:pPr>
        <w:snapToGrid w:val="0"/>
        <w:spacing w:line="400" w:lineRule="exact"/>
        <w:ind w:firstLine="440" w:firstLineChars="200"/>
        <w:rPr>
          <w:rFonts w:ascii="宋体" w:hAnsi="宋体"/>
          <w:color w:val="000000"/>
          <w:sz w:val="22"/>
        </w:rPr>
      </w:pPr>
      <w:r>
        <w:rPr>
          <w:rFonts w:ascii="宋体" w:hAnsi="宋体"/>
          <w:color w:val="000000"/>
          <w:sz w:val="22"/>
        </w:rPr>
        <w:t>4.3.4交货时须提供的资料</w:t>
      </w:r>
    </w:p>
    <w:p>
      <w:pPr>
        <w:snapToGrid w:val="0"/>
        <w:spacing w:line="400" w:lineRule="exact"/>
        <w:ind w:firstLine="440" w:firstLineChars="200"/>
        <w:rPr>
          <w:rFonts w:ascii="宋体" w:hAnsi="宋体"/>
          <w:color w:val="000000"/>
          <w:sz w:val="22"/>
        </w:rPr>
      </w:pPr>
      <w:r>
        <w:rPr>
          <w:rFonts w:ascii="宋体" w:hAnsi="宋体"/>
          <w:color w:val="000000"/>
          <w:sz w:val="22"/>
        </w:rPr>
        <w:t>4.3.4.1 交货设备清单（含附属工具和设备清单）。</w:t>
      </w:r>
    </w:p>
    <w:p>
      <w:pPr>
        <w:snapToGrid w:val="0"/>
        <w:spacing w:line="400" w:lineRule="exact"/>
        <w:ind w:firstLine="440" w:firstLineChars="200"/>
        <w:rPr>
          <w:rFonts w:ascii="宋体" w:hAnsi="宋体"/>
          <w:color w:val="000000"/>
          <w:sz w:val="22"/>
        </w:rPr>
      </w:pPr>
      <w:r>
        <w:rPr>
          <w:rFonts w:ascii="宋体" w:hAnsi="宋体"/>
          <w:color w:val="000000"/>
          <w:sz w:val="22"/>
        </w:rPr>
        <w:t>4.3.4.2 制造厂的质量</w:t>
      </w:r>
      <w:r>
        <w:rPr>
          <w:rFonts w:hint="eastAsia" w:ascii="宋体" w:hAnsi="宋体"/>
          <w:color w:val="000000"/>
          <w:sz w:val="22"/>
        </w:rPr>
        <w:t>合格</w:t>
      </w:r>
      <w:r>
        <w:rPr>
          <w:rFonts w:ascii="宋体" w:hAnsi="宋体"/>
          <w:color w:val="000000"/>
          <w:sz w:val="22"/>
        </w:rPr>
        <w:t>证明书和出厂检测证书和报告，设备使用和维护说明书。</w:t>
      </w:r>
    </w:p>
    <w:p>
      <w:pPr>
        <w:snapToGrid w:val="0"/>
        <w:spacing w:line="400" w:lineRule="exact"/>
        <w:ind w:firstLine="440" w:firstLineChars="200"/>
        <w:rPr>
          <w:rFonts w:ascii="宋体" w:hAnsi="宋体"/>
          <w:color w:val="000000"/>
          <w:sz w:val="22"/>
        </w:rPr>
      </w:pPr>
      <w:r>
        <w:rPr>
          <w:rFonts w:ascii="宋体" w:hAnsi="宋体"/>
          <w:color w:val="000000"/>
          <w:sz w:val="22"/>
        </w:rPr>
        <w:t>4.3.4.</w:t>
      </w:r>
      <w:r>
        <w:rPr>
          <w:rFonts w:hint="eastAsia" w:ascii="宋体" w:hAnsi="宋体"/>
          <w:color w:val="000000"/>
          <w:sz w:val="22"/>
        </w:rPr>
        <w:t>3</w:t>
      </w:r>
      <w:r>
        <w:rPr>
          <w:rFonts w:ascii="宋体" w:hAnsi="宋体"/>
          <w:color w:val="000000"/>
          <w:sz w:val="22"/>
        </w:rPr>
        <w:t xml:space="preserve"> 大比例的主要系统的彩色原理图及连接图。如：发动机、传动系统、制动系统、液压系统、润滑系统、电气系统、消防系统、底盘系统等</w:t>
      </w:r>
    </w:p>
    <w:p>
      <w:pPr>
        <w:snapToGrid w:val="0"/>
        <w:spacing w:line="400" w:lineRule="exact"/>
        <w:ind w:firstLine="440" w:firstLineChars="200"/>
        <w:rPr>
          <w:rFonts w:ascii="宋体" w:hAnsi="宋体"/>
          <w:color w:val="000000"/>
          <w:sz w:val="22"/>
        </w:rPr>
      </w:pPr>
      <w:r>
        <w:rPr>
          <w:rFonts w:ascii="宋体" w:hAnsi="宋体"/>
          <w:color w:val="000000"/>
          <w:sz w:val="22"/>
        </w:rPr>
        <w:t>4.3.4.5 设备及部件制造商和国内供应商的相关信息，包括名称、国别、地址、联系电话、传真、EMAIL地址以及联系人姓名。</w:t>
      </w:r>
    </w:p>
    <w:p>
      <w:pPr>
        <w:snapToGrid w:val="0"/>
        <w:spacing w:line="400" w:lineRule="exact"/>
        <w:ind w:firstLine="440" w:firstLineChars="200"/>
        <w:rPr>
          <w:rFonts w:ascii="宋体" w:hAnsi="宋体"/>
          <w:color w:val="000000"/>
          <w:sz w:val="22"/>
        </w:rPr>
      </w:pPr>
      <w:r>
        <w:rPr>
          <w:rFonts w:hint="eastAsia" w:ascii="宋体" w:hAnsi="宋体"/>
          <w:color w:val="000000"/>
          <w:sz w:val="22"/>
        </w:rPr>
        <w:t>4.3.4.6</w:t>
      </w:r>
      <w:r>
        <w:rPr>
          <w:rFonts w:ascii="宋体" w:hAnsi="宋体"/>
          <w:color w:val="000000"/>
          <w:sz w:val="22"/>
        </w:rPr>
        <w:t>投标人在设备调试期间的所有报告。</w:t>
      </w:r>
    </w:p>
    <w:p>
      <w:pPr>
        <w:snapToGrid w:val="0"/>
        <w:spacing w:line="400" w:lineRule="exact"/>
        <w:ind w:firstLine="440" w:firstLineChars="200"/>
        <w:rPr>
          <w:rFonts w:ascii="宋体" w:hAnsi="宋体"/>
          <w:color w:val="000000"/>
          <w:sz w:val="22"/>
        </w:rPr>
      </w:pPr>
      <w:r>
        <w:rPr>
          <w:rFonts w:ascii="宋体" w:hAnsi="宋体"/>
          <w:color w:val="000000"/>
          <w:sz w:val="22"/>
        </w:rPr>
        <w:t>4.3.</w:t>
      </w:r>
      <w:r>
        <w:rPr>
          <w:rFonts w:hint="eastAsia" w:ascii="宋体" w:hAnsi="宋体"/>
          <w:color w:val="000000"/>
          <w:sz w:val="22"/>
        </w:rPr>
        <w:t>4.7进口车辆还需提供海关入关证明文件（扫描件）。</w:t>
      </w:r>
    </w:p>
    <w:p>
      <w:pPr>
        <w:snapToGrid w:val="0"/>
        <w:spacing w:line="400" w:lineRule="exact"/>
        <w:ind w:firstLine="440" w:firstLineChars="200"/>
        <w:rPr>
          <w:rFonts w:ascii="宋体" w:hAnsi="宋体"/>
          <w:color w:val="000000"/>
          <w:sz w:val="22"/>
        </w:rPr>
      </w:pPr>
      <w:r>
        <w:rPr>
          <w:rFonts w:ascii="宋体" w:hAnsi="宋体"/>
          <w:color w:val="000000"/>
          <w:sz w:val="22"/>
        </w:rPr>
        <w:t>4.3.</w:t>
      </w:r>
      <w:r>
        <w:rPr>
          <w:rFonts w:hint="eastAsia" w:ascii="宋体" w:hAnsi="宋体"/>
          <w:color w:val="000000"/>
          <w:sz w:val="22"/>
        </w:rPr>
        <w:t>4.8各主要</w:t>
      </w:r>
      <w:r>
        <w:rPr>
          <w:rFonts w:ascii="宋体" w:hAnsi="宋体"/>
          <w:color w:val="000000"/>
          <w:sz w:val="22"/>
        </w:rPr>
        <w:t>总成件（</w:t>
      </w:r>
      <w:r>
        <w:rPr>
          <w:rFonts w:hint="eastAsia" w:ascii="宋体" w:hAnsi="宋体"/>
          <w:color w:val="000000"/>
          <w:sz w:val="22"/>
        </w:rPr>
        <w:t>主要部件是指：发动机、变速箱、底盘系统、消防水泵、消防主炮、消防副炮</w:t>
      </w:r>
      <w:r>
        <w:rPr>
          <w:rFonts w:ascii="宋体" w:hAnsi="宋体"/>
          <w:color w:val="000000"/>
          <w:sz w:val="22"/>
        </w:rPr>
        <w:t>）详实的原生产厂维修手册、配件目录及配件编号。</w:t>
      </w:r>
    </w:p>
    <w:p>
      <w:pPr>
        <w:snapToGrid w:val="0"/>
        <w:spacing w:line="400" w:lineRule="exact"/>
        <w:ind w:firstLine="440" w:firstLineChars="200"/>
        <w:rPr>
          <w:rFonts w:ascii="宋体" w:hAnsi="宋体"/>
          <w:color w:val="000000"/>
          <w:sz w:val="22"/>
        </w:rPr>
      </w:pPr>
      <w:r>
        <w:rPr>
          <w:rFonts w:ascii="宋体" w:hAnsi="宋体"/>
          <w:color w:val="000000"/>
          <w:sz w:val="22"/>
        </w:rPr>
        <w:t>4.3.</w:t>
      </w:r>
      <w:r>
        <w:rPr>
          <w:rFonts w:hint="eastAsia" w:ascii="宋体" w:hAnsi="宋体"/>
          <w:color w:val="000000"/>
          <w:sz w:val="22"/>
        </w:rPr>
        <w:t>4.9</w:t>
      </w:r>
      <w:r>
        <w:rPr>
          <w:rFonts w:ascii="宋体" w:hAnsi="宋体"/>
          <w:color w:val="000000"/>
          <w:sz w:val="22"/>
        </w:rPr>
        <w:t>全车零件目录所列项目中，凡非车辆制造商自身制造的配件，须提供原制造厂家的名称及原厂配件编号。</w:t>
      </w:r>
    </w:p>
    <w:p>
      <w:pPr>
        <w:snapToGrid w:val="0"/>
        <w:spacing w:line="400" w:lineRule="exact"/>
        <w:ind w:firstLine="440" w:firstLineChars="200"/>
        <w:rPr>
          <w:rFonts w:ascii="宋体" w:hAnsi="宋体"/>
          <w:color w:val="000000"/>
          <w:sz w:val="22"/>
        </w:rPr>
      </w:pPr>
      <w:r>
        <w:rPr>
          <w:rFonts w:ascii="宋体" w:hAnsi="宋体"/>
          <w:color w:val="000000"/>
          <w:sz w:val="22"/>
        </w:rPr>
        <w:t>4.3.</w:t>
      </w:r>
      <w:r>
        <w:rPr>
          <w:rFonts w:hint="eastAsia" w:ascii="宋体" w:hAnsi="宋体"/>
          <w:color w:val="000000"/>
          <w:sz w:val="22"/>
        </w:rPr>
        <w:t>4.10</w:t>
      </w:r>
      <w:r>
        <w:rPr>
          <w:rFonts w:ascii="宋体" w:hAnsi="宋体"/>
          <w:color w:val="000000"/>
          <w:sz w:val="22"/>
        </w:rPr>
        <w:t>招标文件要求及合同中规定的或投标人认为有必要提供的其它资料。</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4</w:t>
      </w:r>
      <w:r>
        <w:rPr>
          <w:rFonts w:ascii="宋体" w:hAnsi="宋体"/>
          <w:color w:val="000000"/>
          <w:sz w:val="22"/>
        </w:rPr>
        <w:t>技术培训</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4</w:t>
      </w:r>
      <w:r>
        <w:rPr>
          <w:rFonts w:ascii="宋体" w:hAnsi="宋体"/>
          <w:color w:val="000000"/>
          <w:sz w:val="22"/>
        </w:rPr>
        <w:t>.1 设备现场调试和试运行时，招标人将安排技术人员一同参与。投标人应在现场为招标人培训技术人员，培训分课堂教学和现场操作两部分。投标人应安排合格的工程师对如何正确操作、如何进行零件的拆装、如何排除故障以及检测设备的使用等给予讲解和演示。通过培训使招标人的技术人员达到熟练操作并了解设备的结构、工作原理、工作性质，能排除一般故障。现场培训的费用包括在投标总价内。现场培训时间</w:t>
      </w:r>
      <w:r>
        <w:rPr>
          <w:rFonts w:hint="eastAsia" w:ascii="宋体" w:hAnsi="宋体"/>
          <w:color w:val="000000"/>
          <w:sz w:val="22"/>
        </w:rPr>
        <w:t>不少于</w:t>
      </w:r>
      <w:r>
        <w:rPr>
          <w:rFonts w:ascii="宋体" w:hAnsi="宋体"/>
          <w:color w:val="000000"/>
          <w:sz w:val="22"/>
        </w:rPr>
        <w:t>5个工作日。招标人受训的人数为</w:t>
      </w:r>
      <w:r>
        <w:rPr>
          <w:rFonts w:hint="eastAsia" w:ascii="宋体" w:hAnsi="宋体"/>
          <w:color w:val="000000"/>
          <w:sz w:val="22"/>
        </w:rPr>
        <w:t>1</w:t>
      </w:r>
      <w:r>
        <w:rPr>
          <w:rFonts w:ascii="宋体" w:hAnsi="宋体"/>
          <w:color w:val="000000"/>
          <w:sz w:val="22"/>
        </w:rPr>
        <w:t>5人以上，具体人数由招标人和投标人协商确定。</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4</w:t>
      </w:r>
      <w:r>
        <w:rPr>
          <w:rFonts w:ascii="宋体" w:hAnsi="宋体"/>
          <w:color w:val="000000"/>
          <w:sz w:val="22"/>
        </w:rPr>
        <w:t>.2 投标书中必须列出培训计划，包括培训的内容、时间</w:t>
      </w:r>
      <w:r>
        <w:rPr>
          <w:rFonts w:hint="eastAsia" w:ascii="宋体" w:hAnsi="宋体"/>
          <w:color w:val="000000"/>
          <w:sz w:val="22"/>
        </w:rPr>
        <w:t>、</w:t>
      </w:r>
      <w:r>
        <w:rPr>
          <w:rFonts w:ascii="宋体" w:hAnsi="宋体"/>
          <w:color w:val="000000"/>
          <w:sz w:val="22"/>
        </w:rPr>
        <w:t>地点、费用等，供招标人批准。所有培训应使用中文进行。</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4</w:t>
      </w:r>
      <w:r>
        <w:rPr>
          <w:rFonts w:ascii="宋体" w:hAnsi="宋体"/>
          <w:color w:val="000000"/>
          <w:sz w:val="22"/>
        </w:rPr>
        <w:t xml:space="preserve">.3 </w:t>
      </w:r>
      <w:r>
        <w:rPr>
          <w:rFonts w:hint="eastAsia" w:ascii="宋体" w:hAnsi="宋体"/>
          <w:color w:val="000000"/>
          <w:sz w:val="22"/>
        </w:rPr>
        <w:t>投标人派出的培训教员，应是在所提供产品上具有3年以上的工作经验的工程师</w:t>
      </w:r>
      <w:r>
        <w:rPr>
          <w:rFonts w:ascii="宋体" w:hAnsi="宋体"/>
          <w:color w:val="000000"/>
          <w:sz w:val="22"/>
        </w:rPr>
        <w:t>。培训教员的简历必须连同培训计划一并提交招标人批准，招标人认为培训教员不合适时，投标人应按招标人的要求立即更换。</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5</w:t>
      </w:r>
      <w:r>
        <w:rPr>
          <w:rFonts w:ascii="宋体" w:hAnsi="宋体"/>
          <w:color w:val="000000"/>
          <w:sz w:val="22"/>
        </w:rPr>
        <w:t>运输和包装要求</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5</w:t>
      </w:r>
      <w:r>
        <w:rPr>
          <w:rFonts w:ascii="宋体" w:hAnsi="宋体"/>
          <w:color w:val="000000"/>
          <w:sz w:val="22"/>
        </w:rPr>
        <w:t>.1 投标人提供设备及随车附件的包装应为出口标准包装，这种包装应能适应运输，并便于装卸。并标明"防潮"和"防撞"的标记，一切由于包装和运输而引起的任何破损和毁坏均由投标人负责。</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5</w:t>
      </w:r>
      <w:r>
        <w:rPr>
          <w:rFonts w:ascii="宋体" w:hAnsi="宋体"/>
          <w:color w:val="000000"/>
          <w:sz w:val="22"/>
        </w:rPr>
        <w:t>.2 备件和检测设备、维修工具应与设备分开包装，有明显的标识。这些包装箱盒应适合储存，储存年限应在包装上予以说明。所有备件应加以标签。</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5</w:t>
      </w:r>
      <w:r>
        <w:rPr>
          <w:rFonts w:ascii="宋体" w:hAnsi="宋体"/>
          <w:color w:val="000000"/>
          <w:sz w:val="22"/>
        </w:rPr>
        <w:t>.3 车辆上的所有配置必须是整机装运，并采用货船的底仓运输方式。除招标人特殊批准的情况外，投标人不能在现场进行装配。</w:t>
      </w:r>
    </w:p>
    <w:p>
      <w:pPr>
        <w:snapToGrid w:val="0"/>
        <w:spacing w:line="40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5</w:t>
      </w:r>
      <w:r>
        <w:rPr>
          <w:rFonts w:ascii="宋体" w:hAnsi="宋体"/>
          <w:color w:val="000000"/>
          <w:sz w:val="22"/>
        </w:rPr>
        <w:t>.4 所有设备应采用非木质包装，应符合中国政府的有关规定。</w:t>
      </w:r>
    </w:p>
    <w:p>
      <w:pPr>
        <w:spacing w:line="400" w:lineRule="exact"/>
        <w:rPr>
          <w:rFonts w:ascii="宋体" w:hAnsi="宋体"/>
          <w:b/>
          <w:color w:val="000000"/>
          <w:sz w:val="22"/>
        </w:rPr>
      </w:pPr>
      <w:r>
        <w:rPr>
          <w:rFonts w:ascii="宋体" w:hAnsi="宋体"/>
          <w:b/>
          <w:color w:val="000000"/>
          <w:sz w:val="22"/>
        </w:rPr>
        <w:t>五、设备</w:t>
      </w:r>
      <w:r>
        <w:rPr>
          <w:rFonts w:hint="eastAsia" w:ascii="宋体" w:hAnsi="宋体"/>
          <w:b/>
          <w:color w:val="000000"/>
          <w:sz w:val="22"/>
        </w:rPr>
        <w:t>交付</w:t>
      </w:r>
      <w:r>
        <w:rPr>
          <w:rFonts w:ascii="宋体" w:hAnsi="宋体"/>
          <w:b/>
          <w:color w:val="000000"/>
          <w:sz w:val="22"/>
        </w:rPr>
        <w:t>要求</w:t>
      </w:r>
    </w:p>
    <w:p>
      <w:pPr>
        <w:spacing w:line="400" w:lineRule="exact"/>
        <w:ind w:firstLine="440" w:firstLineChars="200"/>
        <w:rPr>
          <w:rFonts w:ascii="宋体" w:hAnsi="宋体"/>
          <w:color w:val="000000"/>
          <w:sz w:val="22"/>
        </w:rPr>
      </w:pPr>
      <w:r>
        <w:rPr>
          <w:rFonts w:ascii="宋体" w:hAnsi="宋体"/>
          <w:color w:val="000000"/>
          <w:sz w:val="22"/>
        </w:rPr>
        <w:t>5.1调试和试运行</w:t>
      </w:r>
    </w:p>
    <w:p>
      <w:pPr>
        <w:spacing w:line="400" w:lineRule="exact"/>
        <w:ind w:firstLine="440" w:firstLineChars="200"/>
        <w:rPr>
          <w:rFonts w:ascii="宋体" w:hAnsi="宋体"/>
          <w:color w:val="000000"/>
          <w:sz w:val="22"/>
        </w:rPr>
      </w:pPr>
      <w:r>
        <w:rPr>
          <w:rFonts w:ascii="宋体" w:hAnsi="宋体"/>
          <w:color w:val="000000"/>
          <w:sz w:val="22"/>
        </w:rPr>
        <w:t>5.1.1 投标人应负责在现场进行车辆的调试及试运行工作。并提供调试和试运行所需的工具、设备、仪器和劳务人员。</w:t>
      </w:r>
    </w:p>
    <w:p>
      <w:pPr>
        <w:spacing w:line="400" w:lineRule="exact"/>
        <w:ind w:firstLine="440" w:firstLineChars="200"/>
        <w:rPr>
          <w:rFonts w:ascii="宋体" w:hAnsi="宋体"/>
          <w:color w:val="000000"/>
          <w:sz w:val="22"/>
        </w:rPr>
      </w:pPr>
      <w:r>
        <w:rPr>
          <w:rFonts w:ascii="宋体" w:hAnsi="宋体"/>
          <w:color w:val="000000"/>
          <w:sz w:val="22"/>
        </w:rPr>
        <w:t xml:space="preserve">5.1.2 </w:t>
      </w:r>
      <w:r>
        <w:rPr>
          <w:rFonts w:hint="eastAsia" w:ascii="宋体" w:hAnsi="宋体"/>
          <w:color w:val="000000"/>
          <w:sz w:val="22"/>
        </w:rPr>
        <w:t>投标人应委派从事调试和试运行同类设备有3年以上工作经验的人员在现场负责此项工作，检测车辆的设计、制造、运行效果等方面的情况，并负责与招标人联系有关工作。招标人认为该人员不合适时，投标人应按招标人的要求立即予以更换</w:t>
      </w:r>
      <w:r>
        <w:rPr>
          <w:rFonts w:ascii="宋体" w:hAnsi="宋体"/>
          <w:color w:val="000000"/>
          <w:sz w:val="22"/>
        </w:rPr>
        <w:t>。</w:t>
      </w:r>
    </w:p>
    <w:p>
      <w:pPr>
        <w:spacing w:line="400" w:lineRule="exact"/>
        <w:ind w:firstLine="440" w:firstLineChars="200"/>
        <w:rPr>
          <w:rFonts w:ascii="宋体" w:hAnsi="宋体"/>
          <w:color w:val="000000"/>
          <w:sz w:val="22"/>
        </w:rPr>
      </w:pPr>
      <w:r>
        <w:rPr>
          <w:rFonts w:ascii="宋体" w:hAnsi="宋体"/>
          <w:color w:val="000000"/>
          <w:sz w:val="22"/>
        </w:rPr>
        <w:t>5.1.3 投标人应在车辆调试和试运行</w:t>
      </w:r>
      <w:r>
        <w:rPr>
          <w:rFonts w:hint="eastAsia" w:ascii="宋体" w:hAnsi="宋体"/>
          <w:color w:val="000000"/>
          <w:sz w:val="22"/>
        </w:rPr>
        <w:t>7</w:t>
      </w:r>
      <w:r>
        <w:rPr>
          <w:rFonts w:ascii="宋体" w:hAnsi="宋体"/>
          <w:color w:val="000000"/>
          <w:sz w:val="22"/>
        </w:rPr>
        <w:t>天前，向招标人提交调试和试运行的程序和记录表格，供招标人批准。</w:t>
      </w:r>
    </w:p>
    <w:p>
      <w:pPr>
        <w:spacing w:line="400" w:lineRule="exact"/>
        <w:ind w:firstLine="440" w:firstLineChars="200"/>
        <w:rPr>
          <w:rFonts w:ascii="宋体" w:hAnsi="宋体"/>
          <w:color w:val="000000"/>
          <w:sz w:val="22"/>
        </w:rPr>
      </w:pPr>
      <w:r>
        <w:rPr>
          <w:rFonts w:ascii="宋体" w:hAnsi="宋体"/>
          <w:color w:val="000000"/>
          <w:sz w:val="22"/>
        </w:rPr>
        <w:t>5.1.4 投标人必须在接到招标人通知</w:t>
      </w:r>
      <w:r>
        <w:rPr>
          <w:rFonts w:hint="eastAsia" w:ascii="宋体" w:hAnsi="宋体"/>
          <w:color w:val="000000"/>
          <w:sz w:val="22"/>
        </w:rPr>
        <w:t>7</w:t>
      </w:r>
      <w:r>
        <w:rPr>
          <w:rFonts w:ascii="宋体" w:hAnsi="宋体"/>
          <w:color w:val="000000"/>
          <w:sz w:val="22"/>
        </w:rPr>
        <w:t>天内派员到达现场，并做好调试和试运行的准备工作。在没有得到招标人允许前，投标人不能更换和撤走任何一个指导人员。</w:t>
      </w:r>
    </w:p>
    <w:p>
      <w:pPr>
        <w:spacing w:line="400" w:lineRule="exact"/>
        <w:ind w:firstLine="440" w:firstLineChars="200"/>
        <w:rPr>
          <w:rFonts w:ascii="宋体" w:hAnsi="宋体"/>
          <w:color w:val="000000"/>
          <w:sz w:val="22"/>
        </w:rPr>
      </w:pPr>
      <w:r>
        <w:rPr>
          <w:rFonts w:ascii="宋体" w:hAnsi="宋体"/>
          <w:color w:val="000000"/>
          <w:sz w:val="22"/>
        </w:rPr>
        <w:t>5.1.5 投标人应根据被招标人批准的计划并有招标人代表在场的情况下进行调试和试运行，所有的记录和报告应提交招标人。由于投标人原因造成的调试和试运行失败及由此引起的延误和所发生的费用由投标人负责。</w:t>
      </w:r>
    </w:p>
    <w:p>
      <w:pPr>
        <w:spacing w:line="400" w:lineRule="exact"/>
        <w:ind w:firstLine="440" w:firstLineChars="200"/>
        <w:rPr>
          <w:rFonts w:ascii="宋体" w:hAnsi="宋体"/>
          <w:color w:val="000000"/>
          <w:sz w:val="22"/>
        </w:rPr>
      </w:pPr>
      <w:r>
        <w:rPr>
          <w:rFonts w:ascii="宋体" w:hAnsi="宋体"/>
          <w:color w:val="000000"/>
          <w:sz w:val="22"/>
        </w:rPr>
        <w:t>5.1.6 投标人应承担调试和试运行工作所需的一切费用，此费用包含在投标总价内。</w:t>
      </w:r>
    </w:p>
    <w:p>
      <w:pPr>
        <w:spacing w:line="400" w:lineRule="exact"/>
        <w:ind w:firstLine="440" w:firstLineChars="200"/>
        <w:rPr>
          <w:rFonts w:ascii="宋体" w:hAnsi="宋体"/>
          <w:color w:val="000000"/>
          <w:sz w:val="22"/>
        </w:rPr>
      </w:pPr>
      <w:r>
        <w:rPr>
          <w:rFonts w:ascii="宋体" w:hAnsi="宋体"/>
          <w:color w:val="000000"/>
          <w:sz w:val="22"/>
        </w:rPr>
        <w:t>5.2验收</w:t>
      </w:r>
    </w:p>
    <w:p>
      <w:pPr>
        <w:spacing w:line="400" w:lineRule="exact"/>
        <w:ind w:firstLine="440" w:firstLineChars="200"/>
        <w:rPr>
          <w:rFonts w:ascii="宋体" w:hAnsi="宋体"/>
          <w:color w:val="000000"/>
          <w:sz w:val="22"/>
        </w:rPr>
      </w:pPr>
      <w:r>
        <w:rPr>
          <w:rFonts w:ascii="宋体" w:hAnsi="宋体"/>
          <w:color w:val="000000"/>
          <w:sz w:val="22"/>
        </w:rPr>
        <w:t xml:space="preserve">5.2.1 </w:t>
      </w:r>
      <w:r>
        <w:rPr>
          <w:rFonts w:hint="eastAsia" w:ascii="宋体" w:hAnsi="宋体"/>
          <w:color w:val="000000"/>
          <w:sz w:val="22"/>
        </w:rPr>
        <w:t>交付车辆经过10天试运行并完成4.4条规定的技术培训后，由招标人和投标人共同组织有关专家按验收计划进行最后的验收</w:t>
      </w:r>
      <w:r>
        <w:rPr>
          <w:rFonts w:ascii="宋体" w:hAnsi="宋体"/>
          <w:color w:val="000000"/>
          <w:sz w:val="22"/>
        </w:rPr>
        <w:t>。</w:t>
      </w:r>
    </w:p>
    <w:p>
      <w:pPr>
        <w:spacing w:line="400" w:lineRule="exact"/>
        <w:ind w:firstLine="440" w:firstLineChars="200"/>
        <w:rPr>
          <w:rFonts w:ascii="宋体" w:hAnsi="宋体"/>
          <w:color w:val="000000"/>
          <w:sz w:val="22"/>
        </w:rPr>
      </w:pPr>
      <w:r>
        <w:rPr>
          <w:rFonts w:ascii="宋体" w:hAnsi="宋体"/>
          <w:color w:val="000000"/>
          <w:sz w:val="22"/>
        </w:rPr>
        <w:t>5.2.2 投标人在投标时须提供验收计划，供招标人批准。</w:t>
      </w:r>
    </w:p>
    <w:p>
      <w:pPr>
        <w:spacing w:line="400" w:lineRule="exact"/>
        <w:ind w:firstLine="440" w:firstLineChars="200"/>
        <w:rPr>
          <w:rFonts w:ascii="宋体" w:hAnsi="宋体"/>
          <w:color w:val="000000"/>
          <w:sz w:val="22"/>
        </w:rPr>
      </w:pPr>
      <w:r>
        <w:rPr>
          <w:rFonts w:ascii="宋体" w:hAnsi="宋体"/>
          <w:color w:val="000000"/>
          <w:sz w:val="22"/>
        </w:rPr>
        <w:t>5.2.3 投标人应负责设备的保护、保养及清洁，直到移交招标人为止。</w:t>
      </w:r>
    </w:p>
    <w:p>
      <w:pPr>
        <w:spacing w:line="400" w:lineRule="exact"/>
        <w:ind w:firstLine="440" w:firstLineChars="200"/>
        <w:rPr>
          <w:rFonts w:ascii="宋体" w:hAnsi="宋体"/>
          <w:color w:val="000000"/>
          <w:sz w:val="22"/>
        </w:rPr>
      </w:pPr>
      <w:r>
        <w:rPr>
          <w:rFonts w:ascii="宋体" w:hAnsi="宋体"/>
          <w:color w:val="000000"/>
          <w:sz w:val="22"/>
        </w:rPr>
        <w:t>5.2.4 验收合格条件：</w:t>
      </w:r>
    </w:p>
    <w:p>
      <w:pPr>
        <w:spacing w:line="400" w:lineRule="exact"/>
        <w:ind w:firstLine="440" w:firstLineChars="200"/>
        <w:rPr>
          <w:rFonts w:ascii="宋体" w:hAnsi="宋体"/>
          <w:color w:val="000000"/>
          <w:sz w:val="22"/>
        </w:rPr>
      </w:pPr>
      <w:r>
        <w:rPr>
          <w:rFonts w:ascii="宋体" w:hAnsi="宋体"/>
          <w:color w:val="000000"/>
          <w:sz w:val="22"/>
        </w:rPr>
        <w:t>5.2.4.1 试运行时，各项性能指标满足合同中的技术要求。</w:t>
      </w:r>
    </w:p>
    <w:p>
      <w:pPr>
        <w:spacing w:line="400" w:lineRule="exact"/>
        <w:ind w:firstLine="440" w:firstLineChars="200"/>
        <w:rPr>
          <w:rFonts w:ascii="宋体" w:hAnsi="宋体"/>
          <w:color w:val="000000"/>
          <w:sz w:val="22"/>
        </w:rPr>
      </w:pPr>
      <w:r>
        <w:rPr>
          <w:rFonts w:ascii="宋体" w:hAnsi="宋体"/>
          <w:color w:val="000000"/>
          <w:sz w:val="22"/>
        </w:rPr>
        <w:t>5.2.4.2 调试和试运行时出现的问题已被解决至招标人认可。</w:t>
      </w:r>
    </w:p>
    <w:p>
      <w:pPr>
        <w:spacing w:line="400" w:lineRule="exact"/>
        <w:ind w:firstLine="440" w:firstLineChars="200"/>
        <w:rPr>
          <w:rFonts w:ascii="宋体" w:hAnsi="宋体"/>
          <w:sz w:val="22"/>
        </w:rPr>
      </w:pPr>
      <w:r>
        <w:rPr>
          <w:rFonts w:hint="eastAsia" w:ascii="宋体" w:hAnsi="宋体"/>
          <w:sz w:val="22"/>
        </w:rPr>
        <w:t>5.2.4.3 已完成招标文件规定的全部培训内容。</w:t>
      </w:r>
    </w:p>
    <w:p>
      <w:pPr>
        <w:spacing w:line="400" w:lineRule="exact"/>
        <w:ind w:firstLine="440" w:firstLineChars="200"/>
        <w:rPr>
          <w:rFonts w:ascii="宋体" w:hAnsi="宋体"/>
          <w:color w:val="000000"/>
          <w:sz w:val="22"/>
        </w:rPr>
      </w:pPr>
      <w:r>
        <w:rPr>
          <w:rFonts w:ascii="宋体" w:hAnsi="宋体"/>
          <w:color w:val="000000"/>
          <w:sz w:val="22"/>
        </w:rPr>
        <w:t>5.2.4.</w:t>
      </w:r>
      <w:r>
        <w:rPr>
          <w:rFonts w:hint="eastAsia" w:ascii="宋体" w:hAnsi="宋体"/>
          <w:color w:val="000000"/>
          <w:sz w:val="22"/>
        </w:rPr>
        <w:t>4</w:t>
      </w:r>
      <w:r>
        <w:rPr>
          <w:rFonts w:ascii="宋体" w:hAnsi="宋体"/>
          <w:color w:val="000000"/>
          <w:sz w:val="22"/>
        </w:rPr>
        <w:t xml:space="preserve"> 已提供了合同范围内的全部货物和资料。</w:t>
      </w:r>
    </w:p>
    <w:p>
      <w:pPr>
        <w:spacing w:line="400" w:lineRule="exact"/>
        <w:ind w:firstLine="440" w:firstLineChars="200"/>
        <w:rPr>
          <w:rFonts w:ascii="宋体" w:hAnsi="宋体"/>
          <w:color w:val="000000"/>
          <w:sz w:val="22"/>
        </w:rPr>
      </w:pPr>
      <w:r>
        <w:rPr>
          <w:rFonts w:ascii="宋体" w:hAnsi="宋体"/>
          <w:color w:val="000000"/>
          <w:sz w:val="22"/>
        </w:rPr>
        <w:t>5.3售后服务</w:t>
      </w:r>
    </w:p>
    <w:p>
      <w:pPr>
        <w:spacing w:line="400" w:lineRule="exact"/>
        <w:ind w:firstLine="440" w:firstLineChars="200"/>
        <w:rPr>
          <w:rFonts w:ascii="宋体" w:hAnsi="宋体"/>
          <w:color w:val="000000"/>
          <w:sz w:val="22"/>
        </w:rPr>
      </w:pPr>
      <w:r>
        <w:rPr>
          <w:rFonts w:ascii="宋体" w:hAnsi="宋体"/>
          <w:color w:val="000000"/>
          <w:sz w:val="22"/>
        </w:rPr>
        <w:t>5.3.1 制造商在中国大陆内设有常驻售后服务机构，处理所有保修服务，该服务必须是24小时提供的，在接到招标人报修通知后24小时内维修人员应赶到现场，并进行连续维修，直到故障完全排除，车辆恢复正常为止。该机构须备有足够的零备件，以满足招标人的维修需要。从招标人订购零部件到收到所订零部件的最长时间，常用零配件不超过7天，总成大部件不超过45天。</w:t>
      </w:r>
    </w:p>
    <w:p>
      <w:pPr>
        <w:spacing w:line="400" w:lineRule="exact"/>
        <w:ind w:firstLine="440" w:firstLineChars="200"/>
        <w:rPr>
          <w:rFonts w:ascii="宋体" w:hAnsi="宋体"/>
          <w:sz w:val="22"/>
        </w:rPr>
      </w:pPr>
      <w:r>
        <w:rPr>
          <w:rFonts w:ascii="宋体" w:hAnsi="宋体"/>
          <w:sz w:val="22"/>
        </w:rPr>
        <w:t>5.3.2 投标人必须为投标车辆及随车附属设备提供为期24个月的免费保修期，</w:t>
      </w:r>
      <w:bookmarkStart w:id="73" w:name="OLE_LINK1"/>
      <w:bookmarkStart w:id="74" w:name="OLE_LINK2"/>
      <w:r>
        <w:rPr>
          <w:rFonts w:ascii="宋体" w:hAnsi="宋体"/>
          <w:sz w:val="22"/>
        </w:rPr>
        <w:t>时间从验收合格并正式移交招标人之日算起。</w:t>
      </w:r>
      <w:bookmarkEnd w:id="73"/>
      <w:bookmarkEnd w:id="74"/>
      <w:r>
        <w:rPr>
          <w:rFonts w:ascii="宋体" w:hAnsi="宋体"/>
          <w:sz w:val="22"/>
        </w:rPr>
        <w:t>保修期内由于车辆或设备质量原因造成的损伤和毁坏，投标人必须免费修复和更换</w:t>
      </w:r>
      <w:r>
        <w:rPr>
          <w:rFonts w:hint="eastAsia" w:ascii="宋体" w:hAnsi="宋体"/>
          <w:sz w:val="22"/>
        </w:rPr>
        <w:t>，保修范围包括人工费、材料费以及其他附加费用，投标人不承担任何费用</w:t>
      </w:r>
      <w:r>
        <w:rPr>
          <w:rFonts w:ascii="宋体" w:hAnsi="宋体"/>
          <w:sz w:val="22"/>
        </w:rPr>
        <w:t>；</w:t>
      </w:r>
      <w:r>
        <w:rPr>
          <w:rFonts w:hint="eastAsia" w:ascii="宋体" w:hAnsi="宋体"/>
          <w:sz w:val="22"/>
        </w:rPr>
        <w:t>保修</w:t>
      </w:r>
      <w:r>
        <w:rPr>
          <w:rFonts w:ascii="宋体" w:hAnsi="宋体"/>
          <w:sz w:val="22"/>
        </w:rPr>
        <w:t>部位的保修期</w:t>
      </w:r>
      <w:r>
        <w:rPr>
          <w:rFonts w:hint="eastAsia" w:ascii="宋体" w:hAnsi="宋体"/>
          <w:sz w:val="22"/>
        </w:rPr>
        <w:t>计算时间不少于6个月，具体计算方式是：从故障修复起计算，离整车质保期满6个月以上的，以整车质保期到期为限；离整车质保期满不到6个月的，故障修复部位质保期延长至6个月。</w:t>
      </w:r>
      <w:r>
        <w:rPr>
          <w:rFonts w:ascii="宋体" w:hAnsi="宋体"/>
          <w:sz w:val="22"/>
        </w:rPr>
        <w:t>执行</w:t>
      </w:r>
      <w:r>
        <w:rPr>
          <w:rFonts w:hint="eastAsia" w:ascii="宋体" w:hAnsi="宋体"/>
          <w:sz w:val="22"/>
        </w:rPr>
        <w:t>所有</w:t>
      </w:r>
      <w:r>
        <w:rPr>
          <w:rFonts w:ascii="宋体" w:hAnsi="宋体"/>
          <w:sz w:val="22"/>
        </w:rPr>
        <w:t>售后服务工作的厂家必须对投标车辆的维修技术能力方面具有相应的资质</w:t>
      </w:r>
      <w:r>
        <w:rPr>
          <w:rFonts w:hint="eastAsia" w:ascii="宋体" w:hAnsi="宋体"/>
          <w:sz w:val="22"/>
        </w:rPr>
        <w:t>（经所投车辆生产厂家授权的售后服务商或获得中华人民共和国道路运输经营二类及以上机动车维修许可）</w:t>
      </w:r>
      <w:r>
        <w:rPr>
          <w:rFonts w:ascii="宋体" w:hAnsi="宋体"/>
          <w:sz w:val="22"/>
        </w:rPr>
        <w:t>，并必须提供相应的证明文件。</w:t>
      </w:r>
    </w:p>
    <w:p>
      <w:pPr>
        <w:spacing w:line="400" w:lineRule="exact"/>
        <w:ind w:firstLine="440" w:firstLineChars="200"/>
        <w:rPr>
          <w:rFonts w:ascii="宋体" w:hAnsi="宋体"/>
          <w:color w:val="000000"/>
          <w:sz w:val="22"/>
        </w:rPr>
      </w:pPr>
      <w:r>
        <w:rPr>
          <w:rFonts w:ascii="宋体" w:hAnsi="宋体"/>
          <w:color w:val="000000"/>
          <w:sz w:val="22"/>
        </w:rPr>
        <w:t>5.3.3如果</w:t>
      </w:r>
      <w:r>
        <w:rPr>
          <w:rFonts w:ascii="宋体" w:hAnsi="宋体"/>
          <w:sz w:val="22"/>
        </w:rPr>
        <w:t>投标</w:t>
      </w:r>
      <w:r>
        <w:rPr>
          <w:rFonts w:hint="eastAsia" w:ascii="宋体" w:hAnsi="宋体"/>
          <w:color w:val="000000"/>
          <w:sz w:val="22"/>
        </w:rPr>
        <w:t>车辆</w:t>
      </w:r>
      <w:r>
        <w:rPr>
          <w:rFonts w:ascii="宋体" w:hAnsi="宋体"/>
          <w:color w:val="000000"/>
          <w:sz w:val="22"/>
        </w:rPr>
        <w:t>主要部件（</w:t>
      </w:r>
      <w:r>
        <w:rPr>
          <w:rFonts w:hint="eastAsia" w:ascii="宋体" w:hAnsi="宋体"/>
          <w:color w:val="000000"/>
          <w:sz w:val="22"/>
        </w:rPr>
        <w:t>主要部件是指：发动机、变速箱、底盘系统、消防水泵、消防主炮、消防副炮</w:t>
      </w:r>
      <w:r>
        <w:rPr>
          <w:rFonts w:ascii="宋体" w:hAnsi="宋体"/>
          <w:color w:val="000000"/>
          <w:sz w:val="22"/>
        </w:rPr>
        <w:t>）的生产厂家为投标人或最终用户提供了多于24个月的免费保修期，则投标人应将此权利告知招标人，招标人作为最终用户享有此权利。招标人向该部件的生产厂家提出免费保修要求，投标人应提供必要的协助。投标人在投标书中提供主要部件的说明时应同时按此条款说明保修的期限并填入附件</w:t>
      </w:r>
      <w:r>
        <w:rPr>
          <w:rFonts w:hint="eastAsia" w:ascii="宋体" w:hAnsi="宋体"/>
          <w:color w:val="000000"/>
          <w:sz w:val="22"/>
        </w:rPr>
        <w:t>一</w:t>
      </w:r>
      <w:r>
        <w:rPr>
          <w:rFonts w:ascii="宋体" w:hAnsi="宋体"/>
          <w:color w:val="000000"/>
          <w:sz w:val="22"/>
        </w:rPr>
        <w:t>“整车及各主要部件保修期限表”中。</w:t>
      </w:r>
    </w:p>
    <w:p>
      <w:pPr>
        <w:spacing w:line="400" w:lineRule="exact"/>
        <w:ind w:firstLine="440" w:firstLineChars="200"/>
        <w:rPr>
          <w:rFonts w:ascii="宋体" w:hAnsi="宋体"/>
          <w:color w:val="000000"/>
          <w:sz w:val="22"/>
        </w:rPr>
      </w:pPr>
      <w:r>
        <w:rPr>
          <w:rFonts w:ascii="宋体" w:hAnsi="宋体"/>
          <w:color w:val="000000"/>
          <w:sz w:val="22"/>
        </w:rPr>
        <w:t>5.3.4 保修期结束前2个月必须由投标人的工程师和招标人代表一起对交付车辆进行一次全面测试和检查。任何问题投标人必须负责解决，并得到招标人代表的认可。在修理之后5天内，投标人应将问题成因、补救措施、完成情况及设备恢复正常的时间、日期等报告招标人。该报告一式两份。</w:t>
      </w:r>
    </w:p>
    <w:p>
      <w:pPr>
        <w:spacing w:line="400" w:lineRule="exact"/>
        <w:ind w:firstLine="440" w:firstLineChars="200"/>
        <w:rPr>
          <w:rFonts w:ascii="宋体" w:hAnsi="宋体"/>
          <w:sz w:val="22"/>
        </w:rPr>
      </w:pPr>
      <w:r>
        <w:rPr>
          <w:rFonts w:ascii="宋体" w:hAnsi="宋体"/>
          <w:sz w:val="22"/>
        </w:rPr>
        <w:t>5.3.5 投标人在投标时须提交一份整车</w:t>
      </w:r>
      <w:r>
        <w:rPr>
          <w:rFonts w:hint="eastAsia" w:ascii="宋体" w:hAnsi="宋体"/>
          <w:sz w:val="22"/>
        </w:rPr>
        <w:t>24个月质保期</w:t>
      </w:r>
      <w:r>
        <w:rPr>
          <w:rFonts w:ascii="宋体" w:hAnsi="宋体"/>
          <w:sz w:val="22"/>
        </w:rPr>
        <w:t>内由投标人承担投标车辆正常维护保养</w:t>
      </w:r>
      <w:r>
        <w:rPr>
          <w:rFonts w:hint="eastAsia" w:ascii="宋体" w:hAnsi="宋体"/>
          <w:sz w:val="22"/>
        </w:rPr>
        <w:t>承诺书（填入附件三）</w:t>
      </w:r>
      <w:r>
        <w:rPr>
          <w:rFonts w:ascii="宋体" w:hAnsi="宋体"/>
          <w:sz w:val="22"/>
        </w:rPr>
        <w:t>，费用计入</w:t>
      </w:r>
      <w:r>
        <w:rPr>
          <w:rFonts w:hint="eastAsia" w:ascii="宋体" w:hAnsi="宋体"/>
          <w:sz w:val="22"/>
        </w:rPr>
        <w:t>投标</w:t>
      </w:r>
      <w:r>
        <w:rPr>
          <w:rFonts w:ascii="宋体" w:hAnsi="宋体"/>
          <w:sz w:val="22"/>
        </w:rPr>
        <w:t>总价。</w:t>
      </w:r>
      <w:r>
        <w:rPr>
          <w:rFonts w:hint="eastAsia" w:ascii="宋体" w:hAnsi="宋体"/>
          <w:sz w:val="22"/>
        </w:rPr>
        <w:t>承诺书</w:t>
      </w:r>
      <w:r>
        <w:rPr>
          <w:rFonts w:ascii="宋体" w:hAnsi="宋体"/>
          <w:sz w:val="22"/>
        </w:rPr>
        <w:t>至少包括以下内容：</w:t>
      </w:r>
    </w:p>
    <w:p>
      <w:pPr>
        <w:spacing w:line="400" w:lineRule="exact"/>
        <w:ind w:firstLine="440" w:firstLineChars="200"/>
        <w:rPr>
          <w:rFonts w:ascii="宋体" w:hAnsi="宋体"/>
          <w:sz w:val="22"/>
        </w:rPr>
      </w:pPr>
      <w:r>
        <w:rPr>
          <w:rFonts w:ascii="宋体" w:hAnsi="宋体"/>
          <w:sz w:val="22"/>
        </w:rPr>
        <w:t>5.3.5.1</w:t>
      </w:r>
      <w:r>
        <w:rPr>
          <w:rFonts w:hint="eastAsia" w:ascii="宋体" w:hAnsi="宋体"/>
          <w:sz w:val="22"/>
        </w:rPr>
        <w:t>维护保养的项目和时间安排</w:t>
      </w:r>
    </w:p>
    <w:p>
      <w:pPr>
        <w:spacing w:line="400" w:lineRule="exact"/>
        <w:ind w:firstLine="440" w:firstLineChars="200"/>
        <w:rPr>
          <w:rFonts w:ascii="宋体" w:hAnsi="宋体"/>
          <w:sz w:val="22"/>
        </w:rPr>
      </w:pPr>
      <w:r>
        <w:rPr>
          <w:rFonts w:hint="eastAsia" w:ascii="宋体" w:hAnsi="宋体"/>
          <w:sz w:val="22"/>
        </w:rPr>
        <w:t>包括：质保期内</w:t>
      </w:r>
      <w:r>
        <w:rPr>
          <w:rFonts w:ascii="宋体" w:hAnsi="宋体"/>
          <w:sz w:val="22"/>
        </w:rPr>
        <w:t>车辆</w:t>
      </w:r>
      <w:r>
        <w:rPr>
          <w:rFonts w:hint="eastAsia" w:ascii="宋体" w:hAnsi="宋体"/>
          <w:sz w:val="22"/>
        </w:rPr>
        <w:t>正常运行所需的</w:t>
      </w:r>
      <w:r>
        <w:rPr>
          <w:rFonts w:ascii="宋体" w:hAnsi="宋体"/>
          <w:sz w:val="22"/>
        </w:rPr>
        <w:t>维护</w:t>
      </w:r>
      <w:r>
        <w:rPr>
          <w:rFonts w:hint="eastAsia" w:ascii="宋体" w:hAnsi="宋体"/>
          <w:sz w:val="22"/>
        </w:rPr>
        <w:t>保养工作内容和次数（按照车辆维保手册规定的保养周期和保养内容，如承诺的范围与车辆维保手册规定的不符，实际执行维保时以维保手册的规定为准，招标人不承担任何费用）；</w:t>
      </w:r>
    </w:p>
    <w:p>
      <w:pPr>
        <w:spacing w:line="400" w:lineRule="exact"/>
        <w:ind w:firstLine="440" w:firstLineChars="200"/>
        <w:rPr>
          <w:rFonts w:ascii="宋体" w:hAnsi="宋体"/>
          <w:sz w:val="22"/>
        </w:rPr>
      </w:pPr>
      <w:r>
        <w:rPr>
          <w:rFonts w:hint="eastAsia" w:ascii="宋体" w:hAnsi="宋体"/>
          <w:sz w:val="22"/>
        </w:rPr>
        <w:t>5.3.5.2</w:t>
      </w:r>
      <w:r>
        <w:rPr>
          <w:rFonts w:ascii="宋体" w:hAnsi="宋体"/>
          <w:sz w:val="22"/>
        </w:rPr>
        <w:t>维护</w:t>
      </w:r>
      <w:r>
        <w:rPr>
          <w:rFonts w:hint="eastAsia" w:ascii="宋体" w:hAnsi="宋体"/>
          <w:sz w:val="22"/>
        </w:rPr>
        <w:t>保养所需</w:t>
      </w:r>
      <w:r>
        <w:rPr>
          <w:rFonts w:ascii="宋体" w:hAnsi="宋体"/>
          <w:color w:val="000000"/>
          <w:sz w:val="22"/>
        </w:rPr>
        <w:t>物料的名称、型号</w:t>
      </w:r>
      <w:r>
        <w:rPr>
          <w:rFonts w:hint="eastAsia" w:ascii="宋体" w:hAnsi="宋体"/>
          <w:color w:val="000000"/>
          <w:sz w:val="22"/>
        </w:rPr>
        <w:t>、数量</w:t>
      </w:r>
      <w:r>
        <w:rPr>
          <w:rFonts w:ascii="宋体" w:hAnsi="宋体"/>
          <w:color w:val="000000"/>
          <w:sz w:val="22"/>
        </w:rPr>
        <w:t>、单价</w:t>
      </w:r>
      <w:r>
        <w:rPr>
          <w:rFonts w:hint="eastAsia" w:ascii="宋体" w:hAnsi="宋体"/>
          <w:color w:val="000000"/>
          <w:sz w:val="22"/>
        </w:rPr>
        <w:t>；</w:t>
      </w:r>
    </w:p>
    <w:p>
      <w:pPr>
        <w:spacing w:line="400" w:lineRule="exact"/>
        <w:ind w:firstLine="440" w:firstLineChars="200"/>
        <w:rPr>
          <w:rFonts w:ascii="宋体" w:hAnsi="宋体"/>
          <w:color w:val="000000"/>
          <w:sz w:val="22"/>
        </w:rPr>
      </w:pPr>
      <w:r>
        <w:rPr>
          <w:rFonts w:ascii="宋体" w:hAnsi="宋体"/>
          <w:sz w:val="22"/>
        </w:rPr>
        <w:t>5.3.5.</w:t>
      </w:r>
      <w:r>
        <w:rPr>
          <w:rFonts w:hint="eastAsia" w:ascii="宋体" w:hAnsi="宋体"/>
          <w:sz w:val="22"/>
        </w:rPr>
        <w:t>3完成5.3.5.1要求保养内容所需的人工和物料费用明细清单；</w:t>
      </w:r>
      <w:r>
        <w:rPr>
          <w:rFonts w:hint="eastAsia" w:ascii="宋体" w:hAnsi="宋体"/>
          <w:color w:val="000000"/>
          <w:sz w:val="22"/>
        </w:rPr>
        <w:t xml:space="preserve"> </w:t>
      </w:r>
    </w:p>
    <w:p>
      <w:pPr>
        <w:spacing w:line="400" w:lineRule="exact"/>
        <w:ind w:firstLine="440" w:firstLineChars="200"/>
        <w:rPr>
          <w:rFonts w:ascii="宋体" w:hAnsi="宋体"/>
          <w:sz w:val="22"/>
        </w:rPr>
      </w:pPr>
      <w:r>
        <w:rPr>
          <w:rFonts w:hint="eastAsia" w:ascii="宋体" w:hAnsi="宋体"/>
          <w:sz w:val="22"/>
        </w:rPr>
        <w:t>5.3.5.4投标人</w:t>
      </w:r>
      <w:r>
        <w:rPr>
          <w:rFonts w:ascii="宋体" w:hAnsi="宋体"/>
          <w:sz w:val="22"/>
        </w:rPr>
        <w:t>不承担内容。</w:t>
      </w:r>
    </w:p>
    <w:p>
      <w:pPr>
        <w:spacing w:line="400" w:lineRule="exact"/>
        <w:ind w:firstLine="440" w:firstLineChars="200"/>
        <w:rPr>
          <w:rFonts w:ascii="宋体" w:hAnsi="宋体"/>
          <w:sz w:val="22"/>
        </w:rPr>
      </w:pPr>
      <w:r>
        <w:rPr>
          <w:rFonts w:ascii="宋体" w:hAnsi="宋体"/>
          <w:sz w:val="22"/>
        </w:rPr>
        <w:t>5.3.5.</w:t>
      </w:r>
      <w:r>
        <w:rPr>
          <w:rFonts w:hint="eastAsia" w:ascii="宋体" w:hAnsi="宋体"/>
          <w:sz w:val="22"/>
        </w:rPr>
        <w:t>5</w:t>
      </w:r>
      <w:r>
        <w:rPr>
          <w:rFonts w:ascii="宋体" w:hAnsi="宋体"/>
          <w:sz w:val="22"/>
        </w:rPr>
        <w:t>双方责任。</w:t>
      </w:r>
    </w:p>
    <w:p>
      <w:pPr>
        <w:spacing w:line="400" w:lineRule="exact"/>
        <w:ind w:firstLine="440" w:firstLineChars="200"/>
        <w:rPr>
          <w:rFonts w:ascii="宋体" w:hAnsi="宋体"/>
          <w:sz w:val="22"/>
        </w:rPr>
      </w:pPr>
      <w:r>
        <w:rPr>
          <w:rFonts w:ascii="宋体" w:hAnsi="宋体"/>
          <w:sz w:val="22"/>
        </w:rPr>
        <w:t>5.3.5.</w:t>
      </w:r>
      <w:r>
        <w:rPr>
          <w:rFonts w:hint="eastAsia" w:ascii="宋体" w:hAnsi="宋体"/>
          <w:sz w:val="22"/>
        </w:rPr>
        <w:t>6</w:t>
      </w:r>
      <w:r>
        <w:rPr>
          <w:rFonts w:ascii="宋体" w:hAnsi="宋体"/>
          <w:sz w:val="22"/>
        </w:rPr>
        <w:t>其它。</w:t>
      </w:r>
    </w:p>
    <w:p>
      <w:pPr>
        <w:spacing w:line="400" w:lineRule="exact"/>
        <w:ind w:firstLine="440" w:firstLineChars="200"/>
        <w:rPr>
          <w:rFonts w:ascii="宋体" w:hAnsi="宋体"/>
          <w:color w:val="000000"/>
          <w:sz w:val="22"/>
        </w:rPr>
      </w:pPr>
      <w:r>
        <w:rPr>
          <w:rFonts w:hint="eastAsia" w:ascii="宋体" w:hAnsi="宋体"/>
          <w:sz w:val="22"/>
        </w:rPr>
        <w:t>5.3.6</w:t>
      </w:r>
      <w:r>
        <w:rPr>
          <w:rFonts w:ascii="宋体" w:hAnsi="宋体"/>
          <w:color w:val="000000"/>
          <w:sz w:val="22"/>
        </w:rPr>
        <w:t xml:space="preserve"> 在24个月的保修期内，投标人须至少四次走访招标人，了解其产品的运行情况，并负责解决其产品出现的一切问题，费用由投标人承担。</w:t>
      </w:r>
    </w:p>
    <w:p>
      <w:pPr>
        <w:spacing w:line="400" w:lineRule="exact"/>
        <w:ind w:firstLine="440" w:firstLineChars="200"/>
        <w:rPr>
          <w:rFonts w:ascii="宋体" w:hAnsi="宋体"/>
          <w:color w:val="000000"/>
          <w:sz w:val="22"/>
        </w:rPr>
      </w:pPr>
      <w:r>
        <w:rPr>
          <w:rFonts w:ascii="宋体" w:hAnsi="宋体"/>
          <w:color w:val="000000"/>
          <w:sz w:val="22"/>
        </w:rPr>
        <w:t>5.4备件供应</w:t>
      </w:r>
    </w:p>
    <w:p>
      <w:pPr>
        <w:spacing w:line="400" w:lineRule="exact"/>
        <w:ind w:firstLine="440" w:firstLineChars="200"/>
        <w:rPr>
          <w:rFonts w:ascii="宋体" w:hAnsi="宋体"/>
          <w:color w:val="000000"/>
          <w:sz w:val="22"/>
        </w:rPr>
      </w:pPr>
      <w:r>
        <w:rPr>
          <w:rFonts w:ascii="宋体" w:hAnsi="宋体"/>
          <w:color w:val="000000"/>
          <w:sz w:val="22"/>
        </w:rPr>
        <w:t>5.4.1 在保修期内，由于产品质量</w:t>
      </w:r>
      <w:r>
        <w:rPr>
          <w:rFonts w:hint="eastAsia" w:ascii="宋体" w:hAnsi="宋体"/>
          <w:color w:val="000000"/>
          <w:sz w:val="22"/>
        </w:rPr>
        <w:t>原因</w:t>
      </w:r>
      <w:r>
        <w:rPr>
          <w:rFonts w:ascii="宋体" w:hAnsi="宋体"/>
          <w:color w:val="000000"/>
          <w:sz w:val="22"/>
        </w:rPr>
        <w:t>造成车辆的故障和损坏，备件均由投标人免费提供维修和更换。</w:t>
      </w:r>
    </w:p>
    <w:p>
      <w:pPr>
        <w:spacing w:line="400" w:lineRule="exact"/>
        <w:ind w:firstLine="440" w:firstLineChars="200"/>
        <w:rPr>
          <w:rFonts w:ascii="宋体" w:hAnsi="宋体"/>
          <w:color w:val="000000"/>
          <w:sz w:val="22"/>
        </w:rPr>
      </w:pPr>
      <w:r>
        <w:rPr>
          <w:rFonts w:ascii="宋体" w:hAnsi="宋体"/>
          <w:color w:val="000000"/>
          <w:sz w:val="22"/>
        </w:rPr>
        <w:t>5.4.</w:t>
      </w:r>
      <w:r>
        <w:rPr>
          <w:rFonts w:hint="eastAsia" w:ascii="宋体" w:hAnsi="宋体"/>
          <w:color w:val="000000"/>
          <w:sz w:val="22"/>
        </w:rPr>
        <w:t>2</w:t>
      </w:r>
      <w:r>
        <w:rPr>
          <w:rFonts w:ascii="宋体" w:hAnsi="宋体"/>
          <w:color w:val="000000"/>
          <w:sz w:val="22"/>
        </w:rPr>
        <w:t xml:space="preserve"> 投标人提供投标车辆全部备件的时限不得低于15年，并保证配件的价格在质保期内不高于投标时的价格；</w:t>
      </w:r>
      <w:r>
        <w:rPr>
          <w:rFonts w:hint="eastAsia" w:ascii="宋体" w:hAnsi="宋体"/>
          <w:color w:val="000000"/>
          <w:sz w:val="22"/>
        </w:rPr>
        <w:t>质保期</w:t>
      </w:r>
      <w:r>
        <w:rPr>
          <w:rFonts w:ascii="宋体" w:hAnsi="宋体"/>
          <w:color w:val="000000"/>
          <w:sz w:val="22"/>
        </w:rPr>
        <w:t>内，若发生备件改型而需要对</w:t>
      </w:r>
      <w:r>
        <w:rPr>
          <w:rFonts w:hint="eastAsia" w:ascii="宋体" w:hAnsi="宋体"/>
          <w:color w:val="000000"/>
          <w:sz w:val="22"/>
        </w:rPr>
        <w:t>投标</w:t>
      </w:r>
      <w:r>
        <w:rPr>
          <w:rFonts w:ascii="宋体" w:hAnsi="宋体"/>
          <w:color w:val="000000"/>
          <w:sz w:val="22"/>
        </w:rPr>
        <w:t>车辆进行改装时，由投标人免费予以解决。</w:t>
      </w:r>
    </w:p>
    <w:p>
      <w:pPr>
        <w:spacing w:line="400" w:lineRule="exact"/>
        <w:ind w:firstLine="440" w:firstLineChars="200"/>
        <w:rPr>
          <w:rFonts w:ascii="宋体" w:hAnsi="宋体"/>
          <w:color w:val="000000"/>
          <w:sz w:val="22"/>
        </w:rPr>
      </w:pPr>
      <w:r>
        <w:rPr>
          <w:rFonts w:ascii="宋体" w:hAnsi="宋体"/>
          <w:color w:val="000000"/>
          <w:sz w:val="22"/>
        </w:rPr>
        <w:t>5.5检测、维修设备和工具</w:t>
      </w:r>
    </w:p>
    <w:p>
      <w:pPr>
        <w:spacing w:line="400" w:lineRule="exact"/>
        <w:ind w:firstLine="440" w:firstLineChars="200"/>
        <w:rPr>
          <w:rFonts w:ascii="宋体" w:hAnsi="宋体"/>
          <w:color w:val="000000"/>
          <w:sz w:val="22"/>
        </w:rPr>
      </w:pPr>
      <w:r>
        <w:rPr>
          <w:rFonts w:ascii="宋体" w:hAnsi="宋体"/>
          <w:color w:val="000000"/>
          <w:sz w:val="22"/>
        </w:rPr>
        <w:t>5.5.1 投标人应提供一套检测及维修专用工具包括用于发动机、变速箱、ABS制动系统等ECU设备检测的设备和软件。投标书中应分别列出清单和单价填入附件</w:t>
      </w:r>
      <w:r>
        <w:rPr>
          <w:rFonts w:hint="eastAsia" w:ascii="宋体" w:hAnsi="宋体"/>
          <w:color w:val="000000"/>
          <w:sz w:val="22"/>
        </w:rPr>
        <w:t>二</w:t>
      </w:r>
      <w:r>
        <w:rPr>
          <w:rFonts w:ascii="宋体" w:hAnsi="宋体"/>
          <w:color w:val="000000"/>
          <w:sz w:val="22"/>
        </w:rPr>
        <w:t>“零配件及检测专用设备清单”，计入</w:t>
      </w:r>
      <w:r>
        <w:rPr>
          <w:rFonts w:hint="eastAsia" w:ascii="宋体" w:hAnsi="宋体"/>
          <w:color w:val="000000"/>
          <w:sz w:val="22"/>
        </w:rPr>
        <w:t>投标</w:t>
      </w:r>
      <w:r>
        <w:rPr>
          <w:rFonts w:ascii="宋体" w:hAnsi="宋体"/>
          <w:color w:val="000000"/>
          <w:sz w:val="22"/>
        </w:rPr>
        <w:t>总价。</w:t>
      </w:r>
    </w:p>
    <w:p>
      <w:pPr>
        <w:spacing w:line="400" w:lineRule="exact"/>
        <w:ind w:firstLine="440" w:firstLineChars="200"/>
        <w:rPr>
          <w:rFonts w:ascii="宋体" w:hAnsi="宋体"/>
          <w:color w:val="000000"/>
          <w:sz w:val="22"/>
        </w:rPr>
      </w:pPr>
      <w:r>
        <w:rPr>
          <w:rFonts w:ascii="宋体" w:hAnsi="宋体"/>
          <w:color w:val="000000"/>
          <w:sz w:val="22"/>
        </w:rPr>
        <w:t>5.5.2 所有检测设备及工具必须是全新的，并且不得用于调试和试运行，能在要求的现场条件下正常工作。</w:t>
      </w:r>
    </w:p>
    <w:p>
      <w:pPr>
        <w:spacing w:line="400" w:lineRule="exact"/>
        <w:ind w:firstLine="440" w:firstLineChars="200"/>
        <w:rPr>
          <w:rFonts w:ascii="宋体" w:hAnsi="宋体"/>
          <w:color w:val="000000"/>
          <w:sz w:val="22"/>
        </w:rPr>
      </w:pPr>
      <w:r>
        <w:rPr>
          <w:rFonts w:ascii="宋体" w:hAnsi="宋体"/>
          <w:color w:val="000000"/>
          <w:sz w:val="22"/>
        </w:rPr>
        <w:t>5.5.3 检测、维护设备、工具和相应的包装箱、工具盒应同车辆一起移交招标人。</w:t>
      </w:r>
    </w:p>
    <w:p>
      <w:pPr>
        <w:spacing w:line="400" w:lineRule="exact"/>
        <w:ind w:firstLine="440" w:firstLineChars="200"/>
        <w:rPr>
          <w:rFonts w:ascii="宋体" w:hAnsi="宋体"/>
          <w:color w:val="000000"/>
          <w:sz w:val="22"/>
        </w:rPr>
      </w:pPr>
      <w:r>
        <w:rPr>
          <w:rFonts w:ascii="宋体" w:hAnsi="宋体"/>
          <w:color w:val="000000"/>
          <w:sz w:val="22"/>
        </w:rPr>
        <w:t>5.6铭牌及各类标记</w:t>
      </w:r>
    </w:p>
    <w:p>
      <w:pPr>
        <w:spacing w:line="400" w:lineRule="exact"/>
        <w:ind w:firstLine="440" w:firstLineChars="200"/>
        <w:rPr>
          <w:rFonts w:ascii="宋体" w:hAnsi="宋体"/>
          <w:color w:val="000000"/>
          <w:sz w:val="22"/>
        </w:rPr>
      </w:pPr>
      <w:r>
        <w:rPr>
          <w:rFonts w:ascii="宋体" w:hAnsi="宋体"/>
          <w:color w:val="000000"/>
          <w:sz w:val="22"/>
        </w:rPr>
        <w:t>5.6.1 投标人提供的设备所有铭牌、使用指示、警告标记必须用中文或中英文表示。</w:t>
      </w:r>
    </w:p>
    <w:p>
      <w:pPr>
        <w:spacing w:line="400" w:lineRule="exact"/>
        <w:ind w:firstLine="440" w:firstLineChars="200"/>
        <w:rPr>
          <w:rFonts w:ascii="宋体" w:hAnsi="宋体"/>
          <w:color w:val="000000"/>
          <w:sz w:val="22"/>
        </w:rPr>
      </w:pPr>
      <w:r>
        <w:rPr>
          <w:rFonts w:ascii="宋体" w:hAnsi="宋体"/>
          <w:color w:val="000000"/>
          <w:sz w:val="22"/>
        </w:rPr>
        <w:t>5.6.2 每项设备均应有制造厂的铭牌，并装在显著的地方。铭牌应清楚标明至少下列内容：制造厂名称、设备名称及型号、制造年月、主要规格和参数、制造编号等。</w:t>
      </w:r>
    </w:p>
    <w:p>
      <w:pPr>
        <w:spacing w:line="400" w:lineRule="exact"/>
        <w:ind w:firstLine="440" w:firstLineChars="200"/>
        <w:rPr>
          <w:rFonts w:ascii="宋体" w:hAnsi="宋体"/>
          <w:color w:val="000000"/>
          <w:sz w:val="22"/>
        </w:rPr>
      </w:pPr>
      <w:r>
        <w:rPr>
          <w:rFonts w:ascii="宋体" w:hAnsi="宋体"/>
          <w:color w:val="000000"/>
          <w:sz w:val="22"/>
        </w:rPr>
        <w:t>5.6.3 各操作按钮和控制装置的明显位置应有中文操作说明和指示。各种显示装置、仪表应有表明其名称和作用的符号或标记。</w:t>
      </w:r>
    </w:p>
    <w:p>
      <w:pPr>
        <w:spacing w:line="400" w:lineRule="exact"/>
        <w:ind w:firstLine="440" w:firstLineChars="200"/>
        <w:rPr>
          <w:rFonts w:ascii="宋体" w:hAnsi="宋体"/>
          <w:color w:val="000000"/>
          <w:sz w:val="22"/>
        </w:rPr>
      </w:pPr>
      <w:r>
        <w:rPr>
          <w:rFonts w:ascii="宋体" w:hAnsi="宋体"/>
          <w:color w:val="000000"/>
          <w:sz w:val="22"/>
        </w:rPr>
        <w:t>5.6.4 易发生危险的部位应有警告标记。需要经常维护的位置应有简要说明。</w:t>
      </w:r>
    </w:p>
    <w:p>
      <w:pPr>
        <w:spacing w:line="400" w:lineRule="exact"/>
        <w:ind w:firstLine="440" w:firstLineChars="200"/>
        <w:rPr>
          <w:rFonts w:ascii="宋体" w:hAnsi="宋体"/>
          <w:color w:val="000000"/>
          <w:sz w:val="22"/>
        </w:rPr>
      </w:pPr>
      <w:r>
        <w:rPr>
          <w:rFonts w:ascii="宋体" w:hAnsi="宋体"/>
          <w:color w:val="000000"/>
          <w:sz w:val="22"/>
        </w:rPr>
        <w:t>5.6.5 电气设备的标记和标签：</w:t>
      </w:r>
    </w:p>
    <w:p>
      <w:pPr>
        <w:spacing w:line="400" w:lineRule="exact"/>
        <w:ind w:firstLine="440" w:firstLineChars="200"/>
        <w:rPr>
          <w:rFonts w:ascii="宋体" w:hAnsi="宋体"/>
          <w:color w:val="000000"/>
          <w:sz w:val="22"/>
        </w:rPr>
      </w:pPr>
      <w:r>
        <w:rPr>
          <w:rFonts w:ascii="宋体" w:hAnsi="宋体"/>
          <w:color w:val="000000"/>
          <w:sz w:val="22"/>
        </w:rPr>
        <w:t>5.6.5.1 所有电气设备或部件的接线处应清楚地打上永久性标记，连接点两端的标记号必须相同，标记号应印在护套管上；</w:t>
      </w:r>
    </w:p>
    <w:p>
      <w:pPr>
        <w:spacing w:line="400" w:lineRule="exact"/>
        <w:ind w:firstLine="440" w:firstLineChars="200"/>
        <w:rPr>
          <w:rFonts w:ascii="宋体" w:hAnsi="宋体"/>
          <w:color w:val="000000"/>
          <w:sz w:val="22"/>
        </w:rPr>
      </w:pPr>
      <w:r>
        <w:rPr>
          <w:rFonts w:ascii="宋体" w:hAnsi="宋体"/>
          <w:color w:val="000000"/>
          <w:sz w:val="22"/>
        </w:rPr>
        <w:t>5.6.5.2 不同作用的电缆和芯线应用不同颜色区分开，需要连接的两端使用相同的颜色，并有标记号。</w:t>
      </w:r>
    </w:p>
    <w:p>
      <w:pPr>
        <w:spacing w:line="400" w:lineRule="exact"/>
        <w:ind w:firstLine="440" w:firstLineChars="200"/>
        <w:rPr>
          <w:rFonts w:ascii="宋体" w:hAnsi="宋体"/>
          <w:color w:val="000000"/>
          <w:sz w:val="22"/>
        </w:rPr>
      </w:pPr>
      <w:r>
        <w:rPr>
          <w:rFonts w:ascii="宋体" w:hAnsi="宋体"/>
          <w:color w:val="000000"/>
          <w:sz w:val="22"/>
        </w:rPr>
        <w:t>5.7涂漆</w:t>
      </w:r>
    </w:p>
    <w:p>
      <w:pPr>
        <w:spacing w:line="400" w:lineRule="exact"/>
        <w:ind w:firstLine="440" w:firstLineChars="200"/>
        <w:rPr>
          <w:rFonts w:ascii="宋体" w:hAnsi="宋体"/>
          <w:color w:val="000000"/>
          <w:sz w:val="22"/>
        </w:rPr>
      </w:pPr>
      <w:r>
        <w:rPr>
          <w:rFonts w:ascii="宋体" w:hAnsi="宋体"/>
          <w:color w:val="000000"/>
          <w:sz w:val="22"/>
        </w:rPr>
        <w:t>5.7.1 车身及驾驶室外表面：</w:t>
      </w:r>
      <w:r>
        <w:rPr>
          <w:rFonts w:hint="eastAsia" w:ascii="宋体" w:hAnsi="宋体"/>
          <w:color w:val="000000"/>
          <w:sz w:val="22"/>
        </w:rPr>
        <w:t>总体消防</w:t>
      </w:r>
      <w:r>
        <w:rPr>
          <w:rFonts w:ascii="宋体" w:hAnsi="宋体"/>
          <w:color w:val="000000"/>
          <w:sz w:val="22"/>
        </w:rPr>
        <w:t>红色</w:t>
      </w:r>
      <w:r>
        <w:rPr>
          <w:rFonts w:hint="eastAsia" w:ascii="宋体" w:hAnsi="宋体"/>
          <w:color w:val="000000"/>
          <w:sz w:val="22"/>
        </w:rPr>
        <w:t>，其他</w:t>
      </w:r>
      <w:r>
        <w:rPr>
          <w:rFonts w:ascii="宋体" w:hAnsi="宋体"/>
          <w:color w:val="000000"/>
          <w:sz w:val="22"/>
        </w:rPr>
        <w:t>文字和图案</w:t>
      </w:r>
      <w:r>
        <w:rPr>
          <w:rFonts w:hint="eastAsia" w:ascii="宋体" w:hAnsi="宋体"/>
          <w:color w:val="000000"/>
          <w:sz w:val="22"/>
        </w:rPr>
        <w:t>由</w:t>
      </w:r>
      <w:r>
        <w:rPr>
          <w:rFonts w:ascii="宋体" w:hAnsi="宋体"/>
          <w:color w:val="000000"/>
          <w:sz w:val="22"/>
        </w:rPr>
        <w:t>招标人确定</w:t>
      </w:r>
      <w:r>
        <w:rPr>
          <w:rFonts w:hint="eastAsia" w:ascii="宋体" w:hAnsi="宋体"/>
          <w:color w:val="000000"/>
          <w:sz w:val="22"/>
        </w:rPr>
        <w:t>。</w:t>
      </w:r>
    </w:p>
    <w:p>
      <w:pPr>
        <w:spacing w:line="400" w:lineRule="exact"/>
        <w:ind w:firstLine="440" w:firstLineChars="200"/>
        <w:rPr>
          <w:rFonts w:ascii="宋体" w:hAnsi="宋体"/>
          <w:color w:val="000000"/>
          <w:sz w:val="22"/>
        </w:rPr>
      </w:pPr>
      <w:r>
        <w:rPr>
          <w:rFonts w:ascii="宋体" w:hAnsi="宋体"/>
          <w:color w:val="000000"/>
          <w:sz w:val="22"/>
        </w:rPr>
        <w:t>5.7.2 所有非暴露表面必须进行预加工和喷涂白色底漆；所有暴露的表面必须进行预加工、涂底漆和面漆。加工后的表面应具有防锈蚀功能。</w:t>
      </w:r>
    </w:p>
    <w:p>
      <w:pPr>
        <w:spacing w:line="400" w:lineRule="exact"/>
        <w:ind w:firstLine="440" w:firstLineChars="200"/>
        <w:rPr>
          <w:rFonts w:ascii="宋体" w:hAnsi="宋体"/>
          <w:color w:val="000000"/>
          <w:sz w:val="22"/>
        </w:rPr>
      </w:pPr>
      <w:r>
        <w:rPr>
          <w:rFonts w:ascii="宋体" w:hAnsi="宋体"/>
          <w:color w:val="000000"/>
          <w:sz w:val="22"/>
        </w:rPr>
        <w:t>5.7.3 每台车至少涂两层高锌环氧树脂底漆和一层聚氨酯面漆。在现场条件下应不易脱落、褪色。涂漆应有防腐功能，并易清洁。</w:t>
      </w:r>
    </w:p>
    <w:p>
      <w:pPr>
        <w:adjustRightInd w:val="0"/>
        <w:spacing w:line="400" w:lineRule="exact"/>
        <w:rPr>
          <w:rFonts w:ascii="宋体" w:hAnsi="宋体"/>
          <w:b/>
          <w:color w:val="000000"/>
          <w:sz w:val="22"/>
        </w:rPr>
      </w:pPr>
      <w:r>
        <w:rPr>
          <w:rFonts w:ascii="宋体" w:hAnsi="宋体"/>
          <w:b/>
          <w:color w:val="000000"/>
          <w:sz w:val="22"/>
        </w:rPr>
        <w:t>六、技术规格和要求</w:t>
      </w:r>
    </w:p>
    <w:p>
      <w:pPr>
        <w:adjustRightInd w:val="0"/>
        <w:spacing w:line="400" w:lineRule="exact"/>
        <w:ind w:firstLine="440" w:firstLineChars="200"/>
        <w:rPr>
          <w:rFonts w:ascii="宋体" w:hAnsi="宋体"/>
          <w:color w:val="000000"/>
          <w:sz w:val="22"/>
        </w:rPr>
      </w:pPr>
      <w:r>
        <w:rPr>
          <w:rFonts w:ascii="宋体" w:hAnsi="宋体"/>
          <w:color w:val="000000"/>
          <w:sz w:val="22"/>
        </w:rPr>
        <w:t>6.1基本技术要求</w:t>
      </w:r>
    </w:p>
    <w:p>
      <w:pPr>
        <w:adjustRightInd w:val="0"/>
        <w:spacing w:line="400" w:lineRule="exact"/>
        <w:ind w:firstLine="440" w:firstLineChars="200"/>
        <w:rPr>
          <w:rFonts w:ascii="宋体" w:hAnsi="宋体"/>
          <w:color w:val="000000"/>
          <w:sz w:val="22"/>
        </w:rPr>
      </w:pPr>
      <w:r>
        <w:rPr>
          <w:rFonts w:ascii="宋体" w:hAnsi="宋体"/>
          <w:color w:val="000000"/>
          <w:sz w:val="22"/>
        </w:rPr>
        <w:t>6.1.1投标的主力泡沫消防车应是为机场</w:t>
      </w:r>
      <w:r>
        <w:rPr>
          <w:rFonts w:hint="eastAsia" w:ascii="宋体" w:hAnsi="宋体"/>
          <w:color w:val="000000"/>
          <w:sz w:val="22"/>
        </w:rPr>
        <w:t>航空器</w:t>
      </w:r>
      <w:r>
        <w:rPr>
          <w:rFonts w:ascii="宋体" w:hAnsi="宋体"/>
          <w:color w:val="000000"/>
          <w:sz w:val="22"/>
        </w:rPr>
        <w:t>消防救援工作而专门设计的，主要用于迅速扑灭飞机火灾，救援飞机上的人员。</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.1.2投标车辆的所有的外部连接系统应符合中国工业标准。</w:t>
      </w:r>
    </w:p>
    <w:p>
      <w:pPr>
        <w:adjustRightInd w:val="0"/>
        <w:spacing w:line="400" w:lineRule="exact"/>
        <w:ind w:firstLine="440" w:firstLineChars="200"/>
        <w:rPr>
          <w:rFonts w:ascii="宋体" w:hAnsi="宋体"/>
          <w:color w:val="000000"/>
          <w:sz w:val="22"/>
        </w:rPr>
      </w:pPr>
      <w:r>
        <w:rPr>
          <w:rFonts w:ascii="宋体" w:hAnsi="宋体"/>
          <w:color w:val="000000"/>
          <w:sz w:val="22"/>
        </w:rPr>
        <w:t>6.1.3投标车辆应能符合除驾驶员外只需1人即可在驾驶室内完成控制灭火设备</w:t>
      </w:r>
      <w:r>
        <w:rPr>
          <w:rFonts w:hint="eastAsia" w:ascii="宋体" w:hAnsi="宋体"/>
          <w:color w:val="000000"/>
          <w:sz w:val="22"/>
        </w:rPr>
        <w:t>操作</w:t>
      </w:r>
      <w:r>
        <w:rPr>
          <w:rFonts w:ascii="宋体" w:hAnsi="宋体"/>
          <w:color w:val="000000"/>
          <w:sz w:val="22"/>
        </w:rPr>
        <w:t>。</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6.1.4</w:t>
      </w:r>
      <w:r>
        <w:rPr>
          <w:rFonts w:ascii="宋体" w:hAnsi="宋体"/>
          <w:color w:val="000000"/>
          <w:sz w:val="22"/>
        </w:rPr>
        <w:t>既能利用自身的</w:t>
      </w:r>
      <w:r>
        <w:rPr>
          <w:rFonts w:hint="eastAsia" w:ascii="宋体" w:hAnsi="宋体"/>
          <w:color w:val="000000"/>
          <w:sz w:val="22"/>
        </w:rPr>
        <w:t>车载</w:t>
      </w:r>
      <w:r>
        <w:rPr>
          <w:rFonts w:ascii="宋体" w:hAnsi="宋体"/>
          <w:color w:val="000000"/>
          <w:sz w:val="22"/>
        </w:rPr>
        <w:t>灭火剂进行灭火，也能直接利用消火栓和外部水源进行灭火。</w:t>
      </w:r>
    </w:p>
    <w:p>
      <w:pPr>
        <w:adjustRightInd w:val="0"/>
        <w:spacing w:line="400" w:lineRule="exact"/>
        <w:ind w:firstLine="440" w:firstLineChars="200"/>
        <w:rPr>
          <w:rFonts w:ascii="宋体" w:hAnsi="宋体"/>
          <w:color w:val="000000"/>
          <w:sz w:val="22"/>
        </w:rPr>
      </w:pPr>
      <w:r>
        <w:rPr>
          <w:rFonts w:ascii="宋体" w:hAnsi="宋体"/>
          <w:color w:val="000000"/>
          <w:sz w:val="22"/>
        </w:rPr>
        <w:t>6.2整车的性能要求</w:t>
      </w:r>
    </w:p>
    <w:p>
      <w:pPr>
        <w:adjustRightInd w:val="0"/>
        <w:spacing w:line="400" w:lineRule="exact"/>
        <w:ind w:firstLine="440" w:firstLineChars="200"/>
        <w:rPr>
          <w:rFonts w:ascii="宋体" w:hAnsi="宋体"/>
          <w:color w:val="000000"/>
          <w:sz w:val="22"/>
        </w:rPr>
      </w:pPr>
      <w:r>
        <w:rPr>
          <w:rFonts w:ascii="宋体" w:hAnsi="宋体"/>
          <w:color w:val="000000"/>
          <w:sz w:val="22"/>
        </w:rPr>
        <w:t>6.2.1投标车辆应配备水、泡沫灭火系统</w:t>
      </w:r>
      <w:r>
        <w:rPr>
          <w:rFonts w:hint="eastAsia" w:ascii="宋体" w:hAnsi="宋体"/>
          <w:color w:val="000000"/>
          <w:sz w:val="22"/>
        </w:rPr>
        <w:t>两</w:t>
      </w:r>
      <w:r>
        <w:rPr>
          <w:rFonts w:ascii="宋体" w:hAnsi="宋体"/>
          <w:color w:val="000000"/>
          <w:sz w:val="22"/>
        </w:rPr>
        <w:t>套灭火装置。水罐的有效容积</w:t>
      </w:r>
      <w:r>
        <w:rPr>
          <w:rFonts w:ascii="宋体" w:hAnsi="宋体"/>
          <w:sz w:val="22"/>
        </w:rPr>
        <w:t>≥12</w:t>
      </w:r>
      <w:r>
        <w:rPr>
          <w:rFonts w:hint="eastAsia" w:ascii="宋体" w:hAnsi="宋体"/>
          <w:sz w:val="22"/>
        </w:rPr>
        <w:t>0</w:t>
      </w:r>
      <w:r>
        <w:rPr>
          <w:rFonts w:ascii="宋体" w:hAnsi="宋体"/>
          <w:sz w:val="22"/>
        </w:rPr>
        <w:t>00L，泡沫</w:t>
      </w:r>
      <w:r>
        <w:rPr>
          <w:rFonts w:ascii="宋体" w:hAnsi="宋体"/>
          <w:color w:val="000000"/>
          <w:sz w:val="22"/>
        </w:rPr>
        <w:t>罐有效容积≥15</w:t>
      </w:r>
      <w:r>
        <w:rPr>
          <w:rFonts w:hint="eastAsia" w:ascii="宋体" w:hAnsi="宋体"/>
          <w:color w:val="000000"/>
          <w:sz w:val="22"/>
        </w:rPr>
        <w:t>0</w:t>
      </w:r>
      <w:r>
        <w:rPr>
          <w:rFonts w:ascii="宋体" w:hAnsi="宋体"/>
          <w:color w:val="000000"/>
          <w:sz w:val="22"/>
        </w:rPr>
        <w:t>0L。</w:t>
      </w:r>
    </w:p>
    <w:p>
      <w:pPr>
        <w:adjustRightInd w:val="0"/>
        <w:spacing w:line="400" w:lineRule="exact"/>
        <w:ind w:firstLine="440" w:firstLineChars="200"/>
        <w:rPr>
          <w:rFonts w:ascii="宋体" w:hAnsi="宋体"/>
          <w:color w:val="000000"/>
          <w:sz w:val="22"/>
        </w:rPr>
      </w:pPr>
      <w:r>
        <w:rPr>
          <w:rFonts w:ascii="宋体" w:hAnsi="宋体"/>
          <w:color w:val="000000"/>
          <w:sz w:val="22"/>
        </w:rPr>
        <w:t>6.2.2车身总长</w:t>
      </w:r>
      <w:r>
        <w:rPr>
          <w:rFonts w:hint="eastAsia" w:ascii="宋体" w:hAnsi="宋体"/>
          <w:color w:val="000000"/>
          <w:sz w:val="22"/>
        </w:rPr>
        <w:t>≤</w:t>
      </w:r>
      <w:r>
        <w:rPr>
          <w:rFonts w:ascii="宋体" w:hAnsi="宋体"/>
          <w:color w:val="000000"/>
          <w:sz w:val="22"/>
        </w:rPr>
        <w:t>1</w:t>
      </w:r>
      <w:r>
        <w:rPr>
          <w:rFonts w:hint="eastAsia" w:ascii="宋体" w:hAnsi="宋体"/>
          <w:color w:val="000000"/>
          <w:sz w:val="22"/>
        </w:rPr>
        <w:t>40</w:t>
      </w:r>
      <w:r>
        <w:rPr>
          <w:rFonts w:ascii="宋体" w:hAnsi="宋体"/>
          <w:color w:val="000000"/>
          <w:sz w:val="22"/>
        </w:rPr>
        <w:t>00mm，</w:t>
      </w:r>
      <w:r>
        <w:rPr>
          <w:rFonts w:hint="eastAsia" w:ascii="宋体" w:hAnsi="宋体"/>
          <w:color w:val="000000"/>
          <w:sz w:val="22"/>
        </w:rPr>
        <w:t>2800mm≤</w:t>
      </w:r>
      <w:r>
        <w:rPr>
          <w:rFonts w:ascii="宋体" w:hAnsi="宋体"/>
          <w:color w:val="000000"/>
          <w:sz w:val="22"/>
        </w:rPr>
        <w:t>总宽</w:t>
      </w:r>
      <w:r>
        <w:rPr>
          <w:rFonts w:hint="eastAsia" w:ascii="宋体" w:hAnsi="宋体"/>
          <w:color w:val="000000"/>
          <w:sz w:val="22"/>
        </w:rPr>
        <w:t>≤</w:t>
      </w:r>
      <w:r>
        <w:rPr>
          <w:rFonts w:ascii="宋体" w:hAnsi="宋体"/>
          <w:color w:val="000000"/>
          <w:sz w:val="22"/>
        </w:rPr>
        <w:t>3</w:t>
      </w:r>
      <w:r>
        <w:rPr>
          <w:rFonts w:hint="eastAsia" w:ascii="宋体" w:hAnsi="宋体"/>
          <w:color w:val="000000"/>
          <w:sz w:val="22"/>
        </w:rPr>
        <w:t>3</w:t>
      </w:r>
      <w:r>
        <w:rPr>
          <w:rFonts w:ascii="宋体" w:hAnsi="宋体"/>
          <w:color w:val="000000"/>
          <w:sz w:val="22"/>
        </w:rPr>
        <w:t>00mm</w:t>
      </w:r>
      <w:r>
        <w:rPr>
          <w:rFonts w:hint="eastAsia" w:ascii="宋体" w:hAnsi="宋体"/>
          <w:color w:val="000000"/>
          <w:sz w:val="22"/>
        </w:rPr>
        <w:t>（不含反光镜）</w:t>
      </w:r>
      <w:r>
        <w:rPr>
          <w:rFonts w:ascii="宋体" w:hAnsi="宋体"/>
          <w:color w:val="000000"/>
          <w:sz w:val="22"/>
        </w:rPr>
        <w:t>，总高</w:t>
      </w:r>
      <w:r>
        <w:rPr>
          <w:rFonts w:hint="eastAsia" w:ascii="宋体" w:hAnsi="宋体"/>
          <w:color w:val="000000"/>
          <w:sz w:val="22"/>
        </w:rPr>
        <w:t>≤</w:t>
      </w:r>
      <w:r>
        <w:rPr>
          <w:rFonts w:ascii="宋体" w:hAnsi="宋体"/>
          <w:color w:val="000000"/>
          <w:sz w:val="22"/>
        </w:rPr>
        <w:t>3</w:t>
      </w:r>
      <w:r>
        <w:rPr>
          <w:rFonts w:hint="eastAsia" w:ascii="宋体" w:hAnsi="宋体"/>
          <w:color w:val="000000"/>
          <w:sz w:val="22"/>
        </w:rPr>
        <w:t>6</w:t>
      </w:r>
      <w:r>
        <w:rPr>
          <w:rFonts w:ascii="宋体" w:hAnsi="宋体"/>
          <w:color w:val="000000"/>
          <w:sz w:val="22"/>
        </w:rPr>
        <w:t>00mm。离地最小间隙≥</w:t>
      </w:r>
      <w:r>
        <w:rPr>
          <w:rFonts w:hint="eastAsia" w:ascii="宋体" w:hAnsi="宋体"/>
          <w:color w:val="000000"/>
          <w:sz w:val="22"/>
        </w:rPr>
        <w:t>40</w:t>
      </w:r>
      <w:r>
        <w:rPr>
          <w:rFonts w:ascii="宋体" w:hAnsi="宋体"/>
          <w:color w:val="000000"/>
          <w:sz w:val="22"/>
        </w:rPr>
        <w:t>0mm。最小转弯半径≤1</w:t>
      </w:r>
      <w:r>
        <w:rPr>
          <w:rFonts w:hint="eastAsia" w:ascii="宋体" w:hAnsi="宋体"/>
          <w:color w:val="000000"/>
          <w:sz w:val="22"/>
        </w:rPr>
        <w:t>6.5</w:t>
      </w:r>
      <w:r>
        <w:rPr>
          <w:rFonts w:ascii="宋体" w:hAnsi="宋体"/>
          <w:color w:val="000000"/>
          <w:sz w:val="22"/>
        </w:rPr>
        <w:t>m，车总重量</w:t>
      </w:r>
      <w:r>
        <w:rPr>
          <w:rFonts w:hint="eastAsia" w:ascii="宋体" w:hAnsi="宋体"/>
          <w:color w:val="000000"/>
          <w:sz w:val="22"/>
        </w:rPr>
        <w:t>（满载）</w:t>
      </w:r>
      <w:r>
        <w:rPr>
          <w:rFonts w:ascii="宋体" w:hAnsi="宋体"/>
          <w:color w:val="000000"/>
          <w:sz w:val="22"/>
        </w:rPr>
        <w:t>≤</w:t>
      </w:r>
      <w:r>
        <w:rPr>
          <w:rFonts w:hint="eastAsia" w:ascii="宋体" w:hAnsi="宋体"/>
          <w:color w:val="000000"/>
          <w:sz w:val="22"/>
        </w:rPr>
        <w:t>60</w:t>
      </w:r>
      <w:r>
        <w:rPr>
          <w:rFonts w:ascii="宋体" w:hAnsi="宋体"/>
          <w:color w:val="000000"/>
          <w:sz w:val="22"/>
        </w:rPr>
        <w:t>000kg。</w:t>
      </w:r>
    </w:p>
    <w:p>
      <w:pPr>
        <w:adjustRightInd w:val="0"/>
        <w:spacing w:line="400" w:lineRule="exact"/>
        <w:ind w:firstLine="440" w:firstLineChars="200"/>
        <w:rPr>
          <w:rFonts w:ascii="宋体" w:hAnsi="宋体"/>
          <w:color w:val="000000"/>
          <w:sz w:val="22"/>
        </w:rPr>
      </w:pPr>
      <w:r>
        <w:rPr>
          <w:rFonts w:ascii="宋体" w:hAnsi="宋体"/>
          <w:color w:val="000000"/>
          <w:sz w:val="22"/>
        </w:rPr>
        <w:t>6.2.3满载状态下：侧向静态倾斜稳定能力≥</w:t>
      </w:r>
      <w:r>
        <w:rPr>
          <w:rFonts w:hint="eastAsia" w:ascii="宋体" w:hAnsi="宋体"/>
          <w:color w:val="000000"/>
          <w:sz w:val="22"/>
        </w:rPr>
        <w:t>30</w:t>
      </w:r>
      <w:r>
        <w:rPr>
          <w:rFonts w:ascii="宋体" w:hAnsi="宋体"/>
          <w:color w:val="000000"/>
          <w:sz w:val="22"/>
        </w:rPr>
        <w:t>°，在≤30m半径弯道行驶速度≥35km/h时，侧向动态倾斜稳定能力≥11°。投标车辆必须提供车辆满载时的</w:t>
      </w:r>
      <w:r>
        <w:rPr>
          <w:rFonts w:hint="eastAsia" w:ascii="宋体" w:hAnsi="宋体"/>
          <w:color w:val="000000"/>
          <w:sz w:val="22"/>
        </w:rPr>
        <w:t>质</w:t>
      </w:r>
      <w:r>
        <w:rPr>
          <w:rFonts w:ascii="宋体" w:hAnsi="宋体"/>
          <w:color w:val="000000"/>
          <w:sz w:val="22"/>
        </w:rPr>
        <w:t>心高度。</w:t>
      </w:r>
    </w:p>
    <w:p>
      <w:pPr>
        <w:adjustRightInd w:val="0"/>
        <w:spacing w:line="400" w:lineRule="exact"/>
        <w:ind w:firstLine="442" w:firstLineChars="200"/>
        <w:rPr>
          <w:rFonts w:ascii="宋体" w:hAnsi="宋体"/>
          <w:b/>
          <w:color w:val="000000"/>
          <w:sz w:val="22"/>
        </w:rPr>
      </w:pPr>
      <w:r>
        <w:rPr>
          <w:rFonts w:hint="eastAsia" w:ascii="宋体" w:hAnsi="宋体"/>
          <w:b/>
          <w:color w:val="000000"/>
          <w:sz w:val="22"/>
        </w:rPr>
        <w:t>★</w:t>
      </w:r>
      <w:r>
        <w:rPr>
          <w:rFonts w:ascii="宋体" w:hAnsi="宋体"/>
          <w:b/>
          <w:color w:val="000000"/>
          <w:sz w:val="22"/>
        </w:rPr>
        <w:t xml:space="preserve">6.2.4 </w:t>
      </w:r>
      <w:r>
        <w:rPr>
          <w:rFonts w:ascii="宋体" w:hAnsi="宋体"/>
          <w:bCs/>
          <w:color w:val="000000"/>
          <w:sz w:val="22"/>
        </w:rPr>
        <w:t>采用6×6</w:t>
      </w:r>
      <w:r>
        <w:rPr>
          <w:rFonts w:hint="eastAsia" w:ascii="宋体" w:hAnsi="宋体"/>
          <w:bCs/>
          <w:color w:val="000000"/>
          <w:sz w:val="22"/>
        </w:rPr>
        <w:t>或以上</w:t>
      </w:r>
      <w:r>
        <w:rPr>
          <w:rFonts w:ascii="宋体" w:hAnsi="宋体"/>
          <w:bCs/>
          <w:color w:val="000000"/>
          <w:sz w:val="22"/>
        </w:rPr>
        <w:t>全轮驱动系统</w:t>
      </w:r>
      <w:r>
        <w:rPr>
          <w:rFonts w:ascii="宋体" w:hAnsi="宋体"/>
          <w:b/>
          <w:color w:val="000000"/>
          <w:sz w:val="22"/>
        </w:rPr>
        <w:t>，满载时可保持最高车速</w:t>
      </w:r>
      <w:r>
        <w:rPr>
          <w:rFonts w:ascii="宋体" w:hAnsi="宋体"/>
          <w:color w:val="000000"/>
          <w:sz w:val="22"/>
        </w:rPr>
        <w:t>≥</w:t>
      </w:r>
      <w:r>
        <w:rPr>
          <w:rFonts w:ascii="宋体" w:hAnsi="宋体"/>
          <w:b/>
          <w:color w:val="000000"/>
          <w:sz w:val="22"/>
        </w:rPr>
        <w:t>10</w:t>
      </w:r>
      <w:r>
        <w:rPr>
          <w:rFonts w:hint="eastAsia" w:ascii="宋体" w:hAnsi="宋体"/>
          <w:b/>
          <w:color w:val="000000"/>
          <w:sz w:val="22"/>
        </w:rPr>
        <w:t>0</w:t>
      </w:r>
      <w:r>
        <w:rPr>
          <w:rFonts w:ascii="宋体" w:hAnsi="宋体"/>
          <w:b/>
          <w:color w:val="000000"/>
          <w:sz w:val="22"/>
        </w:rPr>
        <w:t>km/h，满载情况下加速性能（0-80km/h）</w:t>
      </w:r>
      <w:r>
        <w:rPr>
          <w:rFonts w:ascii="宋体" w:hAnsi="宋体"/>
          <w:color w:val="000000"/>
          <w:sz w:val="22"/>
        </w:rPr>
        <w:t>≤</w:t>
      </w:r>
      <w:r>
        <w:rPr>
          <w:rFonts w:hint="eastAsia" w:ascii="宋体" w:hAnsi="宋体"/>
          <w:b/>
          <w:color w:val="000000"/>
          <w:sz w:val="22"/>
        </w:rPr>
        <w:t>40</w:t>
      </w:r>
      <w:r>
        <w:rPr>
          <w:rFonts w:ascii="宋体" w:hAnsi="宋体"/>
          <w:b/>
          <w:color w:val="000000"/>
          <w:sz w:val="22"/>
        </w:rPr>
        <w:t>s。</w:t>
      </w:r>
      <w:r>
        <w:rPr>
          <w:rFonts w:hint="eastAsia" w:ascii="宋体" w:hAnsi="宋体"/>
          <w:b/>
          <w:color w:val="000000"/>
          <w:sz w:val="22"/>
        </w:rPr>
        <w:t>投标人</w:t>
      </w:r>
      <w:r>
        <w:rPr>
          <w:rFonts w:ascii="宋体" w:hAnsi="宋体"/>
          <w:b/>
          <w:color w:val="000000"/>
          <w:sz w:val="22"/>
        </w:rPr>
        <w:t>对该款要求必须</w:t>
      </w:r>
      <w:r>
        <w:rPr>
          <w:rFonts w:hint="eastAsia" w:ascii="宋体" w:hAnsi="宋体"/>
          <w:b/>
          <w:color w:val="000000"/>
          <w:sz w:val="22"/>
        </w:rPr>
        <w:t>第三方</w:t>
      </w:r>
      <w:r>
        <w:rPr>
          <w:rFonts w:ascii="宋体" w:hAnsi="宋体"/>
          <w:b/>
          <w:color w:val="000000"/>
          <w:sz w:val="22"/>
        </w:rPr>
        <w:t>提供检测报告。</w:t>
      </w:r>
    </w:p>
    <w:p>
      <w:pPr>
        <w:adjustRightInd w:val="0"/>
        <w:spacing w:line="400" w:lineRule="exact"/>
        <w:ind w:firstLine="440" w:firstLineChars="200"/>
        <w:rPr>
          <w:rFonts w:ascii="宋体" w:hAnsi="宋体"/>
          <w:color w:val="000000"/>
          <w:sz w:val="22"/>
        </w:rPr>
      </w:pPr>
      <w:r>
        <w:rPr>
          <w:rFonts w:ascii="宋体" w:hAnsi="宋体"/>
          <w:color w:val="000000"/>
          <w:sz w:val="22"/>
        </w:rPr>
        <w:t>6.2.5满载时，可上、下≥50%的陡坡，可在≥</w:t>
      </w:r>
      <w:r>
        <w:rPr>
          <w:rFonts w:hint="eastAsia" w:ascii="宋体" w:hAnsi="宋体"/>
          <w:color w:val="000000"/>
          <w:sz w:val="22"/>
        </w:rPr>
        <w:t>2</w:t>
      </w:r>
      <w:r>
        <w:rPr>
          <w:rFonts w:ascii="宋体" w:hAnsi="宋体"/>
          <w:color w:val="000000"/>
          <w:sz w:val="22"/>
        </w:rPr>
        <w:t>0%的坡上停驻或起动，干燥路面条件下，当速度≥60km/h时，紧急制动距离≤</w:t>
      </w:r>
      <w:r>
        <w:rPr>
          <w:rFonts w:hint="eastAsia" w:ascii="宋体" w:hAnsi="宋体"/>
          <w:color w:val="000000"/>
          <w:sz w:val="22"/>
        </w:rPr>
        <w:t>8</w:t>
      </w:r>
      <w:r>
        <w:rPr>
          <w:rFonts w:ascii="宋体" w:hAnsi="宋体"/>
          <w:color w:val="000000"/>
          <w:sz w:val="22"/>
        </w:rPr>
        <w:t>0m</w:t>
      </w:r>
      <w:r>
        <w:rPr>
          <w:rFonts w:hint="eastAsia" w:ascii="宋体" w:hAnsi="宋体"/>
          <w:color w:val="000000"/>
          <w:sz w:val="22"/>
        </w:rPr>
        <w:t>。投标人</w:t>
      </w:r>
      <w:r>
        <w:rPr>
          <w:rFonts w:ascii="宋体" w:hAnsi="宋体"/>
          <w:color w:val="000000"/>
          <w:sz w:val="22"/>
        </w:rPr>
        <w:t>对该款要求必须</w:t>
      </w:r>
      <w:r>
        <w:rPr>
          <w:rFonts w:hint="eastAsia" w:ascii="宋体" w:hAnsi="宋体"/>
          <w:color w:val="000000"/>
          <w:sz w:val="22"/>
        </w:rPr>
        <w:t>第三方</w:t>
      </w:r>
      <w:r>
        <w:rPr>
          <w:rFonts w:ascii="宋体" w:hAnsi="宋体"/>
          <w:color w:val="000000"/>
          <w:sz w:val="22"/>
        </w:rPr>
        <w:t>提供检测报告。</w:t>
      </w:r>
    </w:p>
    <w:p>
      <w:pPr>
        <w:adjustRightInd w:val="0"/>
        <w:spacing w:line="400" w:lineRule="exact"/>
        <w:ind w:firstLine="442" w:firstLineChars="200"/>
        <w:rPr>
          <w:rFonts w:ascii="宋体" w:hAnsi="宋体"/>
          <w:b/>
          <w:color w:val="000000"/>
          <w:sz w:val="22"/>
        </w:rPr>
      </w:pPr>
      <w:r>
        <w:rPr>
          <w:rFonts w:hint="eastAsia" w:ascii="宋体" w:hAnsi="宋体"/>
          <w:b/>
          <w:color w:val="000000"/>
          <w:sz w:val="22"/>
        </w:rPr>
        <w:t>★</w:t>
      </w:r>
      <w:r>
        <w:rPr>
          <w:rFonts w:ascii="宋体" w:hAnsi="宋体"/>
          <w:b/>
          <w:color w:val="000000"/>
          <w:sz w:val="22"/>
        </w:rPr>
        <w:t>6.2.6 当车辆行驶速度≥</w:t>
      </w:r>
      <w:r>
        <w:rPr>
          <w:rFonts w:hint="eastAsia" w:ascii="宋体" w:hAnsi="宋体"/>
          <w:b/>
          <w:color w:val="000000"/>
          <w:sz w:val="22"/>
        </w:rPr>
        <w:t>40</w:t>
      </w:r>
      <w:r>
        <w:rPr>
          <w:rFonts w:ascii="宋体" w:hAnsi="宋体"/>
          <w:b/>
          <w:color w:val="000000"/>
          <w:sz w:val="22"/>
        </w:rPr>
        <w:t>km/h时，消防泵可全功率运转，消防系统可正常工作，可实现边行驶边喷射灭火剂。</w:t>
      </w:r>
      <w:r>
        <w:rPr>
          <w:rFonts w:hint="eastAsia" w:ascii="宋体" w:hAnsi="宋体"/>
          <w:b/>
          <w:color w:val="000000"/>
          <w:sz w:val="22"/>
        </w:rPr>
        <w:t>投标人</w:t>
      </w:r>
      <w:r>
        <w:rPr>
          <w:rFonts w:ascii="宋体" w:hAnsi="宋体"/>
          <w:b/>
          <w:color w:val="000000"/>
          <w:sz w:val="22"/>
        </w:rPr>
        <w:t>对该款要求必须提供</w:t>
      </w:r>
      <w:r>
        <w:rPr>
          <w:rFonts w:hint="eastAsia" w:ascii="宋体" w:hAnsi="宋体"/>
          <w:b/>
          <w:color w:val="000000"/>
          <w:sz w:val="22"/>
        </w:rPr>
        <w:t>第三方</w:t>
      </w:r>
      <w:r>
        <w:rPr>
          <w:rFonts w:ascii="宋体" w:hAnsi="宋体"/>
          <w:b/>
          <w:color w:val="000000"/>
          <w:sz w:val="22"/>
        </w:rPr>
        <w:t>检测报告。</w:t>
      </w:r>
    </w:p>
    <w:p>
      <w:pPr>
        <w:adjustRightInd w:val="0"/>
        <w:spacing w:line="400" w:lineRule="exact"/>
        <w:ind w:firstLine="440" w:firstLineChars="200"/>
        <w:rPr>
          <w:rFonts w:ascii="宋体" w:hAnsi="宋体"/>
          <w:color w:val="000000"/>
          <w:sz w:val="22"/>
        </w:rPr>
      </w:pPr>
      <w:r>
        <w:rPr>
          <w:rFonts w:ascii="宋体" w:hAnsi="宋体"/>
          <w:color w:val="000000"/>
          <w:sz w:val="22"/>
        </w:rPr>
        <w:t>6.3消防系统要求</w:t>
      </w:r>
    </w:p>
    <w:p>
      <w:pPr>
        <w:adjustRightInd w:val="0"/>
        <w:spacing w:line="400" w:lineRule="exact"/>
        <w:ind w:firstLine="440" w:firstLineChars="200"/>
        <w:rPr>
          <w:rFonts w:ascii="宋体" w:hAnsi="宋体"/>
          <w:color w:val="000000"/>
          <w:sz w:val="22"/>
        </w:rPr>
      </w:pPr>
      <w:r>
        <w:rPr>
          <w:rFonts w:ascii="宋体" w:hAnsi="宋体"/>
          <w:color w:val="000000"/>
          <w:sz w:val="22"/>
        </w:rPr>
        <w:t>6.3.1消防主炮应为非吸气式，能喷水或泡沫</w:t>
      </w:r>
      <w:r>
        <w:rPr>
          <w:rFonts w:hint="eastAsia" w:ascii="宋体" w:hAnsi="宋体"/>
          <w:color w:val="000000"/>
          <w:sz w:val="22"/>
        </w:rPr>
        <w:t>，</w:t>
      </w:r>
      <w:r>
        <w:rPr>
          <w:rFonts w:ascii="宋体" w:hAnsi="宋体"/>
          <w:color w:val="000000"/>
          <w:sz w:val="22"/>
        </w:rPr>
        <w:t>喷水或泡沫时直射、散射可调。</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6.3.1.1</w:t>
      </w:r>
      <w:r>
        <w:rPr>
          <w:rFonts w:ascii="宋体" w:hAnsi="宋体"/>
          <w:color w:val="000000"/>
          <w:sz w:val="22"/>
        </w:rPr>
        <w:t>主炮安装在驾驶室顶，</w:t>
      </w:r>
      <w:r>
        <w:rPr>
          <w:rFonts w:hint="eastAsia" w:ascii="宋体" w:hAnsi="宋体"/>
          <w:color w:val="000000"/>
          <w:sz w:val="22"/>
        </w:rPr>
        <w:t>在驾驶室内可以观察到炮指向的方向，</w:t>
      </w:r>
      <w:r>
        <w:rPr>
          <w:rFonts w:ascii="宋体" w:hAnsi="宋体"/>
          <w:color w:val="000000"/>
          <w:sz w:val="22"/>
        </w:rPr>
        <w:t>可通过操控手柄在驾驶室内电动遥控操纵，手柄方向和炮筒方向应保持一致</w:t>
      </w:r>
      <w:r>
        <w:rPr>
          <w:rFonts w:hint="eastAsia" w:ascii="宋体" w:hAnsi="宋体"/>
          <w:color w:val="000000"/>
          <w:sz w:val="22"/>
        </w:rPr>
        <w:t>。</w:t>
      </w:r>
      <w:r>
        <w:rPr>
          <w:rFonts w:ascii="宋体" w:hAnsi="宋体"/>
          <w:color w:val="000000"/>
          <w:sz w:val="22"/>
        </w:rPr>
        <w:t>当遥控系统失灵时，可立即实行手动操作系统调整炮位角度和实施喷射</w:t>
      </w:r>
      <w:r>
        <w:rPr>
          <w:rFonts w:hint="eastAsia" w:ascii="宋体" w:hAnsi="宋体"/>
          <w:color w:val="000000"/>
          <w:sz w:val="22"/>
        </w:rPr>
        <w:t>灭火剂。手动操作系统应轻便灵活，便于控制，用手动方式调整方向时，主炮角度移动的速率应和电动遥控操作时一致</w:t>
      </w:r>
      <w:r>
        <w:rPr>
          <w:rFonts w:ascii="宋体" w:hAnsi="宋体"/>
          <w:color w:val="000000"/>
          <w:sz w:val="22"/>
        </w:rPr>
        <w:t>。</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6.3.1.2主炮关闭时</w:t>
      </w:r>
      <w:r>
        <w:rPr>
          <w:rFonts w:ascii="宋体" w:hAnsi="宋体"/>
          <w:color w:val="000000"/>
          <w:sz w:val="22"/>
        </w:rPr>
        <w:t>应有自动复位和锁定装置。</w:t>
      </w:r>
    </w:p>
    <w:p>
      <w:pPr>
        <w:adjustRightInd w:val="0"/>
        <w:spacing w:line="400" w:lineRule="exact"/>
        <w:ind w:firstLine="440" w:firstLineChars="200"/>
        <w:rPr>
          <w:rFonts w:ascii="宋体" w:hAnsi="宋体"/>
          <w:color w:val="000000"/>
          <w:sz w:val="22"/>
        </w:rPr>
      </w:pPr>
      <w:r>
        <w:rPr>
          <w:rFonts w:ascii="宋体" w:hAnsi="宋体"/>
          <w:color w:val="000000"/>
          <w:sz w:val="22"/>
        </w:rPr>
        <w:t>6.3.1.</w:t>
      </w:r>
      <w:r>
        <w:rPr>
          <w:rFonts w:hint="eastAsia" w:ascii="宋体" w:hAnsi="宋体"/>
          <w:color w:val="000000"/>
          <w:sz w:val="22"/>
        </w:rPr>
        <w:t>3</w:t>
      </w:r>
      <w:r>
        <w:rPr>
          <w:rFonts w:ascii="宋体" w:hAnsi="宋体"/>
          <w:color w:val="000000"/>
          <w:sz w:val="22"/>
        </w:rPr>
        <w:t>无风状态下有效射程应符合：直射射程≥</w:t>
      </w:r>
      <w:r>
        <w:rPr>
          <w:rFonts w:hint="eastAsia" w:ascii="宋体" w:hAnsi="宋体"/>
          <w:color w:val="000000"/>
          <w:sz w:val="22"/>
        </w:rPr>
        <w:t>75</w:t>
      </w:r>
      <w:r>
        <w:rPr>
          <w:rFonts w:ascii="宋体" w:hAnsi="宋体"/>
          <w:color w:val="000000"/>
          <w:sz w:val="22"/>
        </w:rPr>
        <w:t>m, 散射射程≥</w:t>
      </w:r>
      <w:r>
        <w:rPr>
          <w:rFonts w:hint="eastAsia" w:ascii="宋体" w:hAnsi="宋体"/>
          <w:color w:val="000000"/>
          <w:sz w:val="22"/>
        </w:rPr>
        <w:t>2</w:t>
      </w:r>
      <w:r>
        <w:rPr>
          <w:rFonts w:ascii="宋体" w:hAnsi="宋体"/>
          <w:color w:val="000000"/>
          <w:sz w:val="22"/>
        </w:rPr>
        <w:t>0m；散射宽度≥10m。</w:t>
      </w:r>
    </w:p>
    <w:p>
      <w:pPr>
        <w:adjustRightInd w:val="0"/>
        <w:spacing w:line="400" w:lineRule="exact"/>
        <w:ind w:firstLine="440" w:firstLineChars="200"/>
        <w:rPr>
          <w:rFonts w:ascii="宋体" w:hAnsi="宋体"/>
          <w:color w:val="000000"/>
          <w:sz w:val="22"/>
        </w:rPr>
      </w:pPr>
      <w:r>
        <w:rPr>
          <w:rFonts w:ascii="宋体" w:hAnsi="宋体"/>
          <w:color w:val="000000"/>
          <w:sz w:val="22"/>
        </w:rPr>
        <w:t>6.3.1.</w:t>
      </w:r>
      <w:r>
        <w:rPr>
          <w:rFonts w:hint="eastAsia" w:ascii="宋体" w:hAnsi="宋体"/>
          <w:color w:val="000000"/>
          <w:sz w:val="22"/>
        </w:rPr>
        <w:t>4</w:t>
      </w:r>
      <w:r>
        <w:rPr>
          <w:rFonts w:ascii="宋体" w:hAnsi="宋体"/>
          <w:color w:val="000000"/>
          <w:sz w:val="22"/>
        </w:rPr>
        <w:t xml:space="preserve"> 消防主炮可向左、右各回转≥1</w:t>
      </w:r>
      <w:r>
        <w:rPr>
          <w:rFonts w:hint="eastAsia" w:ascii="宋体" w:hAnsi="宋体"/>
          <w:color w:val="000000"/>
          <w:sz w:val="22"/>
        </w:rPr>
        <w:t>2</w:t>
      </w:r>
      <w:r>
        <w:rPr>
          <w:rFonts w:ascii="宋体" w:hAnsi="宋体"/>
          <w:color w:val="000000"/>
          <w:sz w:val="22"/>
        </w:rPr>
        <w:t>0°，具有自动左右摆动功能；仰角≥45°,俯角≥15°。</w:t>
      </w:r>
    </w:p>
    <w:p>
      <w:pPr>
        <w:adjustRightInd w:val="0"/>
        <w:spacing w:line="400" w:lineRule="exact"/>
        <w:ind w:firstLine="440" w:firstLineChars="200"/>
        <w:rPr>
          <w:rFonts w:ascii="宋体" w:hAnsi="宋体"/>
          <w:color w:val="000000"/>
          <w:sz w:val="22"/>
        </w:rPr>
      </w:pPr>
      <w:r>
        <w:rPr>
          <w:rFonts w:ascii="宋体" w:hAnsi="宋体"/>
          <w:color w:val="000000"/>
          <w:sz w:val="22"/>
        </w:rPr>
        <w:t>6.3.1.</w:t>
      </w:r>
      <w:r>
        <w:rPr>
          <w:rFonts w:hint="eastAsia" w:ascii="宋体" w:hAnsi="宋体"/>
          <w:color w:val="000000"/>
          <w:sz w:val="22"/>
        </w:rPr>
        <w:t>5</w:t>
      </w:r>
      <w:r>
        <w:rPr>
          <w:rFonts w:ascii="宋体" w:hAnsi="宋体"/>
          <w:color w:val="000000"/>
          <w:sz w:val="22"/>
        </w:rPr>
        <w:t>喷射量应双速可调，高速时≥</w:t>
      </w:r>
      <w:r>
        <w:rPr>
          <w:rFonts w:hint="eastAsia" w:ascii="宋体" w:hAnsi="宋体"/>
          <w:color w:val="000000"/>
          <w:sz w:val="22"/>
        </w:rPr>
        <w:t>60</w:t>
      </w:r>
      <w:r>
        <w:rPr>
          <w:rFonts w:ascii="宋体" w:hAnsi="宋体"/>
          <w:color w:val="000000"/>
          <w:sz w:val="22"/>
        </w:rPr>
        <w:t>00L/min,低速时≥</w:t>
      </w:r>
      <w:r>
        <w:rPr>
          <w:rFonts w:hint="eastAsia" w:ascii="宋体" w:hAnsi="宋体"/>
          <w:color w:val="000000"/>
          <w:sz w:val="22"/>
        </w:rPr>
        <w:t>300</w:t>
      </w:r>
      <w:r>
        <w:rPr>
          <w:rFonts w:ascii="宋体" w:hAnsi="宋体"/>
          <w:color w:val="000000"/>
          <w:sz w:val="22"/>
        </w:rPr>
        <w:t>0L/min。</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6.3.1.6消防主炮应选用Akron、Rosenbauer、Elkhart等同档次或以上国际知名品牌原装进口产品。</w:t>
      </w:r>
    </w:p>
    <w:p>
      <w:pPr>
        <w:adjustRightInd w:val="0"/>
        <w:spacing w:line="400" w:lineRule="exact"/>
        <w:ind w:firstLine="440" w:firstLineChars="200"/>
        <w:rPr>
          <w:rFonts w:ascii="宋体" w:hAnsi="宋体"/>
          <w:color w:val="000000"/>
          <w:sz w:val="22"/>
        </w:rPr>
      </w:pPr>
      <w:r>
        <w:rPr>
          <w:rFonts w:ascii="宋体" w:hAnsi="宋体"/>
          <w:color w:val="000000"/>
          <w:sz w:val="22"/>
        </w:rPr>
        <w:t>6.3.1.</w:t>
      </w:r>
      <w:r>
        <w:rPr>
          <w:rFonts w:hint="eastAsia" w:ascii="宋体" w:hAnsi="宋体"/>
          <w:color w:val="000000"/>
          <w:sz w:val="22"/>
        </w:rPr>
        <w:t>7</w:t>
      </w:r>
      <w:r>
        <w:rPr>
          <w:rFonts w:ascii="宋体" w:hAnsi="宋体"/>
          <w:color w:val="000000"/>
          <w:sz w:val="22"/>
        </w:rPr>
        <w:t>投标书应</w:t>
      </w:r>
      <w:r>
        <w:rPr>
          <w:rFonts w:hint="eastAsia" w:ascii="宋体" w:hAnsi="宋体"/>
          <w:color w:val="000000"/>
          <w:sz w:val="22"/>
        </w:rPr>
        <w:t>对消防主炮</w:t>
      </w:r>
      <w:r>
        <w:rPr>
          <w:rFonts w:ascii="宋体" w:hAnsi="宋体"/>
          <w:color w:val="000000"/>
          <w:sz w:val="22"/>
        </w:rPr>
        <w:t>的制造厂全称、国别、品牌、型号、技术</w:t>
      </w:r>
      <w:r>
        <w:rPr>
          <w:rFonts w:hint="eastAsia" w:ascii="宋体" w:hAnsi="宋体"/>
          <w:color w:val="000000"/>
          <w:sz w:val="22"/>
        </w:rPr>
        <w:t>性能</w:t>
      </w:r>
      <w:r>
        <w:rPr>
          <w:rFonts w:ascii="宋体" w:hAnsi="宋体"/>
          <w:color w:val="000000"/>
          <w:sz w:val="22"/>
        </w:rPr>
        <w:t>参数进行详细说明</w:t>
      </w:r>
      <w:r>
        <w:rPr>
          <w:rFonts w:hint="eastAsia" w:ascii="宋体" w:hAnsi="宋体"/>
          <w:color w:val="000000"/>
          <w:sz w:val="22"/>
        </w:rPr>
        <w:t>，并</w:t>
      </w:r>
      <w:r>
        <w:rPr>
          <w:rFonts w:ascii="宋体" w:hAnsi="宋体"/>
          <w:color w:val="000000"/>
          <w:sz w:val="22"/>
        </w:rPr>
        <w:t>提供流量-压力曲线表等详细技术参数。</w:t>
      </w:r>
    </w:p>
    <w:p>
      <w:pPr>
        <w:adjustRightInd w:val="0"/>
        <w:spacing w:line="400" w:lineRule="exact"/>
        <w:ind w:firstLine="440" w:firstLineChars="200"/>
        <w:rPr>
          <w:rFonts w:ascii="宋体" w:hAnsi="宋体"/>
          <w:color w:val="000000"/>
          <w:sz w:val="22"/>
        </w:rPr>
      </w:pPr>
      <w:r>
        <w:rPr>
          <w:rFonts w:ascii="宋体" w:hAnsi="宋体"/>
          <w:color w:val="000000"/>
          <w:sz w:val="22"/>
        </w:rPr>
        <w:t>6.3.2消防副炮应为非吸气式，能喷水或喷泡沫，直射、散射可调。副炮安装在车前保险杠上，通过手柄在驾驶室内电动遥控操纵，手柄方向和炮筒方向应保持一致。</w:t>
      </w:r>
    </w:p>
    <w:p>
      <w:pPr>
        <w:adjustRightInd w:val="0"/>
        <w:spacing w:line="400" w:lineRule="exact"/>
        <w:ind w:firstLine="440" w:firstLineChars="200"/>
        <w:rPr>
          <w:rFonts w:ascii="宋体" w:hAnsi="宋体"/>
          <w:color w:val="000000"/>
          <w:sz w:val="22"/>
        </w:rPr>
      </w:pPr>
      <w:r>
        <w:rPr>
          <w:rFonts w:ascii="宋体" w:hAnsi="宋体"/>
          <w:color w:val="000000"/>
          <w:sz w:val="22"/>
        </w:rPr>
        <w:t>6.3.2.1</w:t>
      </w:r>
      <w:r>
        <w:rPr>
          <w:rFonts w:hint="eastAsia" w:ascii="宋体" w:hAnsi="宋体"/>
          <w:color w:val="000000"/>
          <w:sz w:val="22"/>
        </w:rPr>
        <w:t>无风状态下有效射程应符合：直射射程≥45m, 散射射程≥15m；散射宽度≥10m。</w:t>
      </w:r>
    </w:p>
    <w:p>
      <w:pPr>
        <w:adjustRightInd w:val="0"/>
        <w:spacing w:line="400" w:lineRule="exact"/>
        <w:ind w:firstLine="440" w:firstLineChars="200"/>
        <w:rPr>
          <w:rFonts w:ascii="宋体" w:hAnsi="宋体"/>
          <w:color w:val="000000"/>
          <w:sz w:val="22"/>
        </w:rPr>
      </w:pPr>
      <w:r>
        <w:rPr>
          <w:rFonts w:ascii="宋体" w:hAnsi="宋体"/>
          <w:color w:val="000000"/>
          <w:sz w:val="22"/>
        </w:rPr>
        <w:t>6.3.2.2消防副炮可向左、右各回转≥90°，同时具有自动左右摆动功能；仰角≥45°；俯角≥</w:t>
      </w:r>
      <w:r>
        <w:rPr>
          <w:rFonts w:hint="eastAsia" w:ascii="宋体" w:hAnsi="宋体"/>
          <w:color w:val="000000"/>
          <w:sz w:val="22"/>
        </w:rPr>
        <w:t>15</w:t>
      </w:r>
      <w:r>
        <w:rPr>
          <w:rFonts w:ascii="宋体" w:hAnsi="宋体"/>
          <w:color w:val="000000"/>
          <w:sz w:val="22"/>
        </w:rPr>
        <w:t>°。</w:t>
      </w:r>
    </w:p>
    <w:p>
      <w:pPr>
        <w:adjustRightInd w:val="0"/>
        <w:spacing w:line="400" w:lineRule="exact"/>
        <w:ind w:firstLine="440" w:firstLineChars="200"/>
        <w:rPr>
          <w:rFonts w:ascii="宋体" w:hAnsi="宋体"/>
          <w:color w:val="000000"/>
          <w:sz w:val="22"/>
        </w:rPr>
      </w:pPr>
      <w:r>
        <w:rPr>
          <w:rFonts w:ascii="宋体" w:hAnsi="宋体"/>
          <w:color w:val="000000"/>
          <w:sz w:val="22"/>
        </w:rPr>
        <w:t>6.3.2.3</w:t>
      </w:r>
      <w:r>
        <w:rPr>
          <w:rFonts w:hint="eastAsia" w:ascii="宋体" w:hAnsi="宋体"/>
          <w:color w:val="000000"/>
          <w:sz w:val="22"/>
        </w:rPr>
        <w:t>消防副炮流量≥1500L/min。</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6.3.2.4消防副炮应选用Akron、Rosenbauer、Elkhart等同档次或以上国际知名品牌原装进口产品。</w:t>
      </w:r>
    </w:p>
    <w:p>
      <w:pPr>
        <w:adjustRightInd w:val="0"/>
        <w:spacing w:line="400" w:lineRule="exact"/>
        <w:ind w:firstLine="440" w:firstLineChars="200"/>
        <w:rPr>
          <w:rFonts w:ascii="宋体" w:hAnsi="宋体"/>
          <w:color w:val="000000"/>
          <w:sz w:val="22"/>
        </w:rPr>
      </w:pPr>
      <w:r>
        <w:rPr>
          <w:rFonts w:ascii="宋体" w:hAnsi="宋体"/>
          <w:color w:val="000000"/>
          <w:sz w:val="22"/>
        </w:rPr>
        <w:t>6.3.2.</w:t>
      </w:r>
      <w:r>
        <w:rPr>
          <w:rFonts w:hint="eastAsia" w:ascii="宋体" w:hAnsi="宋体"/>
          <w:color w:val="000000"/>
          <w:sz w:val="22"/>
        </w:rPr>
        <w:t>5</w:t>
      </w:r>
      <w:r>
        <w:rPr>
          <w:rFonts w:ascii="宋体" w:hAnsi="宋体"/>
          <w:color w:val="000000"/>
          <w:sz w:val="22"/>
        </w:rPr>
        <w:t>投标书应</w:t>
      </w:r>
      <w:r>
        <w:rPr>
          <w:rFonts w:hint="eastAsia" w:ascii="宋体" w:hAnsi="宋体"/>
          <w:color w:val="000000"/>
          <w:sz w:val="22"/>
        </w:rPr>
        <w:t>对消防副炮</w:t>
      </w:r>
      <w:r>
        <w:rPr>
          <w:rFonts w:ascii="宋体" w:hAnsi="宋体"/>
          <w:color w:val="000000"/>
          <w:sz w:val="22"/>
        </w:rPr>
        <w:t>的制造厂全称、国别、品牌、型号、技术</w:t>
      </w:r>
      <w:r>
        <w:rPr>
          <w:rFonts w:hint="eastAsia" w:ascii="宋体" w:hAnsi="宋体"/>
          <w:color w:val="000000"/>
          <w:sz w:val="22"/>
        </w:rPr>
        <w:t>性能</w:t>
      </w:r>
      <w:r>
        <w:rPr>
          <w:rFonts w:ascii="宋体" w:hAnsi="宋体"/>
          <w:color w:val="000000"/>
          <w:sz w:val="22"/>
        </w:rPr>
        <w:t>参数进行详细说明</w:t>
      </w:r>
      <w:r>
        <w:rPr>
          <w:rFonts w:hint="eastAsia" w:ascii="宋体" w:hAnsi="宋体"/>
          <w:color w:val="000000"/>
          <w:sz w:val="22"/>
        </w:rPr>
        <w:t>，并</w:t>
      </w:r>
      <w:r>
        <w:rPr>
          <w:rFonts w:ascii="宋体" w:hAnsi="宋体"/>
          <w:color w:val="000000"/>
          <w:sz w:val="22"/>
        </w:rPr>
        <w:t>提供流量-压力曲线表等详细技术参数。</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6.3.2.6有效射程是指主炮、副炮在额定最大喷射流量时，90%的射流能够达到的距离。</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消防泵组的要求</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.1为带自起动注油器的中低压离心泵组，其所需动力来源于车载发动机，</w:t>
      </w:r>
      <w:r>
        <w:rPr>
          <w:rFonts w:hint="eastAsia" w:ascii="宋体" w:hAnsi="宋体"/>
          <w:color w:val="000000"/>
          <w:sz w:val="22"/>
        </w:rPr>
        <w:t>在10Bar压力下，排量</w:t>
      </w:r>
      <w:r>
        <w:rPr>
          <w:rFonts w:ascii="宋体" w:hAnsi="宋体"/>
          <w:color w:val="000000"/>
          <w:sz w:val="22"/>
        </w:rPr>
        <w:t>≥</w:t>
      </w:r>
      <w:r>
        <w:rPr>
          <w:rFonts w:hint="eastAsia" w:ascii="宋体" w:hAnsi="宋体"/>
          <w:color w:val="000000"/>
          <w:sz w:val="22"/>
        </w:rPr>
        <w:t>7500L/min</w:t>
      </w:r>
      <w:r>
        <w:rPr>
          <w:rFonts w:ascii="宋体" w:hAnsi="宋体"/>
          <w:color w:val="000000"/>
          <w:sz w:val="22"/>
        </w:rPr>
        <w:t>。在车辆高速行驶时（≥4</w:t>
      </w:r>
      <w:r>
        <w:rPr>
          <w:rFonts w:hint="eastAsia" w:ascii="宋体" w:hAnsi="宋体"/>
          <w:color w:val="000000"/>
          <w:sz w:val="22"/>
        </w:rPr>
        <w:t>0</w:t>
      </w:r>
      <w:r>
        <w:rPr>
          <w:rFonts w:ascii="宋体" w:hAnsi="宋体"/>
          <w:color w:val="000000"/>
          <w:sz w:val="22"/>
        </w:rPr>
        <w:t>km/h）泵组应能正常工作，可同时提供水和泡沫两套喷射的需要。离心泵可从车载水罐中吸水，或可通过外部水源吸水来向车载水罐加水。消防系统应另加设真空泵，保证可从外部消火栓、水池接力吸水。吸水高度应≥7m，最大真空≥90%。</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.2泵的壳体和转子应采用铸青铜或具有良好防腐、防锈性能的合金材料制造，泵轴应采用不锈钢材料制造。</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3泵的控制板位置设计要合理，并便于操作。各种仪表和控制应防水，配置应齐全，如：隔膜真空压力表、水罐和泡沫罐容量表、手微调控制油门、水阀和泡沫阀控制、泡沫混合比例控制、喷水枪控制等各种必备的仪表和控制。除驾驶室里有上述配置外，在车身左侧便于操作的位置同样需安装上述配置。</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.4 控制板上还应装有放水开关，可以用以放尽水泵和消防管道里的积水，防止冰冻引起消防水泵或管道的破裂。</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6.3.3.5 应有水泵过热保护设施，当泵单元达到预设温度时，能自动启动冷却功能保护水泵。</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3</w:t>
      </w:r>
      <w:r>
        <w:rPr>
          <w:rFonts w:ascii="宋体" w:hAnsi="宋体"/>
          <w:color w:val="000000"/>
          <w:sz w:val="22"/>
        </w:rPr>
        <w:t>.</w:t>
      </w:r>
      <w:r>
        <w:rPr>
          <w:rFonts w:hint="eastAsia" w:ascii="宋体" w:hAnsi="宋体"/>
          <w:color w:val="000000"/>
          <w:sz w:val="22"/>
        </w:rPr>
        <w:t>6消防泵组应选用w</w:t>
      </w:r>
      <w:r>
        <w:rPr>
          <w:rFonts w:ascii="宋体" w:hAnsi="宋体"/>
          <w:color w:val="000000"/>
          <w:sz w:val="22"/>
        </w:rPr>
        <w:t>aterous</w:t>
      </w:r>
      <w:r>
        <w:rPr>
          <w:rFonts w:hint="eastAsia" w:ascii="宋体" w:hAnsi="宋体"/>
          <w:color w:val="000000"/>
          <w:sz w:val="22"/>
        </w:rPr>
        <w:t>、rosenbauer、hale等同档次或以上国际知名品牌原装进口产品。</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6.3.3.7</w:t>
      </w:r>
      <w:r>
        <w:rPr>
          <w:rFonts w:ascii="宋体" w:hAnsi="宋体"/>
          <w:color w:val="000000"/>
          <w:sz w:val="22"/>
        </w:rPr>
        <w:t>投标书应对</w:t>
      </w:r>
      <w:r>
        <w:rPr>
          <w:rFonts w:hint="eastAsia" w:ascii="宋体" w:hAnsi="宋体"/>
          <w:color w:val="000000"/>
          <w:sz w:val="22"/>
        </w:rPr>
        <w:t>消防泵组</w:t>
      </w:r>
      <w:r>
        <w:rPr>
          <w:rFonts w:ascii="宋体" w:hAnsi="宋体"/>
          <w:color w:val="000000"/>
          <w:sz w:val="22"/>
        </w:rPr>
        <w:t>的制造厂全称、国别、品牌、型号、技术</w:t>
      </w:r>
      <w:r>
        <w:rPr>
          <w:rFonts w:hint="eastAsia" w:ascii="宋体" w:hAnsi="宋体"/>
          <w:color w:val="000000"/>
          <w:sz w:val="22"/>
        </w:rPr>
        <w:t>性能</w:t>
      </w:r>
      <w:r>
        <w:rPr>
          <w:rFonts w:ascii="宋体" w:hAnsi="宋体"/>
          <w:color w:val="000000"/>
          <w:sz w:val="22"/>
        </w:rPr>
        <w:t>参数进行详细说明</w:t>
      </w:r>
      <w:r>
        <w:rPr>
          <w:rFonts w:hint="eastAsia" w:ascii="宋体" w:hAnsi="宋体"/>
          <w:color w:val="000000"/>
          <w:sz w:val="22"/>
        </w:rPr>
        <w:t>，</w:t>
      </w:r>
      <w:r>
        <w:rPr>
          <w:rFonts w:ascii="宋体" w:hAnsi="宋体"/>
          <w:color w:val="000000"/>
          <w:sz w:val="22"/>
        </w:rPr>
        <w:t>并</w:t>
      </w:r>
      <w:r>
        <w:rPr>
          <w:rFonts w:hint="eastAsia" w:ascii="宋体" w:hAnsi="宋体"/>
          <w:color w:val="000000"/>
          <w:sz w:val="22"/>
        </w:rPr>
        <w:t>提供消防泵特征曲线。。</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4</w:t>
      </w:r>
      <w:r>
        <w:rPr>
          <w:rFonts w:ascii="宋体" w:hAnsi="宋体"/>
          <w:color w:val="000000"/>
          <w:sz w:val="22"/>
        </w:rPr>
        <w:t>外接水口及水枪</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4</w:t>
      </w:r>
      <w:r>
        <w:rPr>
          <w:rFonts w:ascii="宋体" w:hAnsi="宋体"/>
          <w:color w:val="000000"/>
          <w:sz w:val="22"/>
        </w:rPr>
        <w:t>.1在车体</w:t>
      </w:r>
      <w:r>
        <w:rPr>
          <w:rFonts w:hint="eastAsia" w:ascii="宋体" w:hAnsi="宋体"/>
          <w:color w:val="000000"/>
          <w:sz w:val="22"/>
        </w:rPr>
        <w:t>左</w:t>
      </w:r>
      <w:r>
        <w:rPr>
          <w:rFonts w:ascii="宋体" w:hAnsi="宋体"/>
          <w:color w:val="000000"/>
          <w:sz w:val="22"/>
        </w:rPr>
        <w:t>侧便于操作位置，应安装1个直径为10</w:t>
      </w:r>
      <w:r>
        <w:rPr>
          <w:rFonts w:hint="eastAsia" w:ascii="宋体" w:hAnsi="宋体"/>
          <w:color w:val="000000"/>
          <w:sz w:val="22"/>
        </w:rPr>
        <w:t>0</w:t>
      </w:r>
      <w:r>
        <w:rPr>
          <w:rFonts w:ascii="宋体" w:hAnsi="宋体"/>
          <w:color w:val="000000"/>
          <w:sz w:val="22"/>
        </w:rPr>
        <w:t>mm含联接器和过滤器的吸水口，并</w:t>
      </w:r>
      <w:r>
        <w:rPr>
          <w:rFonts w:hint="eastAsia" w:ascii="宋体" w:hAnsi="宋体"/>
          <w:color w:val="000000"/>
          <w:sz w:val="22"/>
        </w:rPr>
        <w:t>配有硬质抽吸管（吸管两头配连接口，</w:t>
      </w:r>
      <w:r>
        <w:rPr>
          <w:rFonts w:ascii="宋体" w:hAnsi="宋体"/>
          <w:color w:val="000000"/>
          <w:sz w:val="22"/>
        </w:rPr>
        <w:t>可以</w:t>
      </w:r>
      <w:r>
        <w:rPr>
          <w:rFonts w:hint="eastAsia" w:ascii="宋体" w:hAnsi="宋体"/>
          <w:color w:val="000000"/>
          <w:sz w:val="22"/>
        </w:rPr>
        <w:t>从地上或地下</w:t>
      </w:r>
      <w:r>
        <w:rPr>
          <w:rFonts w:ascii="宋体" w:hAnsi="宋体"/>
          <w:color w:val="000000"/>
          <w:sz w:val="22"/>
        </w:rPr>
        <w:t>消火栓100mm出水口直接连接</w:t>
      </w:r>
      <w:r>
        <w:rPr>
          <w:rFonts w:hint="eastAsia" w:ascii="宋体" w:hAnsi="宋体"/>
          <w:color w:val="000000"/>
          <w:sz w:val="22"/>
        </w:rPr>
        <w:t>吸水，接口规格应符合中国标准）和鼓型吸滤器。</w:t>
      </w:r>
      <w:r>
        <w:rPr>
          <w:rFonts w:ascii="宋体" w:hAnsi="宋体"/>
          <w:color w:val="000000"/>
          <w:sz w:val="22"/>
        </w:rPr>
        <w:t xml:space="preserve"> </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6.3.4.2在车体两侧各安装</w:t>
      </w:r>
      <w:r>
        <w:rPr>
          <w:rFonts w:ascii="宋体" w:hAnsi="宋体"/>
          <w:color w:val="000000"/>
          <w:sz w:val="22"/>
        </w:rPr>
        <w:t>一个直径为80mm的注水口（内扣连接）</w:t>
      </w:r>
      <w:r>
        <w:rPr>
          <w:rFonts w:hint="eastAsia" w:ascii="宋体" w:hAnsi="宋体"/>
          <w:color w:val="000000"/>
          <w:sz w:val="22"/>
        </w:rPr>
        <w:t>，用于向水罐注水。</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6.3.4.3在车体两侧各安装</w:t>
      </w:r>
      <w:r>
        <w:rPr>
          <w:rFonts w:ascii="宋体" w:hAnsi="宋体"/>
          <w:color w:val="000000"/>
          <w:sz w:val="22"/>
        </w:rPr>
        <w:t>两个直径为65mm的出水口（内扣连接）用于向外排放</w:t>
      </w:r>
      <w:r>
        <w:rPr>
          <w:rFonts w:hint="eastAsia" w:ascii="宋体" w:hAnsi="宋体"/>
          <w:color w:val="000000"/>
          <w:sz w:val="22"/>
        </w:rPr>
        <w:t>水或泡沫灭火剂</w:t>
      </w:r>
      <w:r>
        <w:rPr>
          <w:rFonts w:ascii="宋体" w:hAnsi="宋体"/>
          <w:color w:val="000000"/>
          <w:sz w:val="22"/>
        </w:rPr>
        <w:t>。</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4</w:t>
      </w:r>
      <w:r>
        <w:rPr>
          <w:rFonts w:ascii="宋体" w:hAnsi="宋体"/>
          <w:color w:val="000000"/>
          <w:sz w:val="22"/>
        </w:rPr>
        <w:t>.</w:t>
      </w:r>
      <w:r>
        <w:rPr>
          <w:rFonts w:hint="eastAsia" w:ascii="宋体" w:hAnsi="宋体"/>
          <w:color w:val="000000"/>
          <w:sz w:val="22"/>
        </w:rPr>
        <w:t>4</w:t>
      </w:r>
      <w:r>
        <w:rPr>
          <w:rFonts w:ascii="宋体" w:hAnsi="宋体"/>
          <w:color w:val="000000"/>
          <w:sz w:val="22"/>
        </w:rPr>
        <w:t>在车体两侧的贮存箱内，应各配备一条</w:t>
      </w:r>
      <w:r>
        <w:rPr>
          <w:rFonts w:hint="eastAsia" w:ascii="宋体" w:hAnsi="宋体"/>
          <w:color w:val="000000"/>
          <w:sz w:val="22"/>
        </w:rPr>
        <w:t>带</w:t>
      </w:r>
      <w:r>
        <w:rPr>
          <w:rFonts w:ascii="宋体" w:hAnsi="宋体"/>
          <w:color w:val="000000"/>
          <w:sz w:val="22"/>
        </w:rPr>
        <w:t>手持喷枪的直径≥32mm、长≥30m喷射水和泡沫的管线</w:t>
      </w:r>
      <w:r>
        <w:rPr>
          <w:rFonts w:hint="eastAsia" w:ascii="宋体" w:hAnsi="宋体"/>
          <w:color w:val="000000"/>
          <w:sz w:val="22"/>
        </w:rPr>
        <w:t>，</w:t>
      </w:r>
      <w:r>
        <w:rPr>
          <w:rFonts w:ascii="宋体" w:hAnsi="宋体"/>
          <w:color w:val="000000"/>
          <w:sz w:val="22"/>
        </w:rPr>
        <w:t>用电动卷盘卷绕，电动卷</w:t>
      </w:r>
      <w:r>
        <w:rPr>
          <w:rFonts w:hint="eastAsia" w:ascii="宋体" w:hAnsi="宋体"/>
          <w:color w:val="000000"/>
          <w:sz w:val="22"/>
        </w:rPr>
        <w:t>盘</w:t>
      </w:r>
      <w:r>
        <w:rPr>
          <w:rFonts w:ascii="宋体" w:hAnsi="宋体"/>
          <w:color w:val="000000"/>
          <w:sz w:val="22"/>
        </w:rPr>
        <w:t>同时也可手动操作。主泵应通过一个独立的阀来</w:t>
      </w:r>
      <w:r>
        <w:rPr>
          <w:rFonts w:hint="eastAsia" w:ascii="宋体" w:hAnsi="宋体"/>
          <w:color w:val="000000"/>
          <w:sz w:val="22"/>
        </w:rPr>
        <w:t>控制</w:t>
      </w:r>
      <w:r>
        <w:rPr>
          <w:rFonts w:ascii="宋体" w:hAnsi="宋体"/>
          <w:color w:val="000000"/>
          <w:sz w:val="22"/>
        </w:rPr>
        <w:t>水带出水。手持喷枪上设置闸阀。直射距离≥15m，散射距离≥6m，散射宽度≥4m，最大喷射量≥200L/min。</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6.3.4.5</w:t>
      </w:r>
      <w:r>
        <w:rPr>
          <w:rFonts w:ascii="宋体" w:hAnsi="宋体"/>
          <w:color w:val="000000"/>
          <w:sz w:val="22"/>
        </w:rPr>
        <w:t>在车体的左侧应有</w:t>
      </w:r>
      <w:r>
        <w:rPr>
          <w:rFonts w:hint="eastAsia" w:ascii="宋体" w:hAnsi="宋体"/>
          <w:color w:val="000000"/>
          <w:sz w:val="22"/>
        </w:rPr>
        <w:t>泡沫液充注和排放接口，配有连接管等组合件，用于向泡沫罐充注或回收泡沫罐中的泡沫原液。投标车辆应自带电动或气动泡沫原液加注泵。</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6.3.4.6</w:t>
      </w:r>
      <w:r>
        <w:rPr>
          <w:rFonts w:ascii="宋体" w:hAnsi="宋体"/>
          <w:color w:val="000000"/>
          <w:sz w:val="22"/>
        </w:rPr>
        <w:t>在车体的左侧应有</w:t>
      </w:r>
      <w:r>
        <w:rPr>
          <w:rFonts w:hint="eastAsia" w:ascii="宋体" w:hAnsi="宋体"/>
          <w:color w:val="000000"/>
          <w:sz w:val="22"/>
        </w:rPr>
        <w:t>泡沫虹吸接口，用于虹吸外部泡沫原液实施灭火。虹吸接口应配有</w:t>
      </w:r>
      <w:r>
        <w:rPr>
          <w:rFonts w:ascii="宋体" w:hAnsi="宋体"/>
          <w:color w:val="000000"/>
          <w:sz w:val="22"/>
        </w:rPr>
        <w:t>外接泡沫虹吸管和冲洗用接头。</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5</w:t>
      </w:r>
      <w:r>
        <w:rPr>
          <w:rFonts w:ascii="宋体" w:hAnsi="宋体"/>
          <w:color w:val="000000"/>
          <w:sz w:val="22"/>
        </w:rPr>
        <w:t>水罐和泡沫罐</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5</w:t>
      </w:r>
      <w:r>
        <w:rPr>
          <w:rFonts w:ascii="宋体" w:hAnsi="宋体"/>
          <w:color w:val="000000"/>
          <w:sz w:val="22"/>
        </w:rPr>
        <w:t>.1水罐应采用不锈钢板材（材质厚度≥3mm）或强化合成材料结构，与车体弹性连接，具有良好的柔韧性，可承受底盘的扭曲。水罐内应有防波板。以最大速度排放时能将水全部排除而不产生气穴。应装有用于清洁的操作孔，并装有快速放水阀门。罐顶装有消除真空的通气孔。注水口装有加注时预防冲压的溢流管。吸水口的过滤器应为自冲洗的线形过滤器，防止吸入异物。</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5</w:t>
      </w:r>
      <w:r>
        <w:rPr>
          <w:rFonts w:ascii="宋体" w:hAnsi="宋体"/>
          <w:color w:val="000000"/>
          <w:sz w:val="22"/>
        </w:rPr>
        <w:t>.2泡沫罐应采用不锈钢板材（材质厚度≥3mm）或强化合成材料结构，与车体弹性连接，具有良好的柔韧性，可承受底盘的扭曲。内部应有浮标，并有足够通径的进、出液管。罐盖能完全打开、移去，便于清洗。罐内底板应设计成中间凹或一边斜的结构。应装有溢流管和与液体放出阀连动的透气阀，在加注时透气阀应能手动操作。</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5</w:t>
      </w:r>
      <w:r>
        <w:rPr>
          <w:rFonts w:ascii="宋体" w:hAnsi="宋体"/>
          <w:color w:val="000000"/>
          <w:sz w:val="22"/>
        </w:rPr>
        <w:t>.</w:t>
      </w:r>
      <w:r>
        <w:rPr>
          <w:rFonts w:hint="eastAsia" w:ascii="宋体" w:hAnsi="宋体"/>
          <w:color w:val="000000"/>
          <w:sz w:val="22"/>
        </w:rPr>
        <w:t>3</w:t>
      </w:r>
      <w:r>
        <w:rPr>
          <w:rFonts w:ascii="宋体" w:hAnsi="宋体"/>
          <w:color w:val="000000"/>
          <w:sz w:val="22"/>
        </w:rPr>
        <w:t>水罐、泡沫罐</w:t>
      </w:r>
      <w:r>
        <w:rPr>
          <w:rFonts w:hint="eastAsia" w:ascii="宋体" w:hAnsi="宋体"/>
          <w:color w:val="000000"/>
          <w:sz w:val="22"/>
        </w:rPr>
        <w:t>（包含水罐、泡沫罐的支撑和固定部件）</w:t>
      </w:r>
      <w:r>
        <w:rPr>
          <w:rFonts w:ascii="宋体" w:hAnsi="宋体"/>
          <w:color w:val="000000"/>
          <w:sz w:val="22"/>
        </w:rPr>
        <w:t>应终身免费保修</w:t>
      </w:r>
      <w:r>
        <w:rPr>
          <w:rFonts w:hint="eastAsia" w:ascii="宋体" w:hAnsi="宋体"/>
          <w:color w:val="000000"/>
          <w:sz w:val="22"/>
        </w:rPr>
        <w:t>（列入附件一</w:t>
      </w:r>
      <w:r>
        <w:rPr>
          <w:rFonts w:ascii="宋体" w:hAnsi="宋体"/>
          <w:color w:val="000000"/>
          <w:sz w:val="22"/>
        </w:rPr>
        <w:t>“整车及各主要部件保修期限表”</w:t>
      </w:r>
      <w:r>
        <w:rPr>
          <w:rFonts w:hint="eastAsia" w:ascii="宋体" w:hAnsi="宋体"/>
          <w:color w:val="000000"/>
          <w:sz w:val="22"/>
        </w:rPr>
        <w:t>）</w:t>
      </w:r>
      <w:r>
        <w:rPr>
          <w:rFonts w:ascii="宋体" w:hAnsi="宋体"/>
          <w:color w:val="000000"/>
          <w:sz w:val="22"/>
        </w:rPr>
        <w:t>。</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6</w:t>
      </w:r>
      <w:r>
        <w:rPr>
          <w:rFonts w:ascii="宋体" w:hAnsi="宋体"/>
          <w:color w:val="000000"/>
          <w:sz w:val="22"/>
        </w:rPr>
        <w:t>其他要求</w:t>
      </w:r>
    </w:p>
    <w:p>
      <w:pPr>
        <w:adjustRightInd w:val="0"/>
        <w:spacing w:line="400" w:lineRule="exact"/>
        <w:ind w:firstLine="440" w:firstLineChars="200"/>
        <w:rPr>
          <w:rFonts w:ascii="宋体" w:hAnsi="宋体"/>
          <w:color w:val="000000"/>
          <w:sz w:val="22"/>
        </w:rPr>
      </w:pPr>
      <w:r>
        <w:rPr>
          <w:rFonts w:ascii="宋体" w:hAnsi="宋体"/>
          <w:color w:val="000000"/>
          <w:sz w:val="22"/>
        </w:rPr>
        <w:t>6.3.</w:t>
      </w:r>
      <w:r>
        <w:rPr>
          <w:rFonts w:hint="eastAsia" w:ascii="宋体" w:hAnsi="宋体"/>
          <w:color w:val="000000"/>
          <w:sz w:val="22"/>
        </w:rPr>
        <w:t>6</w:t>
      </w:r>
      <w:r>
        <w:rPr>
          <w:rFonts w:ascii="宋体" w:hAnsi="宋体"/>
          <w:color w:val="000000"/>
          <w:sz w:val="22"/>
        </w:rPr>
        <w:t>.1 消防系统的各个控制开关应采用电控制式，同时配有手动应急操作装置。泡沫自动比例调节系统泡沫自动比例调节系统可</w:t>
      </w:r>
      <w:r>
        <w:rPr>
          <w:rFonts w:ascii="宋体" w:hAnsi="宋体"/>
          <w:sz w:val="22"/>
        </w:rPr>
        <w:t>使</w:t>
      </w:r>
      <w:r>
        <w:rPr>
          <w:rFonts w:hint="eastAsia" w:ascii="宋体" w:hAnsi="宋体"/>
          <w:sz w:val="22"/>
        </w:rPr>
        <w:t>AFFF</w:t>
      </w:r>
      <w:r>
        <w:rPr>
          <w:rFonts w:ascii="宋体" w:hAnsi="宋体"/>
          <w:sz w:val="22"/>
        </w:rPr>
        <w:t>泡沫溶液浓度</w:t>
      </w:r>
      <w:r>
        <w:rPr>
          <w:rFonts w:hint="eastAsia" w:ascii="宋体" w:hAnsi="宋体"/>
          <w:sz w:val="22"/>
        </w:rPr>
        <w:t>设置</w:t>
      </w:r>
      <w:r>
        <w:rPr>
          <w:rFonts w:hint="eastAsia" w:ascii="宋体" w:hAnsi="宋体"/>
          <w:color w:val="000000"/>
          <w:sz w:val="22"/>
        </w:rPr>
        <w:t>为</w:t>
      </w:r>
      <w:r>
        <w:rPr>
          <w:rFonts w:ascii="宋体" w:hAnsi="宋体"/>
          <w:color w:val="000000"/>
          <w:sz w:val="22"/>
        </w:rPr>
        <w:t>3%</w:t>
      </w:r>
      <w:r>
        <w:rPr>
          <w:rFonts w:hint="eastAsia" w:ascii="宋体" w:hAnsi="宋体"/>
          <w:color w:val="000000"/>
          <w:sz w:val="22"/>
        </w:rPr>
        <w:t>或</w:t>
      </w:r>
      <w:r>
        <w:rPr>
          <w:rFonts w:ascii="宋体" w:hAnsi="宋体"/>
          <w:color w:val="000000"/>
          <w:sz w:val="22"/>
        </w:rPr>
        <w:t>6%</w:t>
      </w:r>
      <w:r>
        <w:rPr>
          <w:rFonts w:hint="eastAsia" w:ascii="宋体" w:hAnsi="宋体"/>
          <w:color w:val="000000"/>
          <w:sz w:val="22"/>
        </w:rPr>
        <w:t>两种模式</w:t>
      </w:r>
      <w:r>
        <w:rPr>
          <w:rFonts w:ascii="宋体" w:hAnsi="宋体"/>
          <w:color w:val="000000"/>
          <w:sz w:val="22"/>
        </w:rPr>
        <w:t>，并且在流量变化时能始终保持预先设置的比例。</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6.3.6.2</w:t>
      </w:r>
      <w:r>
        <w:rPr>
          <w:rFonts w:ascii="宋体" w:hAnsi="宋体"/>
          <w:color w:val="000000"/>
          <w:sz w:val="22"/>
        </w:rPr>
        <w:t>车底前桥、后桥和前后桥间应安装自保喷射装置，其中车底前桥位置应安装2个喷射装置，每个喷嘴的排量在10BAR时≥70L/min，保护范围≥170°射程半径≥2米。其余</w:t>
      </w:r>
      <w:r>
        <w:rPr>
          <w:rFonts w:hint="eastAsia" w:ascii="宋体" w:hAnsi="宋体"/>
          <w:color w:val="000000"/>
          <w:sz w:val="22"/>
        </w:rPr>
        <w:t>2</w:t>
      </w:r>
      <w:r>
        <w:rPr>
          <w:rFonts w:ascii="宋体" w:hAnsi="宋体"/>
          <w:color w:val="000000"/>
          <w:sz w:val="22"/>
        </w:rPr>
        <w:t>个喷嘴的排量10BAR时≥70L/min。保护范围360°射程半径≥2米。</w:t>
      </w:r>
    </w:p>
    <w:p>
      <w:pPr>
        <w:adjustRightInd w:val="0"/>
        <w:spacing w:line="400" w:lineRule="exact"/>
        <w:ind w:firstLine="440" w:firstLineChars="200"/>
        <w:rPr>
          <w:rFonts w:ascii="宋体" w:hAnsi="宋体"/>
          <w:color w:val="000000"/>
          <w:sz w:val="22"/>
        </w:rPr>
      </w:pPr>
      <w:r>
        <w:rPr>
          <w:rFonts w:ascii="宋体" w:hAnsi="宋体"/>
          <w:color w:val="000000"/>
          <w:sz w:val="22"/>
        </w:rPr>
        <w:t>6.4发动机性能要求</w:t>
      </w:r>
    </w:p>
    <w:p>
      <w:pPr>
        <w:adjustRightInd w:val="0"/>
        <w:spacing w:line="400" w:lineRule="exact"/>
        <w:ind w:firstLine="442" w:firstLineChars="200"/>
        <w:rPr>
          <w:rFonts w:ascii="宋体" w:hAnsi="宋体"/>
          <w:b/>
          <w:color w:val="000000"/>
          <w:sz w:val="22"/>
        </w:rPr>
      </w:pPr>
      <w:r>
        <w:rPr>
          <w:rFonts w:hint="eastAsia" w:ascii="宋体" w:hAnsi="宋体"/>
          <w:b/>
          <w:color w:val="000000"/>
          <w:sz w:val="22"/>
        </w:rPr>
        <w:t>★</w:t>
      </w:r>
      <w:r>
        <w:rPr>
          <w:rFonts w:ascii="宋体" w:hAnsi="宋体"/>
          <w:b/>
          <w:color w:val="000000"/>
          <w:sz w:val="22"/>
        </w:rPr>
        <w:t>6.4.1发动机应采用四冲程水冷柴油发动机，≥6缸，微电脑控制，具有涡轮增压、进气强制冷却功能</w:t>
      </w:r>
      <w:r>
        <w:rPr>
          <w:rFonts w:hint="eastAsia" w:ascii="宋体" w:hAnsi="宋体"/>
          <w:b/>
          <w:color w:val="000000"/>
          <w:sz w:val="22"/>
        </w:rPr>
        <w:t xml:space="preserve">。 </w:t>
      </w:r>
    </w:p>
    <w:p>
      <w:pPr>
        <w:adjustRightInd w:val="0"/>
        <w:spacing w:line="400" w:lineRule="exact"/>
        <w:ind w:firstLine="440" w:firstLineChars="200"/>
        <w:rPr>
          <w:rFonts w:ascii="宋体" w:hAnsi="宋体"/>
          <w:bCs/>
          <w:sz w:val="22"/>
        </w:rPr>
      </w:pPr>
      <w:r>
        <w:rPr>
          <w:rFonts w:ascii="宋体" w:hAnsi="宋体"/>
          <w:bCs/>
          <w:color w:val="000000"/>
          <w:sz w:val="22"/>
        </w:rPr>
        <w:t>6.4.2发动机额定功率应≥500kw，最大扭矩≥2500N-m，能通过动力分配器来同时满足满载高速行驶和消防泵全功率工作等要求。</w:t>
      </w:r>
    </w:p>
    <w:p>
      <w:pPr>
        <w:adjustRightInd w:val="0"/>
        <w:spacing w:line="400" w:lineRule="exact"/>
        <w:ind w:firstLine="442" w:firstLineChars="200"/>
        <w:rPr>
          <w:rFonts w:ascii="宋体" w:hAnsi="宋体"/>
          <w:b/>
          <w:color w:val="000000"/>
          <w:sz w:val="22"/>
        </w:rPr>
      </w:pPr>
      <w:r>
        <w:rPr>
          <w:rFonts w:hint="eastAsia" w:ascii="宋体" w:hAnsi="宋体"/>
          <w:b/>
          <w:color w:val="000000"/>
          <w:sz w:val="22"/>
        </w:rPr>
        <w:t>★</w:t>
      </w:r>
      <w:r>
        <w:rPr>
          <w:rFonts w:ascii="宋体" w:hAnsi="宋体"/>
          <w:b/>
          <w:color w:val="000000"/>
          <w:sz w:val="22"/>
        </w:rPr>
        <w:t>6.4.2投标车辆</w:t>
      </w:r>
      <w:r>
        <w:rPr>
          <w:rFonts w:hint="eastAsia" w:ascii="宋体" w:hAnsi="宋体"/>
          <w:b/>
          <w:color w:val="000000"/>
          <w:sz w:val="22"/>
        </w:rPr>
        <w:t>尾气排放符合国Ⅳ或同等标准</w:t>
      </w:r>
      <w:r>
        <w:rPr>
          <w:rFonts w:hint="eastAsia" w:ascii="宋体" w:hAnsi="宋体"/>
          <w:b/>
          <w:sz w:val="22"/>
        </w:rPr>
        <w:t>，</w:t>
      </w:r>
      <w:r>
        <w:rPr>
          <w:rFonts w:ascii="宋体" w:hAnsi="宋体"/>
          <w:b/>
          <w:sz w:val="22"/>
        </w:rPr>
        <w:t>发动机采用的燃料</w:t>
      </w:r>
      <w:r>
        <w:rPr>
          <w:rFonts w:hint="eastAsia" w:ascii="宋体" w:hAnsi="宋体"/>
          <w:b/>
          <w:sz w:val="22"/>
        </w:rPr>
        <w:t>、冷却液、润滑油等</w:t>
      </w:r>
      <w:r>
        <w:rPr>
          <w:rFonts w:ascii="宋体" w:hAnsi="宋体"/>
          <w:b/>
          <w:sz w:val="22"/>
        </w:rPr>
        <w:t>符合中国国内</w:t>
      </w:r>
      <w:r>
        <w:rPr>
          <w:rFonts w:hint="eastAsia" w:ascii="宋体" w:hAnsi="宋体"/>
          <w:b/>
          <w:sz w:val="22"/>
        </w:rPr>
        <w:t>现行标准</w:t>
      </w:r>
      <w:r>
        <w:rPr>
          <w:rFonts w:ascii="宋体" w:hAnsi="宋体"/>
          <w:b/>
          <w:sz w:val="22"/>
        </w:rPr>
        <w:t>。</w:t>
      </w:r>
    </w:p>
    <w:p>
      <w:pPr>
        <w:adjustRightInd w:val="0"/>
        <w:spacing w:line="400" w:lineRule="exact"/>
        <w:ind w:firstLine="440" w:firstLineChars="200"/>
        <w:rPr>
          <w:rFonts w:ascii="宋体" w:hAnsi="宋体"/>
          <w:color w:val="000000"/>
          <w:sz w:val="22"/>
        </w:rPr>
      </w:pPr>
      <w:r>
        <w:rPr>
          <w:rFonts w:ascii="宋体" w:hAnsi="宋体"/>
          <w:color w:val="000000"/>
          <w:sz w:val="22"/>
        </w:rPr>
        <w:t>6.4.3发动机应具有能利用外接220V电源加热的功能。</w:t>
      </w:r>
    </w:p>
    <w:p>
      <w:pPr>
        <w:adjustRightInd w:val="0"/>
        <w:spacing w:line="400" w:lineRule="exact"/>
        <w:ind w:firstLine="440" w:firstLineChars="200"/>
        <w:rPr>
          <w:rFonts w:ascii="宋体" w:hAnsi="宋体"/>
          <w:color w:val="000000"/>
          <w:sz w:val="22"/>
        </w:rPr>
      </w:pPr>
      <w:r>
        <w:rPr>
          <w:rFonts w:ascii="宋体" w:hAnsi="宋体"/>
          <w:color w:val="000000"/>
          <w:sz w:val="22"/>
        </w:rPr>
        <w:t>6.4.4</w:t>
      </w:r>
      <w:r>
        <w:rPr>
          <w:rFonts w:hint="eastAsia" w:ascii="宋体" w:hAnsi="宋体"/>
          <w:color w:val="000000"/>
          <w:sz w:val="22"/>
        </w:rPr>
        <w:t>应配备发动机高速空转控制系统，以保证该系统开启时发动机能稳定保持在</w:t>
      </w:r>
      <w:r>
        <w:rPr>
          <w:rFonts w:ascii="宋体" w:hAnsi="宋体"/>
          <w:color w:val="000000"/>
          <w:sz w:val="22"/>
        </w:rPr>
        <w:t>1200 rpm</w:t>
      </w:r>
      <w:r>
        <w:rPr>
          <w:rFonts w:hint="eastAsia" w:ascii="宋体" w:hAnsi="宋体"/>
          <w:color w:val="000000"/>
          <w:sz w:val="22"/>
        </w:rPr>
        <w:t>左右（±5%）高怠速运转。同时该系统具有安全联锁设置，仅当将变速器置于空档位置并且设置了停车制动后才能被启用。</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6.4.5</w:t>
      </w:r>
      <w:r>
        <w:rPr>
          <w:rFonts w:ascii="宋体" w:hAnsi="宋体"/>
          <w:color w:val="000000"/>
          <w:sz w:val="22"/>
        </w:rPr>
        <w:t>排气系统不应有不适当的背压，排气管应采用带消音器的优质不锈钢材料，使噪音排放符合环保要求。并且管口朝向不能直接对地和人员操作位置。</w:t>
      </w:r>
    </w:p>
    <w:p>
      <w:pPr>
        <w:adjustRightInd w:val="0"/>
        <w:spacing w:line="400" w:lineRule="exact"/>
        <w:ind w:firstLine="440" w:firstLineChars="200"/>
        <w:rPr>
          <w:rFonts w:ascii="宋体" w:hAnsi="宋体"/>
          <w:color w:val="000000"/>
          <w:sz w:val="22"/>
        </w:rPr>
      </w:pPr>
      <w:r>
        <w:rPr>
          <w:rFonts w:ascii="宋体" w:hAnsi="宋体"/>
          <w:color w:val="000000"/>
          <w:sz w:val="22"/>
        </w:rPr>
        <w:t>6.4.5</w:t>
      </w:r>
      <w:r>
        <w:rPr>
          <w:rFonts w:hint="eastAsia" w:ascii="宋体" w:hAnsi="宋体"/>
          <w:color w:val="000000"/>
          <w:sz w:val="22"/>
        </w:rPr>
        <w:t>发动机采用DEUTZ、VOLOV、CATERPILLAR等同档次或以上国际知名品牌原装进口产品。</w:t>
      </w:r>
    </w:p>
    <w:p>
      <w:pPr>
        <w:adjustRightInd w:val="0"/>
        <w:snapToGrid w:val="0"/>
        <w:spacing w:line="360" w:lineRule="exact"/>
        <w:ind w:firstLine="440" w:firstLineChars="200"/>
        <w:rPr>
          <w:rFonts w:ascii="宋体" w:hAnsi="宋体"/>
          <w:color w:val="000000"/>
          <w:sz w:val="22"/>
        </w:rPr>
      </w:pPr>
      <w:r>
        <w:rPr>
          <w:rFonts w:hint="eastAsia" w:ascii="宋体" w:hAnsi="宋体"/>
          <w:color w:val="000000"/>
          <w:sz w:val="22"/>
        </w:rPr>
        <w:t>6.4.6</w:t>
      </w:r>
      <w:r>
        <w:rPr>
          <w:rFonts w:ascii="宋体" w:hAnsi="宋体"/>
          <w:color w:val="000000"/>
          <w:sz w:val="22"/>
        </w:rPr>
        <w:t>投标书应对发动机的制造厂全称、国别、品牌、型号、技术</w:t>
      </w:r>
      <w:r>
        <w:rPr>
          <w:rFonts w:hint="eastAsia" w:ascii="宋体" w:hAnsi="宋体"/>
          <w:color w:val="000000"/>
          <w:sz w:val="22"/>
        </w:rPr>
        <w:t>性能</w:t>
      </w:r>
      <w:r>
        <w:rPr>
          <w:rFonts w:ascii="宋体" w:hAnsi="宋体"/>
          <w:color w:val="000000"/>
          <w:sz w:val="22"/>
        </w:rPr>
        <w:t>参数进行详细说明。</w:t>
      </w:r>
    </w:p>
    <w:p>
      <w:pPr>
        <w:adjustRightInd w:val="0"/>
        <w:spacing w:line="400" w:lineRule="exact"/>
        <w:ind w:firstLine="440" w:firstLineChars="200"/>
        <w:rPr>
          <w:rFonts w:ascii="宋体" w:hAnsi="宋体"/>
          <w:color w:val="000000"/>
          <w:sz w:val="22"/>
        </w:rPr>
      </w:pPr>
      <w:r>
        <w:rPr>
          <w:rFonts w:ascii="宋体" w:hAnsi="宋体"/>
          <w:color w:val="000000"/>
          <w:sz w:val="22"/>
        </w:rPr>
        <w:t>6.5底盘性能要求</w:t>
      </w:r>
    </w:p>
    <w:p>
      <w:pPr>
        <w:adjustRightInd w:val="0"/>
        <w:spacing w:line="400" w:lineRule="exact"/>
        <w:ind w:firstLine="440" w:firstLineChars="200"/>
        <w:rPr>
          <w:rFonts w:ascii="宋体" w:hAnsi="宋体"/>
          <w:color w:val="000000"/>
          <w:sz w:val="22"/>
        </w:rPr>
      </w:pPr>
      <w:r>
        <w:rPr>
          <w:rFonts w:ascii="宋体" w:hAnsi="宋体"/>
          <w:color w:val="000000"/>
          <w:sz w:val="22"/>
        </w:rPr>
        <w:t>6.5.1投标车辆变速箱采用全自动</w:t>
      </w:r>
      <w:r>
        <w:rPr>
          <w:rFonts w:hint="eastAsia" w:ascii="宋体" w:hAnsi="宋体"/>
          <w:color w:val="000000"/>
          <w:sz w:val="22"/>
        </w:rPr>
        <w:t>无级</w:t>
      </w:r>
      <w:r>
        <w:rPr>
          <w:rFonts w:ascii="宋体" w:hAnsi="宋体"/>
          <w:color w:val="000000"/>
          <w:sz w:val="22"/>
        </w:rPr>
        <w:t>变速器，采用微电脑控制，设置≥</w:t>
      </w:r>
      <w:r>
        <w:rPr>
          <w:rFonts w:hint="eastAsia" w:ascii="宋体" w:hAnsi="宋体"/>
          <w:color w:val="000000"/>
          <w:sz w:val="22"/>
        </w:rPr>
        <w:t>6</w:t>
      </w:r>
      <w:r>
        <w:rPr>
          <w:rFonts w:ascii="宋体" w:hAnsi="宋体"/>
          <w:color w:val="000000"/>
          <w:sz w:val="22"/>
        </w:rPr>
        <w:t>个前进档位，</w:t>
      </w:r>
      <w:r>
        <w:rPr>
          <w:rFonts w:hint="eastAsia" w:ascii="宋体" w:hAnsi="宋体"/>
          <w:color w:val="000000"/>
          <w:sz w:val="22"/>
        </w:rPr>
        <w:t>1</w:t>
      </w:r>
      <w:r>
        <w:rPr>
          <w:rFonts w:ascii="宋体" w:hAnsi="宋体"/>
          <w:color w:val="000000"/>
          <w:sz w:val="22"/>
        </w:rPr>
        <w:t>个倒车档位。换档应平稳，无明显冲击感。选择任何驱动轮时，可全动力向前和向后输出。</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6.5.2 投标车辆变速箱应采用ZF、Allison、Twindisc等同档次或以上国际知名品牌原装进口产品。</w:t>
      </w:r>
    </w:p>
    <w:p>
      <w:pPr>
        <w:adjustRightInd w:val="0"/>
        <w:snapToGrid w:val="0"/>
        <w:spacing w:line="360" w:lineRule="exact"/>
        <w:ind w:firstLine="440" w:firstLineChars="200"/>
        <w:rPr>
          <w:rFonts w:ascii="宋体" w:hAnsi="宋体"/>
          <w:color w:val="000000"/>
          <w:sz w:val="22"/>
        </w:rPr>
      </w:pPr>
      <w:r>
        <w:rPr>
          <w:rFonts w:hint="eastAsia" w:ascii="宋体" w:hAnsi="宋体"/>
          <w:color w:val="000000"/>
          <w:sz w:val="22"/>
        </w:rPr>
        <w:t>6.5.3</w:t>
      </w:r>
      <w:r>
        <w:rPr>
          <w:rFonts w:ascii="宋体" w:hAnsi="宋体"/>
          <w:color w:val="000000"/>
          <w:sz w:val="22"/>
        </w:rPr>
        <w:t>投标书应对</w:t>
      </w:r>
      <w:r>
        <w:rPr>
          <w:rFonts w:hint="eastAsia" w:ascii="宋体" w:hAnsi="宋体"/>
          <w:color w:val="000000"/>
          <w:sz w:val="22"/>
        </w:rPr>
        <w:t>变速箱</w:t>
      </w:r>
      <w:r>
        <w:rPr>
          <w:rFonts w:ascii="宋体" w:hAnsi="宋体"/>
          <w:color w:val="000000"/>
          <w:sz w:val="22"/>
        </w:rPr>
        <w:t>的制造厂全称、国别、品牌、型号、技术</w:t>
      </w:r>
      <w:r>
        <w:rPr>
          <w:rFonts w:hint="eastAsia" w:ascii="宋体" w:hAnsi="宋体"/>
          <w:color w:val="000000"/>
          <w:sz w:val="22"/>
        </w:rPr>
        <w:t>性能</w:t>
      </w:r>
      <w:r>
        <w:rPr>
          <w:rFonts w:ascii="宋体" w:hAnsi="宋体"/>
          <w:color w:val="000000"/>
          <w:sz w:val="22"/>
        </w:rPr>
        <w:t>参数进行详细说明。</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4</w:t>
      </w:r>
      <w:r>
        <w:rPr>
          <w:rFonts w:ascii="宋体" w:hAnsi="宋体"/>
          <w:color w:val="000000"/>
          <w:sz w:val="22"/>
        </w:rPr>
        <w:t>投标车辆采用全轮独立悬挂或带平衡杆的高强度螺旋弹簧悬挂，具有良好的越野性能，在任何地面条件下，整车载荷分布符合轮载要求。车桥的承载应合理，每根桥上装有减震器，有足够的弹簧间隙满足越野工作时的要求。</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6.5.5车辆接近角和离去角</w:t>
      </w:r>
      <w:r>
        <w:rPr>
          <w:rFonts w:ascii="宋体" w:hAnsi="宋体"/>
          <w:color w:val="000000"/>
          <w:sz w:val="22"/>
        </w:rPr>
        <w:t>≥</w:t>
      </w:r>
      <w:r>
        <w:rPr>
          <w:rFonts w:hint="eastAsia" w:ascii="宋体" w:hAnsi="宋体"/>
          <w:color w:val="000000"/>
          <w:sz w:val="22"/>
        </w:rPr>
        <w:t>28</w:t>
      </w:r>
      <w:r>
        <w:rPr>
          <w:rFonts w:hint="eastAsia" w:ascii="宋体" w:hAnsi="宋体"/>
          <w:color w:val="000000"/>
          <w:sz w:val="22"/>
          <w:vertAlign w:val="superscript"/>
        </w:rPr>
        <w:t>0</w:t>
      </w:r>
      <w:r>
        <w:rPr>
          <w:rFonts w:hint="eastAsia" w:ascii="宋体" w:hAnsi="宋体"/>
          <w:color w:val="000000"/>
          <w:sz w:val="22"/>
        </w:rPr>
        <w:t>，最小离地间隙</w:t>
      </w:r>
      <w:r>
        <w:rPr>
          <w:rFonts w:ascii="宋体" w:hAnsi="宋体"/>
          <w:color w:val="000000"/>
          <w:sz w:val="22"/>
        </w:rPr>
        <w:t>≥</w:t>
      </w:r>
      <w:r>
        <w:rPr>
          <w:rFonts w:hint="eastAsia" w:ascii="宋体" w:hAnsi="宋体"/>
          <w:color w:val="000000"/>
          <w:sz w:val="22"/>
        </w:rPr>
        <w:t>350mm</w:t>
      </w:r>
      <w:r>
        <w:rPr>
          <w:rFonts w:ascii="宋体" w:hAnsi="宋体"/>
          <w:color w:val="000000"/>
          <w:sz w:val="22"/>
        </w:rPr>
        <w:t>，能够适应各种崎岖路面行驶的要求</w:t>
      </w:r>
      <w:r>
        <w:rPr>
          <w:rFonts w:hint="eastAsia" w:ascii="宋体" w:hAnsi="宋体"/>
          <w:color w:val="000000"/>
          <w:sz w:val="22"/>
        </w:rPr>
        <w:t>，在车辆</w:t>
      </w:r>
      <w:r>
        <w:rPr>
          <w:rFonts w:ascii="宋体" w:hAnsi="宋体"/>
          <w:color w:val="000000"/>
          <w:sz w:val="22"/>
        </w:rPr>
        <w:t>≥</w:t>
      </w:r>
      <w:r>
        <w:rPr>
          <w:rFonts w:hint="eastAsia" w:ascii="宋体" w:hAnsi="宋体"/>
          <w:color w:val="000000"/>
          <w:sz w:val="22"/>
        </w:rPr>
        <w:t>40KM/h速度行进中轮胎连续上下跳动</w:t>
      </w:r>
      <w:r>
        <w:rPr>
          <w:rFonts w:ascii="宋体" w:hAnsi="宋体"/>
          <w:color w:val="000000"/>
          <w:sz w:val="22"/>
        </w:rPr>
        <w:t>≥</w:t>
      </w:r>
      <w:r>
        <w:rPr>
          <w:rFonts w:hint="eastAsia" w:ascii="宋体" w:hAnsi="宋体"/>
          <w:color w:val="000000"/>
          <w:sz w:val="22"/>
        </w:rPr>
        <w:t>350mm时能保持车身平稳，</w:t>
      </w:r>
      <w:r>
        <w:rPr>
          <w:rFonts w:ascii="宋体" w:hAnsi="宋体"/>
          <w:color w:val="000000"/>
          <w:sz w:val="22"/>
        </w:rPr>
        <w:t>不影响</w:t>
      </w:r>
      <w:r>
        <w:rPr>
          <w:rFonts w:hint="eastAsia" w:ascii="宋体" w:hAnsi="宋体"/>
          <w:color w:val="000000"/>
          <w:sz w:val="22"/>
        </w:rPr>
        <w:t>驾驶</w:t>
      </w:r>
      <w:r>
        <w:rPr>
          <w:rFonts w:ascii="宋体" w:hAnsi="宋体"/>
          <w:color w:val="000000"/>
          <w:sz w:val="22"/>
        </w:rPr>
        <w:t>人员操控稳定性。</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6.5.6</w:t>
      </w:r>
      <w:r>
        <w:rPr>
          <w:rFonts w:ascii="宋体" w:hAnsi="宋体"/>
          <w:color w:val="000000"/>
          <w:sz w:val="22"/>
        </w:rPr>
        <w:t>投标车辆采用</w:t>
      </w:r>
      <w:r>
        <w:rPr>
          <w:rFonts w:hint="eastAsia" w:ascii="宋体" w:hAnsi="宋体"/>
          <w:color w:val="000000"/>
          <w:sz w:val="22"/>
        </w:rPr>
        <w:t>消防车专用底盘系统，车架大梁、车桥、悬挂、连接件和紧固件等系统和部件强度、刚度、柔韧性应满足车辆在满载越野、长时间满载停放等恶劣环境工作的要求。招标人优先选用消防车生产厂家自产的车辆底盘系统。</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6.5.7</w:t>
      </w:r>
      <w:r>
        <w:rPr>
          <w:rFonts w:ascii="宋体" w:hAnsi="宋体"/>
          <w:color w:val="000000"/>
          <w:sz w:val="22"/>
        </w:rPr>
        <w:t>投标人</w:t>
      </w:r>
      <w:r>
        <w:rPr>
          <w:rFonts w:hint="eastAsia" w:ascii="宋体" w:hAnsi="宋体"/>
          <w:color w:val="000000"/>
          <w:sz w:val="22"/>
        </w:rPr>
        <w:t>提供底盘结构形式示意效果图，对技术性能</w:t>
      </w:r>
      <w:r>
        <w:rPr>
          <w:rFonts w:ascii="宋体" w:hAnsi="宋体"/>
          <w:color w:val="000000"/>
          <w:sz w:val="22"/>
        </w:rPr>
        <w:t>（包括悬挂系统、越野性能</w:t>
      </w:r>
      <w:r>
        <w:rPr>
          <w:rFonts w:hint="eastAsia" w:ascii="宋体" w:hAnsi="宋体"/>
          <w:color w:val="000000"/>
          <w:sz w:val="22"/>
        </w:rPr>
        <w:t>、</w:t>
      </w:r>
      <w:r>
        <w:rPr>
          <w:rFonts w:ascii="宋体" w:hAnsi="宋体"/>
          <w:color w:val="000000"/>
          <w:sz w:val="22"/>
        </w:rPr>
        <w:t>稳定性能</w:t>
      </w:r>
      <w:r>
        <w:rPr>
          <w:rFonts w:hint="eastAsia" w:ascii="宋体" w:hAnsi="宋体"/>
          <w:color w:val="000000"/>
          <w:sz w:val="22"/>
        </w:rPr>
        <w:t>、</w:t>
      </w:r>
      <w:r>
        <w:rPr>
          <w:rFonts w:ascii="宋体" w:hAnsi="宋体"/>
          <w:color w:val="000000"/>
          <w:sz w:val="22"/>
        </w:rPr>
        <w:t>大梁强度等）进行详细说明并提供检测报告。</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8</w:t>
      </w:r>
      <w:r>
        <w:rPr>
          <w:rFonts w:ascii="宋体" w:hAnsi="宋体"/>
          <w:color w:val="000000"/>
          <w:sz w:val="22"/>
        </w:rPr>
        <w:t>制动系统采用独立双回路的全轮带ABS空气制动系统，一个独立回路的气动弹簧式停车制动系统。</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6.5.9</w:t>
      </w:r>
      <w:r>
        <w:rPr>
          <w:rFonts w:ascii="宋体" w:hAnsi="宋体"/>
          <w:color w:val="000000"/>
          <w:sz w:val="22"/>
        </w:rPr>
        <w:t>发动机启动15s内快速充气能够使车辆及时起动并保证制动系统的安全操作。当车辆发生故障时，有应急装置可迅速解除制动。</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6.5.10</w:t>
      </w:r>
      <w:r>
        <w:rPr>
          <w:rFonts w:ascii="宋体" w:hAnsi="宋体"/>
          <w:color w:val="000000"/>
          <w:sz w:val="22"/>
        </w:rPr>
        <w:t>车辆应安装辅助电动充气泵，利用外接220V交流电源直接为车辆供气，充气气压自动控制，保证车辆在任何时间内都保持足够的气压。</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11</w:t>
      </w:r>
      <w:r>
        <w:rPr>
          <w:rFonts w:ascii="宋体" w:hAnsi="宋体"/>
          <w:color w:val="000000"/>
          <w:sz w:val="22"/>
        </w:rPr>
        <w:t>方向盘应安装在驾驶室内靠左或中间位置，前后多级可调。应提供动力助力转向系统，保证在任何车辆在任何运行状态下驾驶员都能轻巧、灵活地控制方向。动力转向系统失效时，手动转向应能立即实施操作。</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12</w:t>
      </w:r>
      <w:r>
        <w:rPr>
          <w:rFonts w:ascii="宋体" w:hAnsi="宋体"/>
          <w:color w:val="000000"/>
          <w:sz w:val="22"/>
        </w:rPr>
        <w:t>应选用米其林无内胎</w:t>
      </w:r>
      <w:r>
        <w:rPr>
          <w:rFonts w:hint="eastAsia" w:ascii="宋体" w:hAnsi="宋体"/>
          <w:color w:val="000000"/>
          <w:sz w:val="22"/>
        </w:rPr>
        <w:t>低压</w:t>
      </w:r>
      <w:r>
        <w:rPr>
          <w:rFonts w:ascii="宋体" w:hAnsi="宋体"/>
          <w:color w:val="000000"/>
          <w:sz w:val="22"/>
        </w:rPr>
        <w:t>轮胎，层压级≥24级，载荷符合要求。满足在高速度、粗糙路面、满载操作、恶劣气候等条件下均有较长使用寿命。所有车轮应可实现互换，便于拆卸和维修。</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13</w:t>
      </w:r>
      <w:r>
        <w:rPr>
          <w:rFonts w:ascii="宋体" w:hAnsi="宋体"/>
          <w:color w:val="000000"/>
          <w:sz w:val="22"/>
        </w:rPr>
        <w:t xml:space="preserve"> 在前后桥、各左右轮之间都应装有差速器。应有可以进行全轮驱动和后轮驱动切换的装置。</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6.5.14 投标人应对车辆底盘</w:t>
      </w:r>
      <w:r>
        <w:rPr>
          <w:rFonts w:ascii="宋体" w:hAnsi="宋体"/>
          <w:color w:val="000000"/>
          <w:sz w:val="22"/>
        </w:rPr>
        <w:t>的制造厂全称、国别、品牌、型号、技术</w:t>
      </w:r>
      <w:r>
        <w:rPr>
          <w:rFonts w:hint="eastAsia" w:ascii="宋体" w:hAnsi="宋体"/>
          <w:color w:val="000000"/>
          <w:sz w:val="22"/>
        </w:rPr>
        <w:t>性能</w:t>
      </w:r>
      <w:r>
        <w:rPr>
          <w:rFonts w:ascii="宋体" w:hAnsi="宋体"/>
          <w:color w:val="000000"/>
          <w:sz w:val="22"/>
        </w:rPr>
        <w:t>参数进行详细说明。</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15</w:t>
      </w:r>
      <w:r>
        <w:rPr>
          <w:rFonts w:ascii="宋体" w:hAnsi="宋体"/>
          <w:color w:val="000000"/>
          <w:sz w:val="22"/>
        </w:rPr>
        <w:t>灯光和电器设备应采用12V或24V直流型。电气组件、元件及导线连接处需绝缘、防水、密封和加屏蔽保护。</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16</w:t>
      </w:r>
      <w:r>
        <w:rPr>
          <w:rFonts w:ascii="宋体" w:hAnsi="宋体"/>
          <w:color w:val="000000"/>
          <w:sz w:val="22"/>
        </w:rPr>
        <w:t>采用双交流发电机系统，当一个发电机发生故障时，另一个发电机能继续保持供电，同时配有交流发电机故障报警系统。发电机应有较好的性能，输出电流≥200A，在低速时有高输出，并装有用于充电的C/W整流器和调节器。</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17</w:t>
      </w:r>
      <w:r>
        <w:rPr>
          <w:rFonts w:ascii="宋体" w:hAnsi="宋体"/>
          <w:color w:val="000000"/>
          <w:sz w:val="22"/>
        </w:rPr>
        <w:t>免维护蓄电池组输出电流≥</w:t>
      </w:r>
      <w:r>
        <w:rPr>
          <w:rFonts w:hint="eastAsia" w:ascii="宋体" w:hAnsi="宋体"/>
          <w:color w:val="000000"/>
          <w:sz w:val="22"/>
        </w:rPr>
        <w:t>2000CCA</w:t>
      </w:r>
      <w:r>
        <w:rPr>
          <w:rFonts w:ascii="宋体" w:hAnsi="宋体"/>
          <w:color w:val="000000"/>
          <w:sz w:val="22"/>
        </w:rPr>
        <w:t>。安装位置应方便维修检测、通风良好、抗酸和风雨。有电源箱的明显位置表明系统极性。车辆应安装带过充保护的直流充电器，可以直接利用外接220V电源对蓄电池进行充电。</w:t>
      </w:r>
      <w:r>
        <w:rPr>
          <w:rFonts w:hint="eastAsia" w:ascii="宋体" w:hAnsi="宋体"/>
          <w:color w:val="000000"/>
          <w:sz w:val="22"/>
        </w:rPr>
        <w:t>车辆发动时，充电插口能自动弹出。</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18</w:t>
      </w:r>
      <w:r>
        <w:rPr>
          <w:rFonts w:ascii="宋体" w:hAnsi="宋体"/>
          <w:color w:val="000000"/>
          <w:sz w:val="22"/>
        </w:rPr>
        <w:t>所有电气线路的保险盒、连接盒应在驾驶室内的便于维修、更换处。所有电路和电器设备应有保险丝或断路器保护。</w:t>
      </w:r>
    </w:p>
    <w:p>
      <w:pPr>
        <w:adjustRightInd w:val="0"/>
        <w:spacing w:line="400" w:lineRule="exact"/>
        <w:ind w:firstLine="440" w:firstLineChars="200"/>
        <w:rPr>
          <w:rFonts w:ascii="宋体" w:hAnsi="宋体"/>
          <w:color w:val="000000"/>
          <w:sz w:val="22"/>
        </w:rPr>
      </w:pPr>
      <w:r>
        <w:rPr>
          <w:rFonts w:ascii="宋体" w:hAnsi="宋体"/>
          <w:color w:val="000000"/>
          <w:sz w:val="22"/>
        </w:rPr>
        <w:t>6.5.</w:t>
      </w:r>
      <w:r>
        <w:rPr>
          <w:rFonts w:hint="eastAsia" w:ascii="宋体" w:hAnsi="宋体"/>
          <w:color w:val="000000"/>
          <w:sz w:val="22"/>
        </w:rPr>
        <w:t>19</w:t>
      </w:r>
      <w:r>
        <w:rPr>
          <w:rFonts w:ascii="宋体" w:hAnsi="宋体"/>
          <w:color w:val="000000"/>
          <w:sz w:val="22"/>
        </w:rPr>
        <w:t>车辆各种通用照明设备的配置应符合国际交通规则的要求。投标书中应对各种通用标准照明设备的名称、数量、控制方式和分布情况进行说明。车辆至少安装以下专用照明设备：</w:t>
      </w:r>
    </w:p>
    <w:p>
      <w:pPr>
        <w:numPr>
          <w:ilvl w:val="0"/>
          <w:numId w:val="5"/>
        </w:numPr>
        <w:adjustRightInd w:val="0"/>
        <w:spacing w:line="400" w:lineRule="exact"/>
        <w:ind w:left="0" w:firstLine="440" w:firstLineChars="200"/>
        <w:rPr>
          <w:rFonts w:ascii="宋体" w:hAnsi="宋体"/>
          <w:color w:val="000000"/>
          <w:sz w:val="22"/>
        </w:rPr>
      </w:pPr>
      <w:r>
        <w:rPr>
          <w:rFonts w:ascii="宋体" w:hAnsi="宋体"/>
          <w:color w:val="000000"/>
          <w:sz w:val="22"/>
        </w:rPr>
        <w:t>各种仪表面板、控制开关面板及各个贮存箱应有照明灯。</w:t>
      </w:r>
    </w:p>
    <w:p>
      <w:pPr>
        <w:numPr>
          <w:ilvl w:val="0"/>
          <w:numId w:val="5"/>
        </w:numPr>
        <w:adjustRightInd w:val="0"/>
        <w:spacing w:line="400" w:lineRule="exact"/>
        <w:ind w:left="0" w:firstLine="440" w:firstLineChars="200"/>
        <w:rPr>
          <w:rFonts w:ascii="宋体" w:hAnsi="宋体"/>
          <w:color w:val="000000"/>
          <w:sz w:val="22"/>
        </w:rPr>
      </w:pPr>
      <w:r>
        <w:rPr>
          <w:rFonts w:ascii="宋体" w:hAnsi="宋体"/>
          <w:color w:val="000000"/>
          <w:sz w:val="22"/>
        </w:rPr>
        <w:t>车体两侧应有2个氙气消防探照灯。</w:t>
      </w:r>
    </w:p>
    <w:p>
      <w:pPr>
        <w:numPr>
          <w:ilvl w:val="0"/>
          <w:numId w:val="5"/>
        </w:numPr>
        <w:adjustRightInd w:val="0"/>
        <w:spacing w:line="400" w:lineRule="exact"/>
        <w:ind w:left="0" w:firstLine="440" w:firstLineChars="200"/>
        <w:rPr>
          <w:rFonts w:ascii="宋体" w:hAnsi="宋体"/>
          <w:color w:val="000000"/>
          <w:sz w:val="22"/>
        </w:rPr>
      </w:pPr>
      <w:r>
        <w:rPr>
          <w:rFonts w:ascii="宋体" w:hAnsi="宋体"/>
          <w:color w:val="000000"/>
          <w:sz w:val="22"/>
        </w:rPr>
        <w:t>应能有主炮运动方向同步的主炮探照灯。</w:t>
      </w:r>
    </w:p>
    <w:p>
      <w:pPr>
        <w:numPr>
          <w:ilvl w:val="0"/>
          <w:numId w:val="5"/>
        </w:numPr>
        <w:adjustRightInd w:val="0"/>
        <w:spacing w:line="400" w:lineRule="exact"/>
        <w:ind w:left="0" w:firstLine="440" w:firstLineChars="200"/>
        <w:rPr>
          <w:rFonts w:ascii="宋体" w:hAnsi="宋体"/>
          <w:color w:val="000000"/>
          <w:sz w:val="22"/>
        </w:rPr>
      </w:pPr>
      <w:r>
        <w:rPr>
          <w:rFonts w:ascii="宋体" w:hAnsi="宋体"/>
          <w:color w:val="000000"/>
          <w:sz w:val="22"/>
        </w:rPr>
        <w:t>车前大灯和主炮探照灯应选用氙气灯。</w:t>
      </w:r>
    </w:p>
    <w:p>
      <w:pPr>
        <w:adjustRightInd w:val="0"/>
        <w:spacing w:line="400" w:lineRule="exact"/>
        <w:ind w:firstLine="440" w:firstLineChars="200"/>
        <w:rPr>
          <w:rFonts w:ascii="宋体" w:hAnsi="宋体"/>
          <w:color w:val="000000"/>
          <w:sz w:val="22"/>
        </w:rPr>
      </w:pPr>
      <w:r>
        <w:rPr>
          <w:rFonts w:ascii="宋体" w:hAnsi="宋体"/>
          <w:color w:val="000000"/>
          <w:sz w:val="22"/>
        </w:rPr>
        <w:t>6.6消防车驾驶室要求</w:t>
      </w:r>
    </w:p>
    <w:p>
      <w:pPr>
        <w:adjustRightInd w:val="0"/>
        <w:spacing w:line="400" w:lineRule="exact"/>
        <w:ind w:firstLine="440" w:firstLineChars="200"/>
        <w:rPr>
          <w:rFonts w:ascii="宋体" w:hAnsi="宋体"/>
          <w:color w:val="000000"/>
          <w:sz w:val="22"/>
        </w:rPr>
      </w:pPr>
      <w:r>
        <w:rPr>
          <w:rFonts w:ascii="宋体" w:hAnsi="宋体"/>
          <w:color w:val="000000"/>
          <w:sz w:val="22"/>
        </w:rPr>
        <w:t>6.6.1全封闭的驾驶室应具有良好的视野，在正常情况下不存在视觉死角。投标人提供在驾驶室内中心位置时所能达到的视野范围角度值。驾驶室</w:t>
      </w:r>
      <w:r>
        <w:rPr>
          <w:rFonts w:hint="eastAsia" w:ascii="宋体" w:hAnsi="宋体"/>
          <w:color w:val="000000"/>
          <w:sz w:val="22"/>
        </w:rPr>
        <w:t>独立一体成型，无通过改装拼接扩大内部空间，内部前后排之间无隔断，</w:t>
      </w:r>
      <w:r>
        <w:rPr>
          <w:rFonts w:ascii="宋体" w:hAnsi="宋体"/>
          <w:color w:val="000000"/>
          <w:sz w:val="22"/>
        </w:rPr>
        <w:t>安装</w:t>
      </w:r>
      <w:r>
        <w:rPr>
          <w:rFonts w:hint="eastAsia" w:ascii="宋体" w:hAnsi="宋体"/>
          <w:color w:val="000000"/>
          <w:sz w:val="22"/>
        </w:rPr>
        <w:t>4</w:t>
      </w:r>
      <w:r>
        <w:rPr>
          <w:rFonts w:ascii="宋体" w:hAnsi="宋体"/>
          <w:color w:val="000000"/>
          <w:sz w:val="22"/>
        </w:rPr>
        <w:t>个座椅（包括驾驶员），每个座位应有安全带</w:t>
      </w:r>
      <w:r>
        <w:rPr>
          <w:rFonts w:hint="eastAsia" w:ascii="宋体" w:hAnsi="宋体"/>
          <w:color w:val="000000"/>
          <w:sz w:val="22"/>
        </w:rPr>
        <w:t>，</w:t>
      </w:r>
      <w:r>
        <w:rPr>
          <w:rFonts w:ascii="宋体" w:hAnsi="宋体"/>
          <w:color w:val="000000"/>
          <w:sz w:val="22"/>
        </w:rPr>
        <w:t>驾驶员座位应独立分开</w:t>
      </w:r>
      <w:r>
        <w:rPr>
          <w:rFonts w:hint="eastAsia" w:ascii="宋体" w:hAnsi="宋体"/>
          <w:color w:val="000000"/>
          <w:sz w:val="22"/>
        </w:rPr>
        <w:t>。</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6.6.2</w:t>
      </w:r>
      <w:r>
        <w:rPr>
          <w:rFonts w:ascii="宋体" w:hAnsi="宋体"/>
          <w:color w:val="000000"/>
          <w:sz w:val="22"/>
        </w:rPr>
        <w:t>座位均为空气悬浮式，</w:t>
      </w:r>
      <w:r>
        <w:rPr>
          <w:rFonts w:hint="eastAsia" w:ascii="宋体" w:hAnsi="宋体"/>
          <w:color w:val="000000"/>
          <w:sz w:val="22"/>
        </w:rPr>
        <w:t>驾驶员座位和副驾驶座位</w:t>
      </w:r>
      <w:r>
        <w:rPr>
          <w:rFonts w:ascii="宋体" w:hAnsi="宋体"/>
          <w:color w:val="000000"/>
          <w:sz w:val="22"/>
        </w:rPr>
        <w:t>可上下、前后</w:t>
      </w:r>
      <w:r>
        <w:rPr>
          <w:rFonts w:hint="eastAsia" w:ascii="宋体" w:hAnsi="宋体"/>
          <w:color w:val="000000"/>
          <w:sz w:val="22"/>
        </w:rPr>
        <w:t>、前倾、后倾全向</w:t>
      </w:r>
      <w:r>
        <w:rPr>
          <w:rFonts w:ascii="宋体" w:hAnsi="宋体"/>
          <w:color w:val="000000"/>
          <w:sz w:val="22"/>
        </w:rPr>
        <w:t>调整</w:t>
      </w:r>
      <w:r>
        <w:rPr>
          <w:rFonts w:hint="eastAsia" w:ascii="宋体" w:hAnsi="宋体"/>
          <w:color w:val="000000"/>
          <w:sz w:val="22"/>
        </w:rPr>
        <w:t>，椅背可前后调节</w:t>
      </w:r>
      <w:r>
        <w:rPr>
          <w:rFonts w:ascii="宋体" w:hAnsi="宋体"/>
          <w:color w:val="000000"/>
          <w:sz w:val="22"/>
        </w:rPr>
        <w:t>。车门的宽度、开启的方向应保证人员能从两边方便、迅速地出入。</w:t>
      </w:r>
    </w:p>
    <w:p>
      <w:pPr>
        <w:adjustRightInd w:val="0"/>
        <w:spacing w:line="400" w:lineRule="exact"/>
        <w:ind w:firstLine="440" w:firstLineChars="200"/>
        <w:rPr>
          <w:rFonts w:ascii="宋体" w:hAnsi="宋体"/>
          <w:color w:val="000000"/>
          <w:sz w:val="22"/>
        </w:rPr>
      </w:pPr>
      <w:r>
        <w:rPr>
          <w:rFonts w:ascii="宋体" w:hAnsi="宋体"/>
          <w:color w:val="000000"/>
          <w:sz w:val="22"/>
        </w:rPr>
        <w:t>6.6.2驾驶室外框应采用高强度合金材料制造，多点悬挂。应具有噪音低（室内≤75db）、震动小、密封性好和隔热的特点。挡风玻璃应为全宽耐高温防暴安全层压玻璃。挡风玻璃前安装利用车载消防水源的水幕喷淋用于减低在火场上挡风玻璃的温度。应配备双速刮水器、除雾器、洗涤器、遮光板、后视镜等各种基本附件。驾驶室内应配有大功率冷暖空调。</w:t>
      </w:r>
    </w:p>
    <w:p>
      <w:pPr>
        <w:adjustRightInd w:val="0"/>
        <w:spacing w:line="400" w:lineRule="exact"/>
        <w:ind w:firstLine="440" w:firstLineChars="200"/>
        <w:rPr>
          <w:rFonts w:ascii="宋体" w:hAnsi="宋体"/>
          <w:color w:val="000000"/>
          <w:sz w:val="22"/>
        </w:rPr>
      </w:pPr>
      <w:r>
        <w:rPr>
          <w:rFonts w:ascii="宋体" w:hAnsi="宋体"/>
          <w:color w:val="000000"/>
          <w:sz w:val="22"/>
        </w:rPr>
        <w:t>6.6.3各种仪表、开关及控制件应为防水设计，并按照行车工作区和消防工作区合理布置，方便操作、易于识别。通常行车用各种仪表、开关、控制杆和附件的配置应符合国际交通规则的要求。</w:t>
      </w:r>
    </w:p>
    <w:p>
      <w:pPr>
        <w:adjustRightInd w:val="0"/>
        <w:spacing w:line="400" w:lineRule="exact"/>
        <w:ind w:firstLine="440" w:firstLineChars="200"/>
        <w:rPr>
          <w:rFonts w:ascii="宋体" w:hAnsi="宋体"/>
          <w:color w:val="000000"/>
          <w:sz w:val="22"/>
        </w:rPr>
      </w:pPr>
      <w:r>
        <w:rPr>
          <w:rFonts w:ascii="宋体" w:hAnsi="宋体"/>
          <w:color w:val="000000"/>
          <w:sz w:val="22"/>
        </w:rPr>
        <w:t>6.6.4驾驶室内除配置通常行车用各种仪表外，还应配置水罐液位计、泡沫罐液位计</w:t>
      </w:r>
      <w:r>
        <w:rPr>
          <w:rFonts w:hint="eastAsia" w:ascii="宋体" w:hAnsi="宋体"/>
          <w:color w:val="000000"/>
          <w:sz w:val="22"/>
        </w:rPr>
        <w:t>、</w:t>
      </w:r>
      <w:r>
        <w:rPr>
          <w:rFonts w:ascii="宋体" w:hAnsi="宋体"/>
          <w:color w:val="000000"/>
          <w:sz w:val="22"/>
        </w:rPr>
        <w:t>水泵压力表等各种必备的专用仪表。投标书应对车辆的各种通用和专用仪表的配置进行详细的说明。</w:t>
      </w:r>
    </w:p>
    <w:p>
      <w:pPr>
        <w:adjustRightInd w:val="0"/>
        <w:spacing w:line="400" w:lineRule="exact"/>
        <w:ind w:firstLine="440" w:firstLineChars="200"/>
        <w:rPr>
          <w:rFonts w:ascii="宋体" w:hAnsi="宋体"/>
          <w:color w:val="000000"/>
          <w:sz w:val="22"/>
        </w:rPr>
      </w:pPr>
      <w:r>
        <w:rPr>
          <w:rFonts w:ascii="宋体" w:hAnsi="宋体"/>
          <w:color w:val="000000"/>
          <w:sz w:val="22"/>
        </w:rPr>
        <w:t>6.6.5驾驶室内除配置通常行车用各种开关和控制杆外，还应配置遥控主、副炮开关和操纵杆（含直/散射控制、喷射量控制）、水罐吸液阀开关、泡沫罐吸液阀开关、泡沫浓度调控开关、泡沫管路清洗开关、泵系统组合控制开关、自保喷嘴开关、探照灯开关、警报器和警告灯开关等各种必备的专用开关和操纵控制杆。投标书应对车辆的各种通用和专用开关和控制杆的配置进行详细的说明。</w:t>
      </w:r>
    </w:p>
    <w:p>
      <w:pPr>
        <w:adjustRightInd w:val="0"/>
        <w:spacing w:line="400" w:lineRule="exact"/>
        <w:ind w:firstLine="440" w:firstLineChars="200"/>
        <w:rPr>
          <w:rFonts w:ascii="宋体" w:hAnsi="宋体"/>
          <w:color w:val="000000"/>
          <w:sz w:val="22"/>
        </w:rPr>
      </w:pPr>
      <w:r>
        <w:rPr>
          <w:rFonts w:ascii="宋体" w:hAnsi="宋体"/>
          <w:color w:val="000000"/>
          <w:sz w:val="22"/>
        </w:rPr>
        <w:t>6.6.6驾驶室内除配备通常行车用显示灯外，还应配置泡沫罐吸液阀控制灯、真空泵控制灯和各种主要设备的工作状态显示灯。投标书应对投标车辆的各种通用和专用显示灯的配置进行详细的说明。</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6.6.7</w:t>
      </w:r>
      <w:r>
        <w:rPr>
          <w:rFonts w:ascii="宋体" w:hAnsi="宋体"/>
          <w:color w:val="000000"/>
          <w:sz w:val="22"/>
        </w:rPr>
        <w:t>驾驶室内应有上车顶的天窗和楼梯</w:t>
      </w:r>
      <w:r>
        <w:rPr>
          <w:rFonts w:hint="eastAsia" w:ascii="宋体" w:hAnsi="宋体"/>
          <w:color w:val="000000"/>
          <w:sz w:val="22"/>
        </w:rPr>
        <w:t>，不但</w:t>
      </w:r>
      <w:r>
        <w:rPr>
          <w:rFonts w:ascii="宋体" w:hAnsi="宋体"/>
          <w:color w:val="000000"/>
          <w:sz w:val="22"/>
        </w:rPr>
        <w:t>可以快速地从驾驶室内直达车顶</w:t>
      </w:r>
      <w:r>
        <w:rPr>
          <w:rFonts w:hint="eastAsia" w:ascii="宋体" w:hAnsi="宋体"/>
          <w:color w:val="000000"/>
          <w:sz w:val="22"/>
        </w:rPr>
        <w:t>，</w:t>
      </w:r>
      <w:r>
        <w:rPr>
          <w:rFonts w:ascii="宋体" w:hAnsi="宋体"/>
          <w:color w:val="000000"/>
          <w:sz w:val="22"/>
        </w:rPr>
        <w:t>并且在主炮电动手柄遥控失效情况下</w:t>
      </w:r>
      <w:r>
        <w:rPr>
          <w:rFonts w:hint="eastAsia" w:ascii="宋体" w:hAnsi="宋体"/>
          <w:color w:val="000000"/>
          <w:sz w:val="22"/>
        </w:rPr>
        <w:t>，</w:t>
      </w:r>
      <w:r>
        <w:rPr>
          <w:rFonts w:ascii="宋体" w:hAnsi="宋体"/>
          <w:color w:val="000000"/>
          <w:sz w:val="22"/>
        </w:rPr>
        <w:t>可以</w:t>
      </w:r>
      <w:r>
        <w:rPr>
          <w:rFonts w:hint="eastAsia" w:ascii="宋体" w:hAnsi="宋体"/>
          <w:color w:val="000000"/>
          <w:sz w:val="22"/>
        </w:rPr>
        <w:t>让</w:t>
      </w:r>
      <w:r>
        <w:rPr>
          <w:rFonts w:ascii="宋体" w:hAnsi="宋体"/>
          <w:color w:val="000000"/>
          <w:sz w:val="22"/>
        </w:rPr>
        <w:t>消防员在</w:t>
      </w:r>
      <w:r>
        <w:rPr>
          <w:rFonts w:hint="eastAsia" w:ascii="宋体" w:hAnsi="宋体"/>
          <w:color w:val="000000"/>
          <w:sz w:val="22"/>
        </w:rPr>
        <w:t>舒</w:t>
      </w:r>
      <w:r>
        <w:rPr>
          <w:rFonts w:ascii="宋体" w:hAnsi="宋体"/>
          <w:color w:val="000000"/>
          <w:sz w:val="22"/>
        </w:rPr>
        <w:t>适的高度方便地手动操</w:t>
      </w:r>
      <w:r>
        <w:rPr>
          <w:rFonts w:hint="eastAsia" w:ascii="宋体" w:hAnsi="宋体"/>
          <w:color w:val="000000"/>
          <w:sz w:val="22"/>
        </w:rPr>
        <w:t>控</w:t>
      </w:r>
      <w:r>
        <w:rPr>
          <w:rFonts w:ascii="宋体" w:hAnsi="宋体"/>
          <w:color w:val="000000"/>
          <w:sz w:val="22"/>
        </w:rPr>
        <w:t>顶炮</w:t>
      </w:r>
      <w:r>
        <w:rPr>
          <w:rFonts w:hint="eastAsia" w:ascii="宋体" w:hAnsi="宋体"/>
          <w:color w:val="000000"/>
          <w:sz w:val="22"/>
        </w:rPr>
        <w:t>。</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6.6.8 驾驶室配电动升降玻璃窗。</w:t>
      </w:r>
    </w:p>
    <w:p>
      <w:pPr>
        <w:adjustRightInd w:val="0"/>
        <w:spacing w:line="400" w:lineRule="exact"/>
        <w:ind w:firstLine="440" w:firstLineChars="200"/>
        <w:rPr>
          <w:rFonts w:ascii="宋体" w:hAnsi="宋体"/>
          <w:color w:val="000000"/>
          <w:sz w:val="22"/>
        </w:rPr>
      </w:pPr>
      <w:r>
        <w:rPr>
          <w:rFonts w:ascii="宋体" w:hAnsi="宋体"/>
          <w:color w:val="000000"/>
          <w:sz w:val="22"/>
        </w:rPr>
        <w:t>6.7消防车车体结构要求</w:t>
      </w:r>
    </w:p>
    <w:p>
      <w:pPr>
        <w:adjustRightInd w:val="0"/>
        <w:spacing w:line="400" w:lineRule="exact"/>
        <w:ind w:firstLine="440" w:firstLineChars="200"/>
        <w:rPr>
          <w:rFonts w:ascii="宋体" w:hAnsi="宋体"/>
          <w:color w:val="000000"/>
          <w:sz w:val="22"/>
        </w:rPr>
      </w:pPr>
      <w:r>
        <w:rPr>
          <w:rFonts w:ascii="宋体" w:hAnsi="宋体"/>
          <w:color w:val="000000"/>
          <w:sz w:val="22"/>
        </w:rPr>
        <w:t>6.7.1车身的所有金属部分应采用高强度铝合金材料制造，并提供车身防护装置。底部应经过阻燃化合物的处理。前驱动桥应有紧急防护板。车前后应有坚固的牵引挂钩。</w:t>
      </w:r>
    </w:p>
    <w:p>
      <w:pPr>
        <w:adjustRightInd w:val="0"/>
        <w:spacing w:line="400" w:lineRule="exact"/>
        <w:ind w:firstLine="440" w:firstLineChars="200"/>
        <w:rPr>
          <w:rFonts w:ascii="宋体" w:hAnsi="宋体"/>
          <w:color w:val="000000"/>
          <w:sz w:val="22"/>
        </w:rPr>
      </w:pPr>
      <w:r>
        <w:rPr>
          <w:rFonts w:ascii="宋体" w:hAnsi="宋体"/>
          <w:color w:val="000000"/>
          <w:sz w:val="22"/>
        </w:rPr>
        <w:t>6.7.2水罐、泡沫罐、泵组等各种设备应被车体包住，车体板可开启和拆卸。</w:t>
      </w:r>
    </w:p>
    <w:p>
      <w:pPr>
        <w:adjustRightInd w:val="0"/>
        <w:spacing w:line="400" w:lineRule="exact"/>
        <w:ind w:firstLine="440" w:firstLineChars="200"/>
        <w:rPr>
          <w:rFonts w:ascii="宋体" w:hAnsi="宋体"/>
          <w:color w:val="000000"/>
          <w:sz w:val="22"/>
        </w:rPr>
      </w:pPr>
      <w:r>
        <w:rPr>
          <w:rFonts w:ascii="宋体" w:hAnsi="宋体"/>
          <w:color w:val="000000"/>
          <w:sz w:val="22"/>
        </w:rPr>
        <w:t>6.7.3车体应为辅助设备和工具提供有良好的防尘、防水、防锈、通风的贮存箱。箱的内部设计应以设备和工具摆放合理、便于使用和维护为原则，并应用固定的卡扣，以防止车辆行驶时箱内设备和工具的移动。箱门为卷帘碰锁式。在箱内</w:t>
      </w:r>
      <w:r>
        <w:rPr>
          <w:rFonts w:hint="eastAsia" w:ascii="宋体" w:hAnsi="宋体"/>
          <w:color w:val="000000"/>
          <w:sz w:val="22"/>
        </w:rPr>
        <w:t>应配有LED照明，并在</w:t>
      </w:r>
      <w:r>
        <w:rPr>
          <w:rFonts w:ascii="宋体" w:hAnsi="宋体"/>
          <w:color w:val="000000"/>
          <w:sz w:val="22"/>
        </w:rPr>
        <w:t>便于触及处安装手动照明开关。</w:t>
      </w:r>
    </w:p>
    <w:p>
      <w:pPr>
        <w:adjustRightInd w:val="0"/>
        <w:spacing w:line="400" w:lineRule="exact"/>
        <w:ind w:firstLine="440" w:firstLineChars="200"/>
        <w:rPr>
          <w:rFonts w:ascii="宋体" w:hAnsi="宋体"/>
          <w:color w:val="000000"/>
          <w:sz w:val="22"/>
        </w:rPr>
      </w:pPr>
      <w:r>
        <w:rPr>
          <w:rFonts w:ascii="宋体" w:hAnsi="宋体"/>
          <w:color w:val="000000"/>
          <w:sz w:val="22"/>
        </w:rPr>
        <w:t>6.7.</w:t>
      </w:r>
      <w:r>
        <w:rPr>
          <w:rFonts w:hint="eastAsia" w:ascii="宋体" w:hAnsi="宋体"/>
          <w:color w:val="000000"/>
          <w:sz w:val="22"/>
        </w:rPr>
        <w:t>4</w:t>
      </w:r>
      <w:r>
        <w:rPr>
          <w:rFonts w:ascii="宋体" w:hAnsi="宋体"/>
          <w:color w:val="000000"/>
          <w:sz w:val="22"/>
        </w:rPr>
        <w:t>在车身的合理位置应安装上车顶的爬梯。车顶应加固而承受≥3人（100kg/人）的重量，四周应有一定高度的护栏。人员可登踏或行走的所有部位应采用坚固材料制造，并有防滑设施。</w:t>
      </w:r>
    </w:p>
    <w:p>
      <w:pPr>
        <w:adjustRightInd w:val="0"/>
        <w:spacing w:line="400" w:lineRule="exact"/>
        <w:ind w:firstLine="440" w:firstLineChars="200"/>
        <w:rPr>
          <w:rFonts w:ascii="宋体" w:hAnsi="宋体"/>
          <w:color w:val="000000"/>
          <w:sz w:val="22"/>
        </w:rPr>
      </w:pPr>
      <w:r>
        <w:rPr>
          <w:rFonts w:ascii="宋体" w:hAnsi="宋体"/>
          <w:color w:val="000000"/>
          <w:sz w:val="22"/>
        </w:rPr>
        <w:t>6.8消防车其他要求</w:t>
      </w:r>
    </w:p>
    <w:p>
      <w:pPr>
        <w:adjustRightInd w:val="0"/>
        <w:spacing w:line="400" w:lineRule="exact"/>
        <w:ind w:firstLine="440" w:firstLineChars="200"/>
        <w:rPr>
          <w:rFonts w:ascii="宋体" w:hAnsi="宋体"/>
          <w:color w:val="000000"/>
          <w:sz w:val="22"/>
        </w:rPr>
      </w:pPr>
      <w:r>
        <w:rPr>
          <w:rFonts w:ascii="宋体" w:hAnsi="宋体"/>
          <w:color w:val="000000"/>
          <w:sz w:val="22"/>
        </w:rPr>
        <w:t>6.8.1警告装置</w:t>
      </w:r>
    </w:p>
    <w:p>
      <w:pPr>
        <w:adjustRightInd w:val="0"/>
        <w:spacing w:line="400" w:lineRule="exact"/>
        <w:ind w:firstLine="440" w:firstLineChars="200"/>
        <w:rPr>
          <w:rFonts w:ascii="宋体" w:hAnsi="宋体"/>
          <w:color w:val="000000"/>
          <w:sz w:val="22"/>
        </w:rPr>
      </w:pPr>
      <w:r>
        <w:rPr>
          <w:rFonts w:ascii="宋体" w:hAnsi="宋体"/>
          <w:color w:val="000000"/>
          <w:sz w:val="22"/>
        </w:rPr>
        <w:t>6.8.1.1车顶前、后部两侧应各安装1个醒目的圆形旋转红色警告灯和黄色空中警告灯。警告灯应不易损坏，安装位置不能影响水炮作业和各种车顶作业。</w:t>
      </w:r>
    </w:p>
    <w:p>
      <w:pPr>
        <w:adjustRightInd w:val="0"/>
        <w:spacing w:line="400" w:lineRule="exact"/>
        <w:ind w:firstLine="440" w:firstLineChars="200"/>
        <w:rPr>
          <w:rFonts w:ascii="宋体" w:hAnsi="宋体"/>
          <w:color w:val="000000"/>
          <w:sz w:val="22"/>
        </w:rPr>
      </w:pPr>
      <w:r>
        <w:rPr>
          <w:rFonts w:ascii="宋体" w:hAnsi="宋体"/>
          <w:color w:val="000000"/>
          <w:sz w:val="22"/>
        </w:rPr>
        <w:t>6.8.1.2在车前应安装一个双调喇叭和一套警报器。应有倒车报警系统</w:t>
      </w:r>
      <w:r>
        <w:rPr>
          <w:rFonts w:hint="eastAsia" w:ascii="宋体" w:hAnsi="宋体"/>
          <w:color w:val="000000"/>
          <w:sz w:val="22"/>
        </w:rPr>
        <w:t>、倒车车尾照明和</w:t>
      </w:r>
      <w:r>
        <w:rPr>
          <w:rFonts w:ascii="宋体" w:hAnsi="宋体"/>
          <w:color w:val="000000"/>
          <w:sz w:val="22"/>
        </w:rPr>
        <w:t>可视（彩色视频图像）倒车雷达系统</w:t>
      </w:r>
      <w:r>
        <w:rPr>
          <w:rFonts w:hint="eastAsia" w:ascii="宋体" w:hAnsi="宋体"/>
          <w:color w:val="000000"/>
          <w:sz w:val="22"/>
        </w:rPr>
        <w:t>，彩色显示屏尺寸</w:t>
      </w:r>
      <w:r>
        <w:rPr>
          <w:rFonts w:ascii="宋体" w:hAnsi="宋体"/>
          <w:color w:val="000000"/>
          <w:sz w:val="22"/>
        </w:rPr>
        <w:t>≥</w:t>
      </w:r>
      <w:r>
        <w:rPr>
          <w:rFonts w:hint="eastAsia" w:ascii="宋体" w:hAnsi="宋体"/>
          <w:color w:val="000000"/>
          <w:sz w:val="22"/>
        </w:rPr>
        <w:t>10inch。</w:t>
      </w:r>
    </w:p>
    <w:p>
      <w:pPr>
        <w:adjustRightInd w:val="0"/>
        <w:spacing w:line="400" w:lineRule="exact"/>
        <w:ind w:firstLine="440" w:firstLineChars="200"/>
        <w:rPr>
          <w:rFonts w:ascii="宋体" w:hAnsi="宋体"/>
          <w:color w:val="000000"/>
          <w:sz w:val="22"/>
        </w:rPr>
      </w:pPr>
      <w:r>
        <w:rPr>
          <w:rFonts w:ascii="宋体" w:hAnsi="宋体"/>
          <w:color w:val="000000"/>
          <w:sz w:val="22"/>
        </w:rPr>
        <w:t>6.8.1.3对各种主要设备的故障或危险状态应有闪烁的报警灯来提示操作人员。</w:t>
      </w:r>
    </w:p>
    <w:p>
      <w:pPr>
        <w:adjustRightInd w:val="0"/>
        <w:spacing w:line="400" w:lineRule="exact"/>
        <w:ind w:firstLine="440" w:firstLineChars="200"/>
        <w:rPr>
          <w:rFonts w:ascii="宋体" w:hAnsi="宋体"/>
          <w:color w:val="000000"/>
          <w:sz w:val="22"/>
        </w:rPr>
      </w:pPr>
      <w:r>
        <w:rPr>
          <w:rFonts w:ascii="宋体" w:hAnsi="宋体"/>
          <w:color w:val="000000"/>
          <w:sz w:val="22"/>
        </w:rPr>
        <w:t>6.8.1.4投标书应对车辆的各种警告显示灯的配置进行详细说明。</w:t>
      </w:r>
    </w:p>
    <w:p>
      <w:pPr>
        <w:adjustRightInd w:val="0"/>
        <w:spacing w:line="400" w:lineRule="exact"/>
        <w:ind w:firstLine="440" w:firstLineChars="200"/>
        <w:rPr>
          <w:rFonts w:ascii="宋体" w:hAnsi="宋体"/>
          <w:color w:val="000000"/>
          <w:sz w:val="22"/>
        </w:rPr>
      </w:pPr>
      <w:r>
        <w:rPr>
          <w:rFonts w:ascii="宋体" w:hAnsi="宋体"/>
          <w:color w:val="000000"/>
          <w:sz w:val="22"/>
        </w:rPr>
        <w:t>6.8.2车辆的所有管路、阀门和连接头应用优质防锈、防腐、防火材料制造，能防止AFFF、FFFP和蛋白质泡沫混合液的腐蚀。应安装用于管路、泵和阀门的清洗装置，并提供一套大比例水系统原理及连接图。</w:t>
      </w:r>
    </w:p>
    <w:p>
      <w:pPr>
        <w:adjustRightInd w:val="0"/>
        <w:spacing w:line="400" w:lineRule="exact"/>
        <w:ind w:firstLine="440" w:firstLineChars="200"/>
        <w:rPr>
          <w:rFonts w:ascii="宋体" w:hAnsi="宋体"/>
          <w:color w:val="000000"/>
          <w:sz w:val="22"/>
        </w:rPr>
      </w:pPr>
      <w:r>
        <w:rPr>
          <w:rFonts w:ascii="宋体" w:hAnsi="宋体"/>
          <w:color w:val="000000"/>
          <w:sz w:val="22"/>
        </w:rPr>
        <w:t>6.8.3 后视镜具有电动调整和电热除雾功能。</w:t>
      </w:r>
    </w:p>
    <w:p>
      <w:pPr>
        <w:adjustRightInd w:val="0"/>
        <w:spacing w:line="400" w:lineRule="exact"/>
        <w:ind w:firstLine="440" w:firstLineChars="200"/>
        <w:rPr>
          <w:rFonts w:ascii="宋体" w:hAnsi="宋体"/>
          <w:color w:val="000000"/>
          <w:sz w:val="22"/>
        </w:rPr>
      </w:pPr>
      <w:r>
        <w:rPr>
          <w:rFonts w:hint="eastAsia" w:ascii="宋体" w:hAnsi="宋体"/>
          <w:color w:val="000000"/>
          <w:sz w:val="22"/>
        </w:rPr>
        <w:t>6.8.4 驾驶室内安装行车记录仪，</w:t>
      </w:r>
      <w:bookmarkStart w:id="75" w:name="_Toc442103651"/>
      <w:bookmarkStart w:id="76" w:name="_Toc109629353"/>
      <w:bookmarkStart w:id="77" w:name="_Toc111349783"/>
      <w:bookmarkStart w:id="78" w:name="_Toc109628762"/>
      <w:bookmarkStart w:id="79" w:name="_Toc111349987"/>
      <w:r>
        <w:rPr>
          <w:rFonts w:hint="eastAsia" w:ascii="宋体" w:hAnsi="宋体"/>
          <w:color w:val="000000"/>
          <w:sz w:val="22"/>
        </w:rPr>
        <w:t>彩色显示屏尺寸</w:t>
      </w:r>
      <w:r>
        <w:rPr>
          <w:rFonts w:ascii="宋体" w:hAnsi="宋体"/>
          <w:color w:val="000000"/>
          <w:sz w:val="22"/>
        </w:rPr>
        <w:t>≥</w:t>
      </w:r>
      <w:r>
        <w:rPr>
          <w:rFonts w:hint="eastAsia" w:ascii="宋体" w:hAnsi="宋体"/>
          <w:color w:val="000000"/>
          <w:sz w:val="22"/>
        </w:rPr>
        <w:t>10inch，高清摄像头分辨率不小于1440P，带夜视功能，存储卡容量</w:t>
      </w:r>
      <w:r>
        <w:rPr>
          <w:rFonts w:ascii="宋体" w:hAnsi="宋体"/>
          <w:color w:val="000000"/>
          <w:sz w:val="22"/>
        </w:rPr>
        <w:t>≥</w:t>
      </w:r>
      <w:r>
        <w:rPr>
          <w:rFonts w:hint="eastAsia" w:ascii="宋体" w:hAnsi="宋体"/>
          <w:color w:val="000000"/>
          <w:sz w:val="22"/>
        </w:rPr>
        <w:t>64GB。</w:t>
      </w:r>
    </w:p>
    <w:p>
      <w:pPr>
        <w:adjustRightInd w:val="0"/>
        <w:spacing w:line="400" w:lineRule="exact"/>
        <w:ind w:firstLine="442" w:firstLineChars="200"/>
        <w:rPr>
          <w:rFonts w:ascii="宋体" w:hAnsi="宋体"/>
          <w:b/>
          <w:color w:val="000000"/>
          <w:sz w:val="22"/>
        </w:rPr>
      </w:pPr>
    </w:p>
    <w:p>
      <w:pPr>
        <w:adjustRightInd w:val="0"/>
        <w:spacing w:line="400" w:lineRule="exact"/>
        <w:jc w:val="center"/>
        <w:rPr>
          <w:rFonts w:ascii="宋体" w:hAnsi="宋体"/>
          <w:b/>
          <w:color w:val="000000"/>
          <w:sz w:val="22"/>
        </w:rPr>
      </w:pPr>
      <w:r>
        <w:rPr>
          <w:rFonts w:ascii="宋体" w:hAnsi="宋体"/>
          <w:b/>
          <w:color w:val="000000"/>
          <w:sz w:val="22"/>
        </w:rPr>
        <w:t>附件一：整车及各主要部件保修期限表</w:t>
      </w:r>
      <w:bookmarkEnd w:id="75"/>
    </w:p>
    <w:tbl>
      <w:tblPr>
        <w:tblStyle w:val="58"/>
        <w:tblW w:w="8275"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587"/>
        <w:gridCol w:w="2205"/>
        <w:gridCol w:w="2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ascii="宋体" w:hAnsi="宋体"/>
                <w:color w:val="000000"/>
                <w:sz w:val="22"/>
              </w:rPr>
              <w:t>序号</w:t>
            </w:r>
          </w:p>
        </w:tc>
        <w:tc>
          <w:tcPr>
            <w:tcW w:w="2587" w:type="dxa"/>
          </w:tcPr>
          <w:p>
            <w:pPr>
              <w:jc w:val="center"/>
              <w:rPr>
                <w:rFonts w:ascii="宋体" w:hAnsi="宋体"/>
                <w:color w:val="000000"/>
                <w:sz w:val="22"/>
              </w:rPr>
            </w:pPr>
            <w:r>
              <w:rPr>
                <w:rFonts w:ascii="宋体" w:hAnsi="宋体"/>
                <w:color w:val="000000"/>
                <w:sz w:val="22"/>
              </w:rPr>
              <w:t>整车和部件</w:t>
            </w:r>
          </w:p>
        </w:tc>
        <w:tc>
          <w:tcPr>
            <w:tcW w:w="2205" w:type="dxa"/>
          </w:tcPr>
          <w:p>
            <w:pPr>
              <w:jc w:val="center"/>
              <w:rPr>
                <w:rFonts w:ascii="宋体" w:hAnsi="宋体"/>
                <w:color w:val="000000"/>
                <w:sz w:val="22"/>
              </w:rPr>
            </w:pPr>
            <w:r>
              <w:rPr>
                <w:rFonts w:ascii="宋体" w:hAnsi="宋体"/>
                <w:color w:val="000000"/>
                <w:sz w:val="22"/>
              </w:rPr>
              <w:t>保修期限</w:t>
            </w:r>
          </w:p>
        </w:tc>
        <w:tc>
          <w:tcPr>
            <w:tcW w:w="2730" w:type="dxa"/>
          </w:tcPr>
          <w:p>
            <w:pPr>
              <w:jc w:val="center"/>
              <w:rPr>
                <w:rFonts w:ascii="宋体" w:hAnsi="宋体"/>
                <w:color w:val="000000"/>
                <w:sz w:val="22"/>
              </w:rPr>
            </w:pPr>
            <w:r>
              <w:rPr>
                <w:rFonts w:ascii="宋体" w:hAnsi="宋体"/>
                <w:color w:val="00000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ascii="宋体" w:hAnsi="宋体"/>
                <w:color w:val="000000"/>
                <w:sz w:val="22"/>
              </w:rPr>
              <w:t>1</w:t>
            </w:r>
          </w:p>
        </w:tc>
        <w:tc>
          <w:tcPr>
            <w:tcW w:w="2587" w:type="dxa"/>
          </w:tcPr>
          <w:p>
            <w:pPr>
              <w:jc w:val="center"/>
              <w:rPr>
                <w:rFonts w:ascii="宋体" w:hAnsi="宋体"/>
                <w:color w:val="000000"/>
                <w:sz w:val="22"/>
              </w:rPr>
            </w:pPr>
            <w:r>
              <w:rPr>
                <w:rFonts w:ascii="宋体" w:hAnsi="宋体"/>
                <w:color w:val="000000"/>
                <w:sz w:val="22"/>
              </w:rPr>
              <w:t>整车</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ascii="宋体" w:hAnsi="宋体"/>
                <w:color w:val="000000"/>
                <w:sz w:val="22"/>
              </w:rPr>
              <w:t>2</w:t>
            </w:r>
          </w:p>
        </w:tc>
        <w:tc>
          <w:tcPr>
            <w:tcW w:w="2587" w:type="dxa"/>
          </w:tcPr>
          <w:p>
            <w:pPr>
              <w:jc w:val="center"/>
              <w:rPr>
                <w:rFonts w:ascii="宋体" w:hAnsi="宋体"/>
                <w:color w:val="000000"/>
                <w:sz w:val="22"/>
              </w:rPr>
            </w:pPr>
            <w:r>
              <w:rPr>
                <w:rFonts w:ascii="宋体" w:hAnsi="宋体"/>
                <w:color w:val="000000"/>
                <w:sz w:val="22"/>
              </w:rPr>
              <w:t>发动机</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ascii="宋体" w:hAnsi="宋体"/>
                <w:color w:val="000000"/>
                <w:sz w:val="22"/>
              </w:rPr>
              <w:t>3</w:t>
            </w:r>
          </w:p>
        </w:tc>
        <w:tc>
          <w:tcPr>
            <w:tcW w:w="2587" w:type="dxa"/>
          </w:tcPr>
          <w:p>
            <w:pPr>
              <w:jc w:val="center"/>
              <w:rPr>
                <w:rFonts w:ascii="宋体" w:hAnsi="宋体"/>
                <w:color w:val="000000"/>
                <w:sz w:val="22"/>
              </w:rPr>
            </w:pPr>
            <w:r>
              <w:rPr>
                <w:rFonts w:ascii="宋体" w:hAnsi="宋体"/>
                <w:color w:val="000000"/>
                <w:sz w:val="22"/>
              </w:rPr>
              <w:t>变速箱</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hint="eastAsia" w:ascii="宋体" w:hAnsi="宋体"/>
                <w:color w:val="000000"/>
                <w:sz w:val="22"/>
              </w:rPr>
              <w:t>4</w:t>
            </w:r>
          </w:p>
        </w:tc>
        <w:tc>
          <w:tcPr>
            <w:tcW w:w="2587" w:type="dxa"/>
          </w:tcPr>
          <w:p>
            <w:pPr>
              <w:jc w:val="center"/>
              <w:rPr>
                <w:rFonts w:ascii="宋体" w:hAnsi="宋体"/>
                <w:color w:val="000000"/>
                <w:sz w:val="22"/>
              </w:rPr>
            </w:pPr>
            <w:r>
              <w:rPr>
                <w:rFonts w:hint="eastAsia" w:ascii="宋体" w:hAnsi="宋体"/>
                <w:color w:val="000000"/>
                <w:sz w:val="22"/>
              </w:rPr>
              <w:t>底盘系统</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hint="eastAsia" w:ascii="宋体" w:hAnsi="宋体"/>
                <w:color w:val="000000"/>
                <w:sz w:val="22"/>
              </w:rPr>
              <w:t>5</w:t>
            </w:r>
          </w:p>
        </w:tc>
        <w:tc>
          <w:tcPr>
            <w:tcW w:w="2587" w:type="dxa"/>
          </w:tcPr>
          <w:p>
            <w:pPr>
              <w:jc w:val="center"/>
              <w:rPr>
                <w:rFonts w:ascii="宋体" w:hAnsi="宋体"/>
                <w:color w:val="000000"/>
                <w:sz w:val="22"/>
              </w:rPr>
            </w:pPr>
            <w:r>
              <w:rPr>
                <w:rFonts w:ascii="宋体" w:hAnsi="宋体"/>
                <w:color w:val="000000"/>
                <w:sz w:val="22"/>
              </w:rPr>
              <w:t>消防泵</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hint="eastAsia" w:ascii="宋体" w:hAnsi="宋体"/>
                <w:color w:val="000000"/>
                <w:sz w:val="22"/>
              </w:rPr>
              <w:t>6</w:t>
            </w:r>
          </w:p>
        </w:tc>
        <w:tc>
          <w:tcPr>
            <w:tcW w:w="2587" w:type="dxa"/>
          </w:tcPr>
          <w:p>
            <w:pPr>
              <w:jc w:val="center"/>
              <w:rPr>
                <w:rFonts w:ascii="宋体" w:hAnsi="宋体"/>
                <w:color w:val="000000"/>
                <w:sz w:val="22"/>
              </w:rPr>
            </w:pPr>
            <w:r>
              <w:rPr>
                <w:rFonts w:ascii="宋体" w:hAnsi="宋体"/>
                <w:color w:val="000000"/>
                <w:sz w:val="22"/>
              </w:rPr>
              <w:t>消防水炮</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hint="eastAsia" w:ascii="宋体" w:hAnsi="宋体"/>
                <w:color w:val="000000"/>
                <w:sz w:val="22"/>
              </w:rPr>
              <w:t>7</w:t>
            </w:r>
          </w:p>
        </w:tc>
        <w:tc>
          <w:tcPr>
            <w:tcW w:w="2587" w:type="dxa"/>
          </w:tcPr>
          <w:p>
            <w:pPr>
              <w:jc w:val="center"/>
              <w:rPr>
                <w:rFonts w:ascii="宋体" w:hAnsi="宋体"/>
                <w:color w:val="000000"/>
                <w:sz w:val="22"/>
              </w:rPr>
            </w:pPr>
            <w:r>
              <w:rPr>
                <w:rFonts w:ascii="宋体" w:hAnsi="宋体"/>
                <w:color w:val="000000"/>
                <w:sz w:val="22"/>
              </w:rPr>
              <w:t>水罐和泡沫罐</w:t>
            </w:r>
          </w:p>
        </w:tc>
        <w:tc>
          <w:tcPr>
            <w:tcW w:w="2205" w:type="dxa"/>
          </w:tcPr>
          <w:p>
            <w:pPr>
              <w:rPr>
                <w:rFonts w:ascii="宋体" w:hAnsi="宋体"/>
                <w:color w:val="000000"/>
                <w:sz w:val="22"/>
              </w:rPr>
            </w:pPr>
          </w:p>
        </w:tc>
        <w:tc>
          <w:tcPr>
            <w:tcW w:w="2730" w:type="dxa"/>
          </w:tcPr>
          <w:p>
            <w:pP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53" w:type="dxa"/>
          </w:tcPr>
          <w:p>
            <w:pPr>
              <w:jc w:val="center"/>
              <w:rPr>
                <w:rFonts w:ascii="宋体" w:hAnsi="宋体"/>
                <w:color w:val="000000"/>
                <w:sz w:val="22"/>
              </w:rPr>
            </w:pPr>
            <w:r>
              <w:rPr>
                <w:rFonts w:ascii="宋体" w:hAnsi="宋体"/>
                <w:color w:val="000000"/>
                <w:sz w:val="22"/>
              </w:rPr>
              <w:t>……</w:t>
            </w:r>
          </w:p>
        </w:tc>
        <w:tc>
          <w:tcPr>
            <w:tcW w:w="2587" w:type="dxa"/>
          </w:tcPr>
          <w:p>
            <w:pPr>
              <w:rPr>
                <w:rFonts w:ascii="宋体" w:hAnsi="宋体"/>
                <w:color w:val="000000"/>
                <w:sz w:val="22"/>
              </w:rPr>
            </w:pPr>
          </w:p>
        </w:tc>
        <w:tc>
          <w:tcPr>
            <w:tcW w:w="2205" w:type="dxa"/>
          </w:tcPr>
          <w:p>
            <w:pPr>
              <w:rPr>
                <w:rFonts w:ascii="宋体" w:hAnsi="宋体"/>
                <w:color w:val="000000"/>
                <w:sz w:val="22"/>
              </w:rPr>
            </w:pPr>
          </w:p>
        </w:tc>
        <w:tc>
          <w:tcPr>
            <w:tcW w:w="2730" w:type="dxa"/>
          </w:tcPr>
          <w:p>
            <w:pPr>
              <w:rPr>
                <w:rFonts w:ascii="宋体" w:hAnsi="宋体"/>
                <w:color w:val="000000"/>
                <w:sz w:val="22"/>
              </w:rPr>
            </w:pPr>
          </w:p>
        </w:tc>
      </w:tr>
      <w:bookmarkEnd w:id="76"/>
      <w:bookmarkEnd w:id="77"/>
      <w:bookmarkEnd w:id="78"/>
      <w:bookmarkEnd w:id="79"/>
    </w:tbl>
    <w:p>
      <w:pPr>
        <w:pStyle w:val="2"/>
        <w:rPr>
          <w:rFonts w:ascii="宋体" w:hAnsi="宋体"/>
          <w:color w:val="000000"/>
          <w:sz w:val="22"/>
          <w:szCs w:val="22"/>
        </w:rPr>
      </w:pPr>
      <w:bookmarkStart w:id="80" w:name="_Toc442103652"/>
      <w:bookmarkStart w:id="81" w:name="_Toc109629355"/>
      <w:bookmarkStart w:id="82" w:name="_Toc109628764"/>
      <w:bookmarkStart w:id="83" w:name="_Toc111349785"/>
      <w:bookmarkStart w:id="84" w:name="_Toc111349989"/>
      <w:r>
        <w:rPr>
          <w:rFonts w:ascii="宋体" w:hAnsi="宋体"/>
          <w:color w:val="000000"/>
          <w:sz w:val="22"/>
          <w:szCs w:val="22"/>
        </w:rPr>
        <w:t>附件二：零备件及检测维修专用设备清单</w:t>
      </w:r>
      <w:bookmarkEnd w:id="80"/>
    </w:p>
    <w:tbl>
      <w:tblPr>
        <w:tblStyle w:val="58"/>
        <w:tblW w:w="8769"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080"/>
        <w:gridCol w:w="1365"/>
        <w:gridCol w:w="1155"/>
        <w:gridCol w:w="1050"/>
        <w:gridCol w:w="2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 w:hRule="atLeast"/>
        </w:trPr>
        <w:tc>
          <w:tcPr>
            <w:tcW w:w="840" w:type="dxa"/>
            <w:vMerge w:val="restart"/>
            <w:vAlign w:val="center"/>
          </w:tcPr>
          <w:p>
            <w:pPr>
              <w:ind w:left="-108" w:hanging="108"/>
              <w:jc w:val="center"/>
              <w:rPr>
                <w:rFonts w:ascii="宋体" w:hAnsi="宋体"/>
                <w:color w:val="000000"/>
                <w:sz w:val="22"/>
              </w:rPr>
            </w:pPr>
            <w:r>
              <w:rPr>
                <w:rFonts w:ascii="宋体" w:hAnsi="宋体"/>
                <w:color w:val="000000"/>
                <w:sz w:val="22"/>
              </w:rPr>
              <w:t>序号</w:t>
            </w:r>
          </w:p>
        </w:tc>
        <w:tc>
          <w:tcPr>
            <w:tcW w:w="2080" w:type="dxa"/>
            <w:vMerge w:val="restart"/>
            <w:vAlign w:val="center"/>
          </w:tcPr>
          <w:p>
            <w:pPr>
              <w:jc w:val="center"/>
              <w:rPr>
                <w:rFonts w:ascii="宋体" w:hAnsi="宋体"/>
                <w:color w:val="000000"/>
                <w:sz w:val="22"/>
              </w:rPr>
            </w:pPr>
            <w:r>
              <w:rPr>
                <w:rFonts w:ascii="宋体" w:hAnsi="宋体"/>
                <w:color w:val="000000"/>
                <w:sz w:val="22"/>
              </w:rPr>
              <w:t>名  称</w:t>
            </w:r>
          </w:p>
        </w:tc>
        <w:tc>
          <w:tcPr>
            <w:tcW w:w="1365" w:type="dxa"/>
            <w:vMerge w:val="restart"/>
            <w:vAlign w:val="center"/>
          </w:tcPr>
          <w:p>
            <w:pPr>
              <w:jc w:val="center"/>
              <w:rPr>
                <w:rFonts w:ascii="宋体" w:hAnsi="宋体"/>
                <w:color w:val="000000"/>
                <w:sz w:val="22"/>
              </w:rPr>
            </w:pPr>
            <w:r>
              <w:rPr>
                <w:rFonts w:ascii="宋体" w:hAnsi="宋体"/>
                <w:color w:val="000000"/>
                <w:sz w:val="22"/>
              </w:rPr>
              <w:t>数  量</w:t>
            </w:r>
          </w:p>
        </w:tc>
        <w:tc>
          <w:tcPr>
            <w:tcW w:w="2205" w:type="dxa"/>
            <w:gridSpan w:val="2"/>
            <w:vAlign w:val="center"/>
          </w:tcPr>
          <w:p>
            <w:pPr>
              <w:jc w:val="center"/>
              <w:rPr>
                <w:rFonts w:ascii="宋体" w:hAnsi="宋体"/>
                <w:color w:val="000000"/>
                <w:sz w:val="22"/>
              </w:rPr>
            </w:pPr>
            <w:r>
              <w:rPr>
                <w:rFonts w:ascii="宋体" w:hAnsi="宋体"/>
                <w:color w:val="000000"/>
                <w:sz w:val="22"/>
              </w:rPr>
              <w:t>价格</w:t>
            </w:r>
          </w:p>
        </w:tc>
        <w:tc>
          <w:tcPr>
            <w:tcW w:w="2279" w:type="dxa"/>
            <w:vMerge w:val="restart"/>
            <w:vAlign w:val="center"/>
          </w:tcPr>
          <w:p>
            <w:pPr>
              <w:jc w:val="center"/>
              <w:rPr>
                <w:rFonts w:ascii="宋体" w:hAnsi="宋体"/>
                <w:color w:val="000000"/>
                <w:sz w:val="22"/>
              </w:rPr>
            </w:pPr>
            <w:r>
              <w:rPr>
                <w:rFonts w:ascii="宋体" w:hAnsi="宋体"/>
                <w:color w:val="000000"/>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0" w:hRule="atLeast"/>
        </w:trPr>
        <w:tc>
          <w:tcPr>
            <w:tcW w:w="840" w:type="dxa"/>
            <w:vMerge w:val="continue"/>
            <w:vAlign w:val="center"/>
          </w:tcPr>
          <w:p>
            <w:pPr>
              <w:ind w:left="-108" w:hanging="108"/>
              <w:jc w:val="center"/>
              <w:rPr>
                <w:rFonts w:ascii="宋体" w:hAnsi="宋体"/>
                <w:color w:val="000000"/>
                <w:sz w:val="22"/>
              </w:rPr>
            </w:pPr>
          </w:p>
        </w:tc>
        <w:tc>
          <w:tcPr>
            <w:tcW w:w="2080" w:type="dxa"/>
            <w:vMerge w:val="continue"/>
            <w:vAlign w:val="center"/>
          </w:tcPr>
          <w:p>
            <w:pPr>
              <w:jc w:val="center"/>
              <w:rPr>
                <w:rFonts w:ascii="宋体" w:hAnsi="宋体"/>
                <w:color w:val="000000"/>
                <w:sz w:val="22"/>
              </w:rPr>
            </w:pPr>
          </w:p>
        </w:tc>
        <w:tc>
          <w:tcPr>
            <w:tcW w:w="1365" w:type="dxa"/>
            <w:vMerge w:val="continue"/>
            <w:vAlign w:val="center"/>
          </w:tcPr>
          <w:p>
            <w:pPr>
              <w:jc w:val="center"/>
              <w:rPr>
                <w:rFonts w:ascii="宋体" w:hAnsi="宋体"/>
                <w:color w:val="000000"/>
                <w:sz w:val="22"/>
              </w:rPr>
            </w:pPr>
          </w:p>
        </w:tc>
        <w:tc>
          <w:tcPr>
            <w:tcW w:w="1155" w:type="dxa"/>
            <w:vAlign w:val="center"/>
          </w:tcPr>
          <w:p>
            <w:pPr>
              <w:jc w:val="center"/>
              <w:rPr>
                <w:rFonts w:ascii="宋体" w:hAnsi="宋体"/>
                <w:color w:val="000000"/>
                <w:sz w:val="22"/>
              </w:rPr>
            </w:pPr>
            <w:r>
              <w:rPr>
                <w:rFonts w:ascii="宋体" w:hAnsi="宋体"/>
                <w:color w:val="000000"/>
                <w:sz w:val="22"/>
              </w:rPr>
              <w:t>单价</w:t>
            </w:r>
          </w:p>
        </w:tc>
        <w:tc>
          <w:tcPr>
            <w:tcW w:w="1050" w:type="dxa"/>
            <w:vAlign w:val="center"/>
          </w:tcPr>
          <w:p>
            <w:pPr>
              <w:jc w:val="center"/>
              <w:rPr>
                <w:rFonts w:ascii="宋体" w:hAnsi="宋体"/>
                <w:color w:val="000000"/>
                <w:sz w:val="22"/>
              </w:rPr>
            </w:pPr>
            <w:r>
              <w:rPr>
                <w:rFonts w:ascii="宋体" w:hAnsi="宋体"/>
                <w:color w:val="000000"/>
                <w:sz w:val="22"/>
              </w:rPr>
              <w:t>总价</w:t>
            </w:r>
          </w:p>
        </w:tc>
        <w:tc>
          <w:tcPr>
            <w:tcW w:w="2279" w:type="dxa"/>
            <w:vMerge w:val="continue"/>
            <w:vAlign w:val="center"/>
          </w:tcPr>
          <w:p>
            <w:pPr>
              <w:jc w:val="cente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 w:hRule="atLeast"/>
        </w:trPr>
        <w:tc>
          <w:tcPr>
            <w:tcW w:w="840" w:type="dxa"/>
            <w:vAlign w:val="center"/>
          </w:tcPr>
          <w:p>
            <w:pPr>
              <w:ind w:left="-108" w:hanging="108"/>
              <w:jc w:val="center"/>
              <w:rPr>
                <w:rFonts w:ascii="宋体" w:hAnsi="宋体"/>
                <w:color w:val="000000"/>
                <w:sz w:val="22"/>
              </w:rPr>
            </w:pPr>
            <w:r>
              <w:rPr>
                <w:rFonts w:ascii="宋体" w:hAnsi="宋体"/>
                <w:color w:val="000000"/>
                <w:sz w:val="22"/>
              </w:rPr>
              <w:t>1</w:t>
            </w:r>
          </w:p>
        </w:tc>
        <w:tc>
          <w:tcPr>
            <w:tcW w:w="2080" w:type="dxa"/>
          </w:tcPr>
          <w:p>
            <w:pPr>
              <w:rPr>
                <w:rFonts w:ascii="宋体" w:hAnsi="宋体"/>
                <w:color w:val="000000"/>
                <w:sz w:val="22"/>
              </w:rPr>
            </w:pPr>
            <w:r>
              <w:rPr>
                <w:rFonts w:ascii="宋体" w:hAnsi="宋体"/>
                <w:color w:val="000000"/>
                <w:sz w:val="22"/>
              </w:rPr>
              <w:t>底盘随车附件</w:t>
            </w:r>
          </w:p>
        </w:tc>
        <w:tc>
          <w:tcPr>
            <w:tcW w:w="1365" w:type="dxa"/>
          </w:tcPr>
          <w:p>
            <w:pPr>
              <w:jc w:val="center"/>
              <w:rPr>
                <w:rFonts w:ascii="宋体" w:hAnsi="宋体"/>
                <w:color w:val="000000"/>
                <w:sz w:val="22"/>
              </w:rPr>
            </w:pPr>
            <w:r>
              <w:rPr>
                <w:rFonts w:ascii="宋体" w:hAnsi="宋体"/>
                <w:color w:val="000000"/>
                <w:sz w:val="22"/>
              </w:rPr>
              <w:t>1套</w:t>
            </w:r>
          </w:p>
        </w:tc>
        <w:tc>
          <w:tcPr>
            <w:tcW w:w="1155" w:type="dxa"/>
            <w:vAlign w:val="center"/>
          </w:tcPr>
          <w:p>
            <w:pPr>
              <w:jc w:val="center"/>
              <w:rPr>
                <w:rFonts w:ascii="宋体" w:hAnsi="宋体"/>
                <w:color w:val="000000"/>
                <w:sz w:val="22"/>
              </w:rPr>
            </w:pPr>
          </w:p>
        </w:tc>
        <w:tc>
          <w:tcPr>
            <w:tcW w:w="1050" w:type="dxa"/>
            <w:vAlign w:val="center"/>
          </w:tcPr>
          <w:p>
            <w:pPr>
              <w:jc w:val="center"/>
              <w:rPr>
                <w:rFonts w:ascii="宋体" w:hAnsi="宋体"/>
                <w:color w:val="000000"/>
                <w:sz w:val="22"/>
              </w:rPr>
            </w:pPr>
          </w:p>
        </w:tc>
        <w:tc>
          <w:tcPr>
            <w:tcW w:w="2279" w:type="dxa"/>
            <w:vAlign w:val="center"/>
          </w:tcPr>
          <w:p>
            <w:pPr>
              <w:jc w:val="center"/>
              <w:rPr>
                <w:rFonts w:ascii="宋体" w:hAnsi="宋体"/>
                <w:color w:val="000000"/>
                <w:sz w:val="22"/>
              </w:rPr>
            </w:pPr>
            <w:r>
              <w:rPr>
                <w:rFonts w:hint="eastAsia" w:ascii="宋体" w:hAnsi="宋体"/>
                <w:color w:val="000000"/>
                <w:sz w:val="22"/>
              </w:rPr>
              <w:t>请注明附件种类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 w:hRule="atLeast"/>
        </w:trPr>
        <w:tc>
          <w:tcPr>
            <w:tcW w:w="840" w:type="dxa"/>
            <w:vAlign w:val="center"/>
          </w:tcPr>
          <w:p>
            <w:pPr>
              <w:ind w:left="-108" w:hanging="108"/>
              <w:jc w:val="center"/>
              <w:rPr>
                <w:rFonts w:ascii="宋体" w:hAnsi="宋体"/>
                <w:color w:val="000000"/>
                <w:sz w:val="22"/>
              </w:rPr>
            </w:pPr>
            <w:r>
              <w:rPr>
                <w:rFonts w:ascii="宋体" w:hAnsi="宋体"/>
                <w:color w:val="000000"/>
                <w:sz w:val="22"/>
              </w:rPr>
              <w:t>2</w:t>
            </w:r>
          </w:p>
        </w:tc>
        <w:tc>
          <w:tcPr>
            <w:tcW w:w="2080" w:type="dxa"/>
          </w:tcPr>
          <w:p>
            <w:pPr>
              <w:rPr>
                <w:rFonts w:ascii="宋体" w:hAnsi="宋体"/>
                <w:color w:val="000000"/>
                <w:sz w:val="22"/>
              </w:rPr>
            </w:pPr>
            <w:r>
              <w:rPr>
                <w:rFonts w:ascii="宋体" w:hAnsi="宋体"/>
                <w:color w:val="000000"/>
                <w:sz w:val="22"/>
              </w:rPr>
              <w:t>备用轮胎（含轮毂）</w:t>
            </w:r>
          </w:p>
        </w:tc>
        <w:tc>
          <w:tcPr>
            <w:tcW w:w="1365" w:type="dxa"/>
          </w:tcPr>
          <w:p>
            <w:pPr>
              <w:jc w:val="center"/>
              <w:rPr>
                <w:rFonts w:ascii="宋体" w:hAnsi="宋体"/>
                <w:color w:val="000000"/>
                <w:sz w:val="22"/>
              </w:rPr>
            </w:pPr>
            <w:r>
              <w:rPr>
                <w:rFonts w:ascii="宋体" w:hAnsi="宋体"/>
                <w:color w:val="000000"/>
                <w:sz w:val="22"/>
              </w:rPr>
              <w:t>1套</w:t>
            </w:r>
          </w:p>
        </w:tc>
        <w:tc>
          <w:tcPr>
            <w:tcW w:w="1155" w:type="dxa"/>
            <w:vAlign w:val="center"/>
          </w:tcPr>
          <w:p>
            <w:pPr>
              <w:jc w:val="center"/>
              <w:rPr>
                <w:rFonts w:ascii="宋体" w:hAnsi="宋体"/>
                <w:color w:val="000000"/>
                <w:sz w:val="22"/>
              </w:rPr>
            </w:pPr>
          </w:p>
        </w:tc>
        <w:tc>
          <w:tcPr>
            <w:tcW w:w="1050" w:type="dxa"/>
            <w:vAlign w:val="center"/>
          </w:tcPr>
          <w:p>
            <w:pPr>
              <w:jc w:val="center"/>
              <w:rPr>
                <w:rFonts w:ascii="宋体" w:hAnsi="宋体"/>
                <w:color w:val="000000"/>
                <w:sz w:val="22"/>
              </w:rPr>
            </w:pPr>
          </w:p>
        </w:tc>
        <w:tc>
          <w:tcPr>
            <w:tcW w:w="2279" w:type="dxa"/>
            <w:vAlign w:val="center"/>
          </w:tcPr>
          <w:p>
            <w:pPr>
              <w:jc w:val="cente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 w:hRule="atLeast"/>
        </w:trPr>
        <w:tc>
          <w:tcPr>
            <w:tcW w:w="840" w:type="dxa"/>
            <w:vAlign w:val="center"/>
          </w:tcPr>
          <w:p>
            <w:pPr>
              <w:ind w:left="-108" w:hanging="108"/>
              <w:jc w:val="center"/>
              <w:rPr>
                <w:rFonts w:ascii="宋体" w:hAnsi="宋体"/>
                <w:color w:val="000000"/>
                <w:sz w:val="22"/>
              </w:rPr>
            </w:pPr>
            <w:r>
              <w:rPr>
                <w:rFonts w:hint="eastAsia" w:ascii="宋体" w:hAnsi="宋体"/>
                <w:color w:val="000000"/>
                <w:sz w:val="22"/>
              </w:rPr>
              <w:t>3</w:t>
            </w:r>
          </w:p>
        </w:tc>
        <w:tc>
          <w:tcPr>
            <w:tcW w:w="2080" w:type="dxa"/>
          </w:tcPr>
          <w:p>
            <w:pPr>
              <w:rPr>
                <w:rFonts w:ascii="宋体" w:hAnsi="宋体"/>
                <w:color w:val="000000"/>
                <w:sz w:val="22"/>
              </w:rPr>
            </w:pPr>
            <w:r>
              <w:rPr>
                <w:rFonts w:ascii="宋体" w:hAnsi="宋体"/>
                <w:color w:val="000000"/>
                <w:sz w:val="22"/>
              </w:rPr>
              <w:t>换轮工具</w:t>
            </w:r>
          </w:p>
        </w:tc>
        <w:tc>
          <w:tcPr>
            <w:tcW w:w="1365" w:type="dxa"/>
          </w:tcPr>
          <w:p>
            <w:pPr>
              <w:jc w:val="center"/>
              <w:rPr>
                <w:rFonts w:ascii="宋体" w:hAnsi="宋体"/>
                <w:color w:val="000000"/>
                <w:sz w:val="22"/>
              </w:rPr>
            </w:pPr>
            <w:r>
              <w:rPr>
                <w:rFonts w:ascii="宋体" w:hAnsi="宋体"/>
                <w:color w:val="000000"/>
                <w:sz w:val="22"/>
              </w:rPr>
              <w:t>1套</w:t>
            </w:r>
          </w:p>
        </w:tc>
        <w:tc>
          <w:tcPr>
            <w:tcW w:w="1155" w:type="dxa"/>
            <w:vAlign w:val="center"/>
          </w:tcPr>
          <w:p>
            <w:pPr>
              <w:jc w:val="center"/>
              <w:rPr>
                <w:rFonts w:ascii="宋体" w:hAnsi="宋体"/>
                <w:color w:val="000000"/>
                <w:sz w:val="22"/>
              </w:rPr>
            </w:pPr>
          </w:p>
        </w:tc>
        <w:tc>
          <w:tcPr>
            <w:tcW w:w="1050" w:type="dxa"/>
            <w:vAlign w:val="center"/>
          </w:tcPr>
          <w:p>
            <w:pPr>
              <w:jc w:val="center"/>
              <w:rPr>
                <w:rFonts w:ascii="宋体" w:hAnsi="宋体"/>
                <w:color w:val="000000"/>
                <w:sz w:val="22"/>
              </w:rPr>
            </w:pPr>
          </w:p>
        </w:tc>
        <w:tc>
          <w:tcPr>
            <w:tcW w:w="2279" w:type="dxa"/>
            <w:vAlign w:val="center"/>
          </w:tcPr>
          <w:p>
            <w:pPr>
              <w:jc w:val="center"/>
              <w:rPr>
                <w:rFonts w:ascii="宋体" w:hAnsi="宋体"/>
                <w:color w:val="000000"/>
                <w:sz w:val="22"/>
              </w:rPr>
            </w:pPr>
            <w:r>
              <w:rPr>
                <w:rFonts w:hint="eastAsia" w:ascii="宋体" w:hAnsi="宋体"/>
                <w:color w:val="000000"/>
                <w:sz w:val="22"/>
              </w:rPr>
              <w:t>包含20吨千斤顶1台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 w:hRule="atLeast"/>
        </w:trPr>
        <w:tc>
          <w:tcPr>
            <w:tcW w:w="840" w:type="dxa"/>
            <w:vAlign w:val="center"/>
          </w:tcPr>
          <w:p>
            <w:pPr>
              <w:ind w:left="-108" w:hanging="108"/>
              <w:jc w:val="center"/>
              <w:rPr>
                <w:rFonts w:ascii="宋体" w:hAnsi="宋体"/>
                <w:color w:val="000000"/>
                <w:sz w:val="22"/>
              </w:rPr>
            </w:pPr>
            <w:r>
              <w:rPr>
                <w:rFonts w:ascii="宋体" w:hAnsi="宋体"/>
                <w:color w:val="000000"/>
                <w:sz w:val="22"/>
              </w:rPr>
              <w:t>……</w:t>
            </w:r>
          </w:p>
        </w:tc>
        <w:tc>
          <w:tcPr>
            <w:tcW w:w="2080" w:type="dxa"/>
          </w:tcPr>
          <w:p>
            <w:pPr>
              <w:rPr>
                <w:rFonts w:ascii="宋体" w:hAnsi="宋体"/>
                <w:color w:val="000000"/>
                <w:sz w:val="22"/>
              </w:rPr>
            </w:pPr>
          </w:p>
        </w:tc>
        <w:tc>
          <w:tcPr>
            <w:tcW w:w="1365" w:type="dxa"/>
          </w:tcPr>
          <w:p>
            <w:pPr>
              <w:jc w:val="center"/>
              <w:rPr>
                <w:rFonts w:ascii="宋体" w:hAnsi="宋体"/>
                <w:color w:val="000000"/>
                <w:sz w:val="22"/>
              </w:rPr>
            </w:pPr>
          </w:p>
        </w:tc>
        <w:tc>
          <w:tcPr>
            <w:tcW w:w="1155" w:type="dxa"/>
            <w:vAlign w:val="center"/>
          </w:tcPr>
          <w:p>
            <w:pPr>
              <w:jc w:val="center"/>
              <w:rPr>
                <w:rFonts w:ascii="宋体" w:hAnsi="宋体"/>
                <w:color w:val="000000"/>
                <w:sz w:val="22"/>
              </w:rPr>
            </w:pPr>
          </w:p>
        </w:tc>
        <w:tc>
          <w:tcPr>
            <w:tcW w:w="1050" w:type="dxa"/>
            <w:vAlign w:val="center"/>
          </w:tcPr>
          <w:p>
            <w:pPr>
              <w:jc w:val="center"/>
              <w:rPr>
                <w:rFonts w:ascii="宋体" w:hAnsi="宋体"/>
                <w:color w:val="000000"/>
                <w:sz w:val="22"/>
              </w:rPr>
            </w:pPr>
          </w:p>
        </w:tc>
        <w:tc>
          <w:tcPr>
            <w:tcW w:w="2279" w:type="dxa"/>
            <w:vAlign w:val="center"/>
          </w:tcPr>
          <w:p>
            <w:pPr>
              <w:jc w:val="center"/>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 w:hRule="atLeast"/>
        </w:trPr>
        <w:tc>
          <w:tcPr>
            <w:tcW w:w="840" w:type="dxa"/>
            <w:vAlign w:val="center"/>
          </w:tcPr>
          <w:p>
            <w:pPr>
              <w:ind w:left="-108" w:hanging="108"/>
              <w:jc w:val="center"/>
              <w:rPr>
                <w:rFonts w:ascii="宋体" w:hAnsi="宋体"/>
                <w:color w:val="000000"/>
                <w:sz w:val="22"/>
              </w:rPr>
            </w:pPr>
          </w:p>
        </w:tc>
        <w:tc>
          <w:tcPr>
            <w:tcW w:w="2080" w:type="dxa"/>
          </w:tcPr>
          <w:p>
            <w:pPr>
              <w:rPr>
                <w:rFonts w:ascii="宋体" w:hAnsi="宋体"/>
                <w:color w:val="000000"/>
                <w:sz w:val="22"/>
              </w:rPr>
            </w:pPr>
          </w:p>
        </w:tc>
        <w:tc>
          <w:tcPr>
            <w:tcW w:w="1365" w:type="dxa"/>
          </w:tcPr>
          <w:p>
            <w:pPr>
              <w:jc w:val="center"/>
              <w:rPr>
                <w:rFonts w:ascii="宋体" w:hAnsi="宋体"/>
                <w:color w:val="000000"/>
                <w:sz w:val="22"/>
              </w:rPr>
            </w:pPr>
          </w:p>
        </w:tc>
        <w:tc>
          <w:tcPr>
            <w:tcW w:w="1155" w:type="dxa"/>
            <w:vAlign w:val="center"/>
          </w:tcPr>
          <w:p>
            <w:pPr>
              <w:jc w:val="center"/>
              <w:rPr>
                <w:rFonts w:ascii="宋体" w:hAnsi="宋体"/>
                <w:color w:val="000000"/>
                <w:sz w:val="22"/>
              </w:rPr>
            </w:pPr>
          </w:p>
        </w:tc>
        <w:tc>
          <w:tcPr>
            <w:tcW w:w="1050" w:type="dxa"/>
            <w:vAlign w:val="center"/>
          </w:tcPr>
          <w:p>
            <w:pPr>
              <w:jc w:val="center"/>
              <w:rPr>
                <w:rFonts w:ascii="宋体" w:hAnsi="宋体"/>
                <w:color w:val="000000"/>
                <w:sz w:val="22"/>
              </w:rPr>
            </w:pPr>
          </w:p>
        </w:tc>
        <w:tc>
          <w:tcPr>
            <w:tcW w:w="2279" w:type="dxa"/>
            <w:vAlign w:val="center"/>
          </w:tcPr>
          <w:p>
            <w:pPr>
              <w:jc w:val="center"/>
              <w:rPr>
                <w:rFonts w:ascii="宋体" w:hAnsi="宋体"/>
                <w:color w:val="000000"/>
                <w:sz w:val="22"/>
              </w:rPr>
            </w:pPr>
          </w:p>
        </w:tc>
      </w:tr>
      <w:bookmarkEnd w:id="81"/>
      <w:bookmarkEnd w:id="82"/>
      <w:bookmarkEnd w:id="83"/>
      <w:bookmarkEnd w:id="84"/>
    </w:tbl>
    <w:p>
      <w:pPr>
        <w:adjustRightInd w:val="0"/>
        <w:snapToGrid w:val="0"/>
        <w:spacing w:line="360" w:lineRule="exact"/>
        <w:ind w:firstLine="422" w:firstLineChars="200"/>
        <w:jc w:val="center"/>
        <w:rPr>
          <w:b/>
        </w:rPr>
      </w:pPr>
    </w:p>
    <w:p>
      <w:pPr>
        <w:adjustRightInd w:val="0"/>
        <w:snapToGrid w:val="0"/>
        <w:spacing w:line="360" w:lineRule="exact"/>
        <w:jc w:val="center"/>
        <w:rPr>
          <w:sz w:val="22"/>
        </w:rPr>
      </w:pPr>
      <w:r>
        <w:rPr>
          <w:rFonts w:hint="eastAsia"/>
          <w:b/>
          <w:sz w:val="22"/>
        </w:rPr>
        <w:t>附件三：质保期内投标人承担</w:t>
      </w:r>
      <w:r>
        <w:rPr>
          <w:rFonts w:ascii="宋体" w:hAnsi="宋体"/>
          <w:b/>
          <w:sz w:val="22"/>
        </w:rPr>
        <w:t>投标车辆正常维护保养</w:t>
      </w:r>
      <w:r>
        <w:rPr>
          <w:rFonts w:hint="eastAsia" w:ascii="宋体" w:hAnsi="宋体"/>
          <w:b/>
          <w:sz w:val="22"/>
        </w:rPr>
        <w:t>承诺书</w:t>
      </w:r>
    </w:p>
    <w:p>
      <w:pPr>
        <w:adjustRightInd w:val="0"/>
        <w:snapToGrid w:val="0"/>
        <w:spacing w:line="360" w:lineRule="exact"/>
        <w:ind w:firstLine="422" w:firstLineChars="200"/>
        <w:rPr>
          <w:b/>
        </w:rPr>
      </w:pPr>
    </w:p>
    <w:p>
      <w:pPr>
        <w:adjustRightInd w:val="0"/>
        <w:snapToGrid w:val="0"/>
        <w:spacing w:line="360" w:lineRule="exact"/>
        <w:ind w:firstLine="420" w:firstLineChars="200"/>
      </w:pPr>
      <w:r>
        <w:t>致</w:t>
      </w:r>
      <w:r>
        <w:rPr>
          <w:rFonts w:hint="eastAsia"/>
        </w:rPr>
        <w:t>：</w:t>
      </w:r>
      <w:r>
        <w:t>杭州萧山国际机场有限公司</w:t>
      </w:r>
    </w:p>
    <w:p>
      <w:pPr>
        <w:adjustRightInd w:val="0"/>
        <w:snapToGrid w:val="0"/>
        <w:spacing w:line="360" w:lineRule="exact"/>
        <w:ind w:firstLine="420" w:firstLineChars="200"/>
      </w:pPr>
      <w:r>
        <w:rPr>
          <w:rFonts w:hint="eastAsia"/>
        </w:rPr>
        <w:t xml:space="preserve">    根据杭州萧山国际机场主力泡沫消防车采购项目招标文件5.3.5 条款的要求，我方承诺：如果我方中标此项目，我方负责按车辆维修保养手册的规范要求 ，完成整车质保期24个月内车辆的正常维护保养工作，所有人工和材料费用已包含在投标总价内。具体项目实施计划如下：</w:t>
      </w:r>
    </w:p>
    <w:p>
      <w:pPr>
        <w:pStyle w:val="155"/>
        <w:numPr>
          <w:ilvl w:val="0"/>
          <w:numId w:val="6"/>
        </w:numPr>
        <w:adjustRightInd w:val="0"/>
        <w:snapToGrid w:val="0"/>
        <w:spacing w:line="360" w:lineRule="exact"/>
        <w:ind w:firstLineChars="0"/>
        <w:rPr>
          <w:rFonts w:ascii="宋体" w:hAnsi="宋体"/>
          <w:color w:val="000000"/>
          <w:sz w:val="22"/>
        </w:rPr>
      </w:pPr>
      <w:r>
        <w:rPr>
          <w:rFonts w:hint="eastAsia"/>
        </w:rPr>
        <w:t>维护保养的项目和时间安排</w:t>
      </w:r>
      <w:r>
        <w:rPr>
          <w:rFonts w:hint="eastAsia" w:ascii="宋体" w:hAnsi="宋体"/>
          <w:color w:val="000000"/>
          <w:sz w:val="22"/>
        </w:rPr>
        <w:t>：......</w:t>
      </w:r>
    </w:p>
    <w:p>
      <w:pPr>
        <w:spacing w:line="400" w:lineRule="exact"/>
        <w:ind w:firstLine="440" w:firstLineChars="200"/>
        <w:rPr>
          <w:rFonts w:ascii="宋体" w:hAnsi="宋体"/>
          <w:sz w:val="22"/>
        </w:rPr>
      </w:pPr>
      <w:r>
        <w:rPr>
          <w:rFonts w:hint="eastAsia" w:ascii="宋体" w:hAnsi="宋体"/>
          <w:color w:val="000000"/>
          <w:sz w:val="22"/>
        </w:rPr>
        <w:t>二、</w:t>
      </w:r>
      <w:r>
        <w:rPr>
          <w:rFonts w:ascii="宋体" w:hAnsi="宋体"/>
          <w:color w:val="000000"/>
          <w:sz w:val="22"/>
        </w:rPr>
        <w:t>维护</w:t>
      </w:r>
      <w:r>
        <w:rPr>
          <w:rFonts w:hint="eastAsia" w:ascii="宋体" w:hAnsi="宋体"/>
          <w:color w:val="000000"/>
          <w:sz w:val="22"/>
        </w:rPr>
        <w:t>保养所需</w:t>
      </w:r>
      <w:r>
        <w:rPr>
          <w:rFonts w:ascii="宋体" w:hAnsi="宋体"/>
          <w:color w:val="000000"/>
          <w:sz w:val="22"/>
        </w:rPr>
        <w:t>物料的名称、型号</w:t>
      </w:r>
      <w:r>
        <w:rPr>
          <w:rFonts w:hint="eastAsia" w:ascii="宋体" w:hAnsi="宋体"/>
          <w:color w:val="000000"/>
          <w:sz w:val="22"/>
        </w:rPr>
        <w:t>、数量</w:t>
      </w:r>
      <w:r>
        <w:rPr>
          <w:rFonts w:ascii="宋体" w:hAnsi="宋体"/>
          <w:color w:val="000000"/>
          <w:sz w:val="22"/>
        </w:rPr>
        <w:t>、单价</w:t>
      </w:r>
      <w:r>
        <w:rPr>
          <w:rFonts w:hint="eastAsia" w:ascii="宋体" w:hAnsi="宋体"/>
          <w:color w:val="000000"/>
          <w:sz w:val="22"/>
        </w:rPr>
        <w:t>：......</w:t>
      </w:r>
    </w:p>
    <w:p>
      <w:pPr>
        <w:spacing w:line="400" w:lineRule="exact"/>
        <w:ind w:firstLine="440" w:firstLineChars="200"/>
        <w:rPr>
          <w:rFonts w:ascii="宋体" w:hAnsi="宋体"/>
          <w:color w:val="000000"/>
          <w:sz w:val="22"/>
        </w:rPr>
      </w:pPr>
      <w:r>
        <w:rPr>
          <w:rFonts w:ascii="宋体" w:hAnsi="宋体"/>
          <w:sz w:val="22"/>
        </w:rPr>
        <w:t>三</w:t>
      </w:r>
      <w:r>
        <w:rPr>
          <w:rFonts w:hint="eastAsia" w:ascii="宋体" w:hAnsi="宋体"/>
          <w:sz w:val="22"/>
        </w:rPr>
        <w:t>、完成要求保养内容所需的人工和物料费用明细清单：</w:t>
      </w:r>
      <w:r>
        <w:rPr>
          <w:rFonts w:hint="eastAsia" w:ascii="宋体" w:hAnsi="宋体"/>
          <w:color w:val="000000"/>
          <w:sz w:val="22"/>
        </w:rPr>
        <w:t xml:space="preserve"> ......</w:t>
      </w:r>
    </w:p>
    <w:p>
      <w:pPr>
        <w:spacing w:line="400" w:lineRule="exact"/>
        <w:ind w:firstLine="440" w:firstLineChars="200"/>
        <w:rPr>
          <w:rFonts w:ascii="宋体" w:hAnsi="宋体"/>
          <w:sz w:val="22"/>
        </w:rPr>
      </w:pPr>
      <w:r>
        <w:rPr>
          <w:rFonts w:hint="eastAsia" w:ascii="宋体" w:hAnsi="宋体"/>
          <w:sz w:val="22"/>
        </w:rPr>
        <w:t>四、投标人</w:t>
      </w:r>
      <w:r>
        <w:rPr>
          <w:rFonts w:ascii="宋体" w:hAnsi="宋体"/>
          <w:sz w:val="22"/>
        </w:rPr>
        <w:t>不承担内容</w:t>
      </w:r>
      <w:r>
        <w:rPr>
          <w:rFonts w:hint="eastAsia" w:ascii="宋体" w:hAnsi="宋体"/>
          <w:sz w:val="22"/>
        </w:rPr>
        <w:t>：......</w:t>
      </w:r>
    </w:p>
    <w:p>
      <w:pPr>
        <w:spacing w:line="400" w:lineRule="exact"/>
        <w:ind w:firstLine="440" w:firstLineChars="200"/>
        <w:rPr>
          <w:rFonts w:ascii="宋体" w:hAnsi="宋体"/>
          <w:sz w:val="22"/>
        </w:rPr>
      </w:pPr>
      <w:r>
        <w:rPr>
          <w:rFonts w:hint="eastAsia" w:ascii="宋体" w:hAnsi="宋体"/>
          <w:sz w:val="22"/>
        </w:rPr>
        <w:t>五、</w:t>
      </w:r>
      <w:r>
        <w:rPr>
          <w:rFonts w:ascii="宋体" w:hAnsi="宋体"/>
          <w:sz w:val="22"/>
        </w:rPr>
        <w:t>双方责任</w:t>
      </w:r>
      <w:r>
        <w:rPr>
          <w:rFonts w:hint="eastAsia" w:ascii="宋体" w:hAnsi="宋体"/>
          <w:sz w:val="22"/>
        </w:rPr>
        <w:t>：......</w:t>
      </w:r>
    </w:p>
    <w:p>
      <w:pPr>
        <w:spacing w:line="400" w:lineRule="exact"/>
        <w:ind w:firstLine="440" w:firstLineChars="200"/>
        <w:rPr>
          <w:rFonts w:ascii="宋体" w:hAnsi="宋体"/>
          <w:sz w:val="22"/>
        </w:rPr>
      </w:pPr>
      <w:r>
        <w:rPr>
          <w:rFonts w:hint="eastAsia" w:ascii="宋体" w:hAnsi="宋体"/>
          <w:sz w:val="22"/>
        </w:rPr>
        <w:t>六、</w:t>
      </w:r>
      <w:r>
        <w:rPr>
          <w:rFonts w:ascii="宋体" w:hAnsi="宋体"/>
          <w:sz w:val="22"/>
        </w:rPr>
        <w:t>其它</w:t>
      </w:r>
      <w:r>
        <w:rPr>
          <w:rFonts w:hint="eastAsia" w:ascii="宋体" w:hAnsi="宋体"/>
          <w:sz w:val="22"/>
        </w:rPr>
        <w:t>：......</w:t>
      </w:r>
    </w:p>
    <w:p>
      <w:pPr>
        <w:adjustRightInd w:val="0"/>
        <w:snapToGrid w:val="0"/>
        <w:spacing w:line="360" w:lineRule="exact"/>
        <w:jc w:val="center"/>
        <w:rPr>
          <w:b/>
          <w:sz w:val="30"/>
          <w:szCs w:val="30"/>
        </w:rPr>
      </w:pPr>
      <w:r>
        <w:rPr>
          <w:b/>
        </w:rPr>
        <w:br w:type="page"/>
      </w:r>
      <w:bookmarkStart w:id="85" w:name="_Toc321925454"/>
      <w:r>
        <w:rPr>
          <w:rFonts w:hint="eastAsia"/>
          <w:b/>
          <w:sz w:val="30"/>
          <w:szCs w:val="30"/>
        </w:rPr>
        <w:t xml:space="preserve">第四章  </w:t>
      </w:r>
      <w:r>
        <w:rPr>
          <w:b/>
          <w:sz w:val="30"/>
          <w:szCs w:val="30"/>
        </w:rPr>
        <w:t>合同条款</w:t>
      </w:r>
      <w:bookmarkEnd w:id="85"/>
    </w:p>
    <w:p>
      <w:pPr>
        <w:adjustRightInd w:val="0"/>
        <w:snapToGrid w:val="0"/>
        <w:spacing w:line="360" w:lineRule="exact"/>
        <w:ind w:firstLine="452"/>
        <w:jc w:val="left"/>
        <w:rPr>
          <w:rFonts w:ascii="宋体" w:hAnsi="宋体"/>
          <w:b/>
          <w:sz w:val="22"/>
        </w:rPr>
      </w:pPr>
    </w:p>
    <w:p>
      <w:pPr>
        <w:spacing w:line="560" w:lineRule="exact"/>
        <w:ind w:firstLine="643" w:firstLineChars="200"/>
        <w:jc w:val="center"/>
        <w:rPr>
          <w:rFonts w:ascii="方正小标宋简体" w:hAnsi="仿宋" w:eastAsia="方正小标宋简体"/>
          <w:b/>
          <w:sz w:val="32"/>
          <w:szCs w:val="32"/>
        </w:rPr>
      </w:pPr>
      <w:bookmarkStart w:id="86" w:name="_Toc90452722"/>
      <w:bookmarkStart w:id="87" w:name="_Toc206217401"/>
      <w:r>
        <w:rPr>
          <w:rFonts w:hint="eastAsia" w:ascii="方正小标宋简体" w:hAnsi="仿宋" w:eastAsia="方正小标宋简体"/>
          <w:b/>
          <w:sz w:val="32"/>
          <w:szCs w:val="32"/>
        </w:rPr>
        <w:t>杭州萧山国际机场主力泡沫消防车采购合同</w:t>
      </w:r>
    </w:p>
    <w:p>
      <w:pPr>
        <w:spacing w:line="560" w:lineRule="exact"/>
        <w:ind w:firstLine="883" w:firstLineChars="200"/>
        <w:jc w:val="center"/>
        <w:rPr>
          <w:rFonts w:ascii="方正小标宋简体" w:hAnsi="仿宋" w:eastAsia="方正小标宋简体"/>
          <w:b/>
          <w:sz w:val="44"/>
          <w:szCs w:val="44"/>
        </w:rPr>
      </w:pPr>
    </w:p>
    <w:p>
      <w:pPr>
        <w:spacing w:line="560" w:lineRule="exact"/>
        <w:ind w:firstLine="883" w:firstLineChars="200"/>
        <w:jc w:val="center"/>
        <w:rPr>
          <w:rFonts w:ascii="方正小标宋简体" w:hAnsi="仿宋" w:eastAsia="方正小标宋简体"/>
          <w:b/>
          <w:sz w:val="44"/>
          <w:szCs w:val="44"/>
        </w:rPr>
      </w:pPr>
    </w:p>
    <w:p>
      <w:pPr>
        <w:adjustRightInd w:val="0"/>
        <w:snapToGrid w:val="0"/>
        <w:spacing w:line="560" w:lineRule="exact"/>
        <w:ind w:firstLine="452"/>
        <w:rPr>
          <w:rFonts w:ascii="宋体" w:hAnsi="宋体"/>
          <w:color w:val="000000"/>
          <w:sz w:val="22"/>
        </w:rPr>
      </w:pPr>
      <w:r>
        <w:rPr>
          <w:rFonts w:hint="eastAsia" w:ascii="宋体" w:hAnsi="宋体"/>
          <w:color w:val="000000"/>
          <w:sz w:val="22"/>
        </w:rPr>
        <w:t>甲方：杭州萧山国际机场有限公司</w:t>
      </w:r>
    </w:p>
    <w:p>
      <w:pPr>
        <w:adjustRightInd w:val="0"/>
        <w:snapToGrid w:val="0"/>
        <w:spacing w:line="560" w:lineRule="exact"/>
        <w:ind w:firstLine="452"/>
        <w:rPr>
          <w:rFonts w:ascii="宋体" w:hAnsi="宋体"/>
          <w:color w:val="000000"/>
          <w:sz w:val="22"/>
        </w:rPr>
      </w:pPr>
      <w:r>
        <w:rPr>
          <w:rFonts w:hint="eastAsia" w:ascii="宋体" w:hAnsi="宋体"/>
          <w:color w:val="000000"/>
          <w:sz w:val="22"/>
        </w:rPr>
        <w:t>住所地：杭州萧山国际机场内</w:t>
      </w:r>
    </w:p>
    <w:p>
      <w:pPr>
        <w:adjustRightInd w:val="0"/>
        <w:snapToGrid w:val="0"/>
        <w:spacing w:line="560" w:lineRule="exact"/>
        <w:rPr>
          <w:rFonts w:ascii="宋体" w:hAnsi="宋体"/>
          <w:color w:val="000000"/>
          <w:sz w:val="22"/>
        </w:rPr>
      </w:pPr>
    </w:p>
    <w:p>
      <w:pPr>
        <w:adjustRightInd w:val="0"/>
        <w:snapToGrid w:val="0"/>
        <w:spacing w:line="560" w:lineRule="exact"/>
        <w:ind w:firstLine="452"/>
        <w:rPr>
          <w:rFonts w:ascii="宋体" w:hAnsi="宋体"/>
          <w:color w:val="000000"/>
          <w:sz w:val="22"/>
        </w:rPr>
      </w:pPr>
      <w:r>
        <w:rPr>
          <w:rFonts w:hint="eastAsia" w:ascii="宋体" w:hAnsi="宋体"/>
          <w:color w:val="000000"/>
          <w:sz w:val="22"/>
        </w:rPr>
        <w:t>乙方:</w:t>
      </w:r>
    </w:p>
    <w:p>
      <w:pPr>
        <w:adjustRightInd w:val="0"/>
        <w:snapToGrid w:val="0"/>
        <w:spacing w:line="560" w:lineRule="exact"/>
        <w:ind w:firstLine="452"/>
        <w:rPr>
          <w:rFonts w:ascii="宋体" w:hAnsi="宋体"/>
          <w:color w:val="000000"/>
          <w:sz w:val="22"/>
        </w:rPr>
      </w:pPr>
      <w:r>
        <w:rPr>
          <w:rFonts w:hint="eastAsia" w:ascii="宋体" w:hAnsi="宋体"/>
          <w:color w:val="000000"/>
          <w:sz w:val="22"/>
        </w:rPr>
        <w:t>住所地:</w:t>
      </w:r>
    </w:p>
    <w:p>
      <w:pPr>
        <w:adjustRightInd w:val="0"/>
        <w:snapToGrid w:val="0"/>
        <w:spacing w:line="560" w:lineRule="exact"/>
        <w:ind w:firstLine="450"/>
        <w:rPr>
          <w:rFonts w:ascii="宋体" w:hAnsi="宋体"/>
          <w:color w:val="000000"/>
          <w:sz w:val="22"/>
        </w:rPr>
      </w:pP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甲、乙双方根据《中华人民共和国合同法》等相关法律法规，就相关产品采购事宜，在互利、平等的原则基础上，经协商一致，特签订本合同，以共同遵守。</w:t>
      </w:r>
    </w:p>
    <w:p>
      <w:pPr>
        <w:spacing w:line="560" w:lineRule="exact"/>
        <w:ind w:firstLine="593"/>
        <w:rPr>
          <w:rFonts w:ascii="宋体" w:hAnsi="宋体"/>
          <w:color w:val="000000"/>
          <w:sz w:val="22"/>
        </w:rPr>
      </w:pPr>
      <w:r>
        <w:rPr>
          <w:rFonts w:hint="eastAsia" w:ascii="宋体" w:hAnsi="宋体"/>
          <w:color w:val="000000"/>
          <w:sz w:val="22"/>
        </w:rPr>
        <w:t>一、产品规格型号及参数</w:t>
      </w:r>
    </w:p>
    <w:tbl>
      <w:tblPr>
        <w:tblStyle w:val="58"/>
        <w:tblW w:w="101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559"/>
        <w:gridCol w:w="1820"/>
        <w:gridCol w:w="2150"/>
        <w:gridCol w:w="1180"/>
        <w:gridCol w:w="1134"/>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871" w:type="dxa"/>
            <w:vAlign w:val="center"/>
          </w:tcPr>
          <w:p>
            <w:pPr>
              <w:pStyle w:val="146"/>
              <w:spacing w:line="560" w:lineRule="exact"/>
              <w:jc w:val="center"/>
              <w:rPr>
                <w:rFonts w:ascii="宋体" w:hAnsi="宋体"/>
                <w:color w:val="000000"/>
                <w:sz w:val="22"/>
              </w:rPr>
            </w:pPr>
            <w:r>
              <w:rPr>
                <w:rFonts w:hint="eastAsia" w:ascii="宋体" w:hAnsi="宋体"/>
                <w:color w:val="000000"/>
                <w:sz w:val="22"/>
              </w:rPr>
              <w:t>序号</w:t>
            </w:r>
          </w:p>
        </w:tc>
        <w:tc>
          <w:tcPr>
            <w:tcW w:w="1559" w:type="dxa"/>
            <w:vAlign w:val="center"/>
          </w:tcPr>
          <w:p>
            <w:pPr>
              <w:pStyle w:val="146"/>
              <w:spacing w:line="560" w:lineRule="exact"/>
              <w:jc w:val="center"/>
              <w:rPr>
                <w:rFonts w:ascii="宋体" w:hAnsi="宋体"/>
                <w:color w:val="000000"/>
                <w:sz w:val="22"/>
              </w:rPr>
            </w:pPr>
            <w:r>
              <w:rPr>
                <w:rFonts w:hint="eastAsia" w:ascii="宋体" w:hAnsi="宋体"/>
                <w:color w:val="000000"/>
                <w:sz w:val="22"/>
              </w:rPr>
              <w:t>产品名称</w:t>
            </w:r>
          </w:p>
        </w:tc>
        <w:tc>
          <w:tcPr>
            <w:tcW w:w="1820" w:type="dxa"/>
            <w:vAlign w:val="center"/>
          </w:tcPr>
          <w:p>
            <w:pPr>
              <w:pStyle w:val="146"/>
              <w:spacing w:line="560" w:lineRule="exact"/>
              <w:jc w:val="center"/>
              <w:rPr>
                <w:rFonts w:ascii="宋体" w:hAnsi="宋体"/>
                <w:color w:val="000000"/>
                <w:sz w:val="22"/>
              </w:rPr>
            </w:pPr>
            <w:r>
              <w:rPr>
                <w:rFonts w:hint="eastAsia" w:ascii="宋体" w:hAnsi="宋体"/>
                <w:color w:val="000000"/>
                <w:sz w:val="22"/>
              </w:rPr>
              <w:t>品牌型号</w:t>
            </w:r>
          </w:p>
        </w:tc>
        <w:tc>
          <w:tcPr>
            <w:tcW w:w="2150" w:type="dxa"/>
            <w:vAlign w:val="center"/>
          </w:tcPr>
          <w:p>
            <w:pPr>
              <w:pStyle w:val="146"/>
              <w:spacing w:line="560" w:lineRule="exact"/>
              <w:jc w:val="center"/>
              <w:rPr>
                <w:rFonts w:ascii="宋体" w:hAnsi="宋体"/>
                <w:color w:val="000000"/>
                <w:sz w:val="22"/>
              </w:rPr>
            </w:pPr>
            <w:r>
              <w:rPr>
                <w:rFonts w:hint="eastAsia" w:ascii="宋体" w:hAnsi="宋体"/>
                <w:color w:val="000000"/>
                <w:sz w:val="22"/>
              </w:rPr>
              <w:t>单位</w:t>
            </w:r>
          </w:p>
        </w:tc>
        <w:tc>
          <w:tcPr>
            <w:tcW w:w="1180" w:type="dxa"/>
            <w:vAlign w:val="center"/>
          </w:tcPr>
          <w:p>
            <w:pPr>
              <w:pStyle w:val="146"/>
              <w:spacing w:line="560" w:lineRule="exact"/>
              <w:jc w:val="center"/>
              <w:rPr>
                <w:rFonts w:ascii="宋体" w:hAnsi="宋体"/>
                <w:color w:val="000000"/>
                <w:sz w:val="22"/>
              </w:rPr>
            </w:pPr>
            <w:r>
              <w:rPr>
                <w:rFonts w:hint="eastAsia" w:ascii="宋体" w:hAnsi="宋体"/>
                <w:color w:val="000000"/>
                <w:sz w:val="22"/>
              </w:rPr>
              <w:t>数量</w:t>
            </w:r>
          </w:p>
        </w:tc>
        <w:tc>
          <w:tcPr>
            <w:tcW w:w="1134" w:type="dxa"/>
            <w:vAlign w:val="center"/>
          </w:tcPr>
          <w:p>
            <w:pPr>
              <w:pStyle w:val="146"/>
              <w:spacing w:line="560" w:lineRule="exact"/>
              <w:jc w:val="center"/>
              <w:rPr>
                <w:rFonts w:ascii="宋体" w:hAnsi="宋体"/>
                <w:color w:val="000000"/>
                <w:sz w:val="22"/>
              </w:rPr>
            </w:pPr>
            <w:r>
              <w:rPr>
                <w:rFonts w:hint="eastAsia" w:ascii="宋体" w:hAnsi="宋体"/>
                <w:color w:val="000000"/>
                <w:sz w:val="22"/>
              </w:rPr>
              <w:t>单价</w:t>
            </w:r>
          </w:p>
        </w:tc>
        <w:tc>
          <w:tcPr>
            <w:tcW w:w="1476" w:type="dxa"/>
            <w:vAlign w:val="center"/>
          </w:tcPr>
          <w:p>
            <w:pPr>
              <w:pStyle w:val="146"/>
              <w:spacing w:line="560" w:lineRule="exact"/>
              <w:jc w:val="center"/>
              <w:rPr>
                <w:rFonts w:ascii="宋体" w:hAnsi="宋体"/>
                <w:color w:val="000000"/>
                <w:sz w:val="22"/>
              </w:rPr>
            </w:pPr>
            <w:r>
              <w:rPr>
                <w:rFonts w:hint="eastAsia" w:ascii="宋体" w:hAnsi="宋体"/>
                <w:color w:val="000000"/>
                <w:sz w:val="22"/>
              </w:rPr>
              <w:t>总额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871" w:type="dxa"/>
            <w:vAlign w:val="center"/>
          </w:tcPr>
          <w:p>
            <w:pPr>
              <w:pStyle w:val="146"/>
              <w:spacing w:line="560" w:lineRule="exact"/>
              <w:jc w:val="center"/>
              <w:rPr>
                <w:rFonts w:ascii="宋体" w:hAnsi="宋体"/>
                <w:color w:val="000000"/>
                <w:sz w:val="22"/>
              </w:rPr>
            </w:pPr>
          </w:p>
        </w:tc>
        <w:tc>
          <w:tcPr>
            <w:tcW w:w="1559" w:type="dxa"/>
            <w:vAlign w:val="center"/>
          </w:tcPr>
          <w:p>
            <w:pPr>
              <w:pStyle w:val="146"/>
              <w:spacing w:line="560" w:lineRule="exact"/>
              <w:jc w:val="center"/>
              <w:rPr>
                <w:rFonts w:ascii="宋体" w:hAnsi="宋体"/>
                <w:color w:val="000000"/>
                <w:sz w:val="22"/>
              </w:rPr>
            </w:pPr>
          </w:p>
        </w:tc>
        <w:tc>
          <w:tcPr>
            <w:tcW w:w="1820" w:type="dxa"/>
            <w:vAlign w:val="center"/>
          </w:tcPr>
          <w:p>
            <w:pPr>
              <w:pStyle w:val="146"/>
              <w:spacing w:line="560" w:lineRule="exact"/>
              <w:jc w:val="center"/>
              <w:rPr>
                <w:rFonts w:ascii="宋体" w:hAnsi="宋体"/>
                <w:color w:val="000000"/>
                <w:sz w:val="22"/>
              </w:rPr>
            </w:pPr>
          </w:p>
        </w:tc>
        <w:tc>
          <w:tcPr>
            <w:tcW w:w="2150" w:type="dxa"/>
            <w:vAlign w:val="center"/>
          </w:tcPr>
          <w:p>
            <w:pPr>
              <w:pStyle w:val="146"/>
              <w:spacing w:line="560" w:lineRule="exact"/>
              <w:jc w:val="center"/>
              <w:rPr>
                <w:rFonts w:ascii="宋体" w:hAnsi="宋体"/>
                <w:color w:val="000000"/>
                <w:sz w:val="22"/>
              </w:rPr>
            </w:pPr>
          </w:p>
        </w:tc>
        <w:tc>
          <w:tcPr>
            <w:tcW w:w="1180" w:type="dxa"/>
            <w:vAlign w:val="center"/>
          </w:tcPr>
          <w:p>
            <w:pPr>
              <w:pStyle w:val="146"/>
              <w:spacing w:line="560" w:lineRule="exact"/>
              <w:ind w:firstLine="110" w:firstLineChars="50"/>
              <w:jc w:val="center"/>
              <w:rPr>
                <w:rFonts w:ascii="宋体" w:hAnsi="宋体"/>
                <w:color w:val="000000"/>
                <w:sz w:val="22"/>
              </w:rPr>
            </w:pPr>
          </w:p>
        </w:tc>
        <w:tc>
          <w:tcPr>
            <w:tcW w:w="1134" w:type="dxa"/>
            <w:vAlign w:val="center"/>
          </w:tcPr>
          <w:p>
            <w:pPr>
              <w:pStyle w:val="146"/>
              <w:spacing w:line="560" w:lineRule="exact"/>
              <w:jc w:val="center"/>
              <w:rPr>
                <w:rFonts w:ascii="宋体" w:hAnsi="宋体"/>
                <w:color w:val="000000"/>
                <w:sz w:val="22"/>
              </w:rPr>
            </w:pPr>
          </w:p>
        </w:tc>
        <w:tc>
          <w:tcPr>
            <w:tcW w:w="1476" w:type="dxa"/>
            <w:vAlign w:val="center"/>
          </w:tcPr>
          <w:p>
            <w:pPr>
              <w:pStyle w:val="146"/>
              <w:spacing w:line="560" w:lineRule="exact"/>
              <w:ind w:firstLine="110" w:firstLineChars="50"/>
              <w:rPr>
                <w:rFonts w:ascii="宋体" w:hAnsi="宋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vAlign w:val="center"/>
          </w:tcPr>
          <w:p>
            <w:pPr>
              <w:pStyle w:val="146"/>
              <w:spacing w:line="560" w:lineRule="exact"/>
              <w:jc w:val="center"/>
              <w:rPr>
                <w:rFonts w:ascii="宋体" w:hAnsi="宋体"/>
                <w:color w:val="000000"/>
                <w:sz w:val="22"/>
              </w:rPr>
            </w:pPr>
            <w:r>
              <w:rPr>
                <w:rFonts w:hint="eastAsia" w:ascii="宋体" w:hAnsi="宋体"/>
                <w:color w:val="000000"/>
                <w:sz w:val="22"/>
              </w:rPr>
              <w:t>合计</w:t>
            </w:r>
          </w:p>
        </w:tc>
        <w:tc>
          <w:tcPr>
            <w:tcW w:w="9319" w:type="dxa"/>
            <w:gridSpan w:val="6"/>
          </w:tcPr>
          <w:p>
            <w:pPr>
              <w:pStyle w:val="146"/>
              <w:spacing w:line="560" w:lineRule="exact"/>
              <w:jc w:val="right"/>
              <w:rPr>
                <w:rFonts w:ascii="宋体" w:hAnsi="宋体"/>
                <w:color w:val="000000"/>
                <w:sz w:val="22"/>
              </w:rPr>
            </w:pPr>
          </w:p>
        </w:tc>
      </w:tr>
    </w:tbl>
    <w:p>
      <w:pPr>
        <w:adjustRightInd w:val="0"/>
        <w:snapToGrid w:val="0"/>
        <w:spacing w:line="560" w:lineRule="exact"/>
        <w:ind w:firstLine="602"/>
        <w:rPr>
          <w:rFonts w:ascii="宋体" w:hAnsi="宋体"/>
          <w:color w:val="000000"/>
          <w:sz w:val="22"/>
        </w:rPr>
      </w:pPr>
      <w:r>
        <w:rPr>
          <w:rFonts w:hint="eastAsia" w:ascii="宋体" w:hAnsi="宋体"/>
          <w:color w:val="000000"/>
          <w:sz w:val="22"/>
        </w:rPr>
        <w:t>二、合同金额</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本合同金额为（大写）：</w:t>
      </w:r>
      <w:r>
        <w:rPr>
          <w:rFonts w:ascii="宋体" w:hAnsi="宋体"/>
          <w:color w:val="000000"/>
          <w:sz w:val="22"/>
        </w:rPr>
        <w:t xml:space="preserve">              元（￥          元）人民币。本合同价为杭州萧山国际机场内交货价，含产品价格、运输费、包装费、保险费、税费等所有费用。甲方不再承担其他任何费用。 </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在合同有效期限内，若因国家税收政策调整而引起的增值税税率变化的，应按照国家税收政策调整，合同总价变更为原合同不含增值税服务与新增值税税率计算税额的合计金额。</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三、技术资料</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1.乙方应在交付合同产品时同时向甲方提供使用产品的有关技术资料。</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宋体" w:hAnsi="宋体"/>
          <w:color w:val="000000"/>
          <w:sz w:val="22"/>
        </w:rPr>
      </w:pPr>
      <w:r>
        <w:rPr>
          <w:rFonts w:hint="eastAsia" w:ascii="宋体" w:hAnsi="宋体"/>
          <w:color w:val="000000"/>
          <w:sz w:val="22"/>
        </w:rPr>
        <w:t>四、知识产权</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乙方应保证所提供的产品或其任何一部分均不会侵犯任何第三方的知识产权等合法权益。如因乙方违反本条保证并导致甲方遭受损失的，甲方有权解除本合同，乙方须向甲方承担赔偿责任。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宋体" w:hAnsi="宋体"/>
          <w:color w:val="000000"/>
          <w:sz w:val="22"/>
        </w:rPr>
      </w:pPr>
      <w:r>
        <w:rPr>
          <w:rFonts w:hint="eastAsia" w:ascii="宋体" w:hAnsi="宋体"/>
          <w:color w:val="000000"/>
          <w:sz w:val="22"/>
        </w:rPr>
        <w:t>五、产权担保</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乙方保证所交付的产品的所有权完全属于乙方且无任何抵押、查封等产权障碍或瑕疵。如因乙方提供产品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六、转包或分包</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本合同项下甲方采购的产品及其安装、调试等服务，必须由乙方直接供应；除非得到甲方的书面同意，乙方不得将本合同项下的产品或服务的全部或部分分包给第三方供应，不得将本合同项下权利义务转让给第三方。</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2.如有未经甲方书面同意的转让和分包行为，甲方有权解除合同，并有权要求乙方承担合同总金额10%的违约金。</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七、产品包装、发运及运输</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乙方应在产品发运前对其按满足运输距离、防潮、防震、防锈和防破损装卸等要求进行包装，以保证产品安全运达甲方指定地点。</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使用说明书、质量检验证明书、技术资料、随配附件和工具以及清单一并附于产品内同时向甲方交付。如资料和工具、附件不全的，视为乙方未完全履行交付义务。</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 乙方在产品发运手续办理完毕后24小时内必须书面通知甲方，以便甲方准备接货。</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 产品在本合同规定的交货地点交付甲方前发生的一切风险包括产品运输风险均由乙方负责。</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5. 产品在规定的交付期限内由乙方送达甲方指定的交货地点并经甲方签收后视为交付，乙方同时必须在产品到达的当天立即通知甲方产品已送达。</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八、交货期、交货方式及交货地点</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交货期：</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交货方式：</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 交货地点：杭州萧山国际机场内</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九、安装、调试、试运行与验收</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甲方对乙方交付的货物依据甲方要求和国家有关质量标准进行现场初步验收，产品外观、数量、品种、规格和说明书等资料符合甲方要求的，视为初步验收合格，给予签收，初步验收不合格的不予签收并在到货之日起七日内以书面或电话形式向乙方提出异议。乙方在甲方初步验收完毕后，负责在七日内完成现场安装、调试，并进行十天试运行，确保设备正常运行。安装、调试和试运行完毕后，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七日内以书面方式向乙方提出相关异议。</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2.乙方交货前应对产品作出全面检查和对验收文件进行整理，并列出清单，作为甲方收货验收和使用的技术条件依据，乙方检验的结果应随货物交甲方。</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乙方应当在收到甲方前述第1款异议之日起七日内按甲方要求进行无偿换货、补发短缺部分或降低货价，以及继续进行调试以符合甲方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w:t>
      </w:r>
      <w:r>
        <w:rPr>
          <w:rFonts w:ascii="宋体" w:hAnsi="宋体"/>
          <w:color w:val="000000"/>
          <w:sz w:val="22"/>
        </w:rPr>
        <w:t xml:space="preserve"> 验收合格条件</w:t>
      </w:r>
      <w:r>
        <w:rPr>
          <w:rFonts w:hint="eastAsia" w:ascii="宋体" w:hAnsi="宋体"/>
          <w:color w:val="000000"/>
          <w:sz w:val="22"/>
        </w:rPr>
        <w:t>：</w:t>
      </w:r>
    </w:p>
    <w:p>
      <w:pPr>
        <w:pStyle w:val="154"/>
        <w:adjustRightInd w:val="0"/>
        <w:snapToGrid w:val="0"/>
        <w:spacing w:line="560" w:lineRule="exact"/>
        <w:ind w:firstLine="440" w:firstLineChars="200"/>
        <w:rPr>
          <w:rFonts w:ascii="宋体" w:hAnsi="宋体"/>
          <w:color w:val="000000"/>
          <w:sz w:val="22"/>
        </w:rPr>
      </w:pPr>
      <w:r>
        <w:rPr>
          <w:rFonts w:ascii="宋体" w:hAnsi="宋体"/>
          <w:color w:val="000000"/>
          <w:sz w:val="22"/>
        </w:rPr>
        <w:t>4.1 试运行时，各项性能指标</w:t>
      </w:r>
      <w:r>
        <w:rPr>
          <w:rFonts w:hint="eastAsia" w:ascii="宋体" w:hAnsi="宋体"/>
          <w:color w:val="000000"/>
          <w:sz w:val="22"/>
        </w:rPr>
        <w:t>符合投标文件中被甲方接受的各项条款</w:t>
      </w:r>
      <w:r>
        <w:rPr>
          <w:rFonts w:ascii="宋体" w:hAnsi="宋体"/>
          <w:color w:val="000000"/>
          <w:sz w:val="22"/>
        </w:rPr>
        <w:t>。</w:t>
      </w:r>
    </w:p>
    <w:p>
      <w:pPr>
        <w:pStyle w:val="154"/>
        <w:adjustRightInd w:val="0"/>
        <w:snapToGrid w:val="0"/>
        <w:spacing w:line="560" w:lineRule="exact"/>
        <w:ind w:firstLine="440" w:firstLineChars="200"/>
        <w:rPr>
          <w:rFonts w:ascii="宋体" w:hAnsi="宋体"/>
          <w:color w:val="000000"/>
          <w:sz w:val="22"/>
        </w:rPr>
      </w:pPr>
      <w:r>
        <w:rPr>
          <w:rFonts w:ascii="宋体" w:hAnsi="宋体"/>
          <w:color w:val="000000"/>
          <w:sz w:val="22"/>
        </w:rPr>
        <w:t>4.2 调试和试运行时出现的问题已被解决至</w:t>
      </w:r>
      <w:r>
        <w:rPr>
          <w:rFonts w:hint="eastAsia" w:ascii="宋体" w:hAnsi="宋体"/>
          <w:color w:val="000000"/>
          <w:sz w:val="22"/>
        </w:rPr>
        <w:t>甲方</w:t>
      </w:r>
      <w:r>
        <w:rPr>
          <w:rFonts w:ascii="宋体" w:hAnsi="宋体"/>
          <w:color w:val="000000"/>
          <w:sz w:val="22"/>
        </w:rPr>
        <w:t>认可。</w:t>
      </w:r>
    </w:p>
    <w:p>
      <w:pPr>
        <w:pStyle w:val="154"/>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4.3 已完成招标文件规定的全部培训内容。</w:t>
      </w:r>
    </w:p>
    <w:p>
      <w:pPr>
        <w:pStyle w:val="154"/>
        <w:adjustRightInd w:val="0"/>
        <w:snapToGrid w:val="0"/>
        <w:spacing w:line="560" w:lineRule="exact"/>
        <w:ind w:firstLine="440" w:firstLineChars="200"/>
        <w:rPr>
          <w:rFonts w:ascii="宋体" w:hAnsi="宋体"/>
          <w:color w:val="000000"/>
          <w:sz w:val="22"/>
        </w:rPr>
      </w:pPr>
      <w:r>
        <w:rPr>
          <w:rFonts w:ascii="宋体" w:hAnsi="宋体"/>
          <w:color w:val="000000"/>
          <w:sz w:val="22"/>
        </w:rPr>
        <w:t>4.</w:t>
      </w:r>
      <w:r>
        <w:rPr>
          <w:rFonts w:hint="eastAsia" w:ascii="宋体" w:hAnsi="宋体"/>
          <w:color w:val="000000"/>
          <w:sz w:val="22"/>
        </w:rPr>
        <w:t>4</w:t>
      </w:r>
      <w:r>
        <w:rPr>
          <w:rFonts w:ascii="宋体" w:hAnsi="宋体"/>
          <w:color w:val="000000"/>
          <w:sz w:val="22"/>
        </w:rPr>
        <w:t xml:space="preserve"> 已提供了合同范围内的全部货物和资料。</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十、货款支付</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合同签订之日起15个工作日内甲方向乙方支付合同总金额的20%，乙方向甲方提供银行保函。设备安装调试完成后，并经甲方验收合格后十五个工作日内，支付至合同总金额的95%.</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质量保证金为合同总价5</w:t>
      </w:r>
      <w:r>
        <w:rPr>
          <w:rFonts w:ascii="宋体" w:hAnsi="宋体"/>
          <w:color w:val="000000"/>
          <w:sz w:val="22"/>
        </w:rPr>
        <w:t>%，</w:t>
      </w:r>
      <w:r>
        <w:rPr>
          <w:rFonts w:hint="eastAsia" w:ascii="宋体" w:hAnsi="宋体"/>
          <w:color w:val="000000"/>
          <w:sz w:val="22"/>
        </w:rPr>
        <w:t>质量保证金于质量保证期满后十五</w:t>
      </w:r>
      <w:r>
        <w:rPr>
          <w:rFonts w:ascii="宋体" w:hAnsi="宋体"/>
          <w:color w:val="000000"/>
          <w:sz w:val="22"/>
        </w:rPr>
        <w:t>工作日内</w:t>
      </w:r>
      <w:r>
        <w:rPr>
          <w:rFonts w:hint="eastAsia" w:ascii="宋体" w:hAnsi="宋体"/>
          <w:color w:val="000000"/>
          <w:sz w:val="22"/>
        </w:rPr>
        <w:t>一并无息</w:t>
      </w:r>
      <w:r>
        <w:rPr>
          <w:rFonts w:ascii="宋体" w:hAnsi="宋体"/>
          <w:color w:val="000000"/>
          <w:sz w:val="22"/>
        </w:rPr>
        <w:t>支付。</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3.乙方在甲方每次付款前开具正式增值税发票。</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十一、履约保证金</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1．乙方应在收到甲方中标通知书后十日内，向甲方支付合同总价的10%作为履约保证金。如果逾期未缴纳，甲方有权解除本合同，并要求乙方承担由此给甲方造成的损失。</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2．在合同履行期间，如果乙方存在违约情形，甲方有权优先从履约保证金中扣除相应款项，并书面通知乙方。乙方自收到书面通知之日起五日内补足履约保证金。如果乙方不及时补足履约保证金，视为乙方违约，甲方有权解除合同，并要求乙方承担相应的违约责任。待合同约定服务内容全部履行并完毕，乙方不存在任何违约情形并收到甲方书面认可后十日内，甲方无息返还履约保证金。</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十二、免费质保期及服务内容</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乙方保证其所供应的产品符合相关产品质量标准，不存在任何质量瑕疵或因质量瑕疵而导致的安全隐患，且为未经使用的全新产品。</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乙方应为产品提供二十四个月的免费质保期(含工时费和零部件费)，时间自甲方最终签署安装验收合格报告之日起计算。</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 免费质保期内由于非甲方原因发生的故障或损坏，乙方免费提供维修和备件直至产品性能、状态等达到正常标准，可以正常安全使用为止。如无法修复，乙方应负责免费更换或由甲方退还乙方所供产品，乙方退还甲方支付的合同款，同时应承担该产品的直接费用（运输、保险、检验、人民银行公布的同期货款基准利率及银行手续费、担保、抵押、法院执行措施所产生的费用等）以及由此给甲方造成的损失。</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 乙方提供24小时售后服务，在接到报修通知后，维修人员应在24小时内赶到杭州萧山国际机场，并连续进行维修，直到产品恢复正常。</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5． 免费质保期结束的十五天前，乙方负责对产品进行一次全面的检修和维护，并由甲方验收认可。甲方验收认可并不免除乙方对于验收认可后发生的但尚在质保期限内的产品故障或损坏的维修、退换货义务。</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6、若乙方提供的产品属于伪劣产品或者假冒产品或者欺诈甲方，使得甲方遭受损失，乙方应向甲方承担违约责任，同时，甲方可依法寻求其他法律救济。</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十三、违约责任</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甲方无故逾期支付货款的,甲方应按逾期付款总额每日0.05%向乙方支付违约金。</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 xml:space="preserve">2. 乙方逾期交付产品和本合同规定的文件资料的，或者未按甲方时间要求完成安装调试并通过甲方终验收的，乙方应按合同总额每日0.05%向甲方支付违约金，由甲方从货款中扣除。逾期超过约定日期十个工作日的，甲方可解除本合同。乙方因逾期交货或因其他违约行为导致甲方解除合同的，乙方应向甲方支付合同总额5%的违约金，且全额没收乙方的履约保证金，如造成甲方损失超过违约金的，超出部分由乙方继续承担赔偿责任。 </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 乙方所交的产品品种、型号、规格、技术参数、质量不符合合同规定及招标文件规定标准的，甲方有权拒收该产品，或要求乙方更换产品；乙方因更换产品而逾期交货的，按乙方逾期交货处理。乙方拒绝更换产品的，甲方可单方面解除合同，不予支付相应货款，并没收全部履约保证金。</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因乙方提供产品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5. 乙方不在约定期限内派人维修或维修质量验收不合格的，甲方可以委托他人修理，费用由乙方承担，甲方与第三方确认后可直接从质保金中扣除；履约保证金不足以抵扣的，继续向乙方追偿。</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7．对于本合同项下乙方应支付的赔偿款或违约金，甲方有权从应付乙方的货款及履约保证金中直接扣除，不足的部分，继续向乙方追偿。</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十四、不可抗力事件处理</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在合同有效期内，任何一方因不可抗力事件导致不能履行合同，则合同履行期可延长，其延长期与不可抗力影响期相同。</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 不可抗力事件发生后，遭遇不可抗力的一方应立即通知对方，并寄送有关官方权威机构出具的证明。</w:t>
      </w:r>
    </w:p>
    <w:p>
      <w:pPr>
        <w:spacing w:line="560" w:lineRule="exact"/>
        <w:ind w:firstLine="418" w:firstLineChars="190"/>
        <w:rPr>
          <w:rFonts w:ascii="宋体" w:hAnsi="宋体"/>
          <w:color w:val="000000"/>
          <w:sz w:val="22"/>
        </w:rPr>
      </w:pPr>
      <w:r>
        <w:rPr>
          <w:rFonts w:hint="eastAsia" w:ascii="宋体" w:hAnsi="宋体"/>
          <w:color w:val="000000"/>
          <w:sz w:val="22"/>
        </w:rPr>
        <w:t>3. 不可抗力事件延续140天以上，双方应通过友好协商，确定是否继续履行合同；协商无法达成一致的，本合同自动终止，双方互不承担赔偿或违约责任。</w:t>
      </w:r>
    </w:p>
    <w:p>
      <w:pPr>
        <w:adjustRightInd w:val="0"/>
        <w:snapToGrid w:val="0"/>
        <w:spacing w:line="560" w:lineRule="exact"/>
        <w:ind w:firstLine="602"/>
        <w:rPr>
          <w:rFonts w:ascii="宋体" w:hAnsi="宋体"/>
          <w:color w:val="000000"/>
          <w:sz w:val="22"/>
        </w:rPr>
      </w:pPr>
      <w:r>
        <w:rPr>
          <w:rFonts w:hint="eastAsia" w:ascii="宋体" w:hAnsi="宋体"/>
          <w:color w:val="000000"/>
          <w:sz w:val="22"/>
        </w:rPr>
        <w:t>十五、争议解决</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双方在执行合同中所发生的一切争议，应通过协商解决。如协商不成，由甲方所在地的人民法院管辖审理。</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十六、合同组成文件包含下列内容，且解释顺序如下：</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1.本合同协议书</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2.中标通知书</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3.招标文件</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4.投标书及其附件</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5.标准、规范及有关技术文件</w:t>
      </w:r>
    </w:p>
    <w:p>
      <w:pPr>
        <w:adjustRightInd w:val="0"/>
        <w:snapToGrid w:val="0"/>
        <w:spacing w:line="560" w:lineRule="exact"/>
        <w:ind w:firstLine="602"/>
        <w:outlineLvl w:val="0"/>
        <w:rPr>
          <w:rFonts w:ascii="宋体" w:hAnsi="宋体"/>
          <w:color w:val="000000"/>
          <w:sz w:val="22"/>
        </w:rPr>
      </w:pPr>
      <w:r>
        <w:rPr>
          <w:rFonts w:hint="eastAsia" w:ascii="宋体" w:hAnsi="宋体"/>
          <w:color w:val="000000"/>
          <w:sz w:val="22"/>
        </w:rPr>
        <w:t>十七、合同生效及其它</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1. 合同经双方法定代表人或授权代表签字并加盖单位公章或者合同章之日起生效。</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2.本合同未尽事宜，双方可签订补充协议予以执行；未达成补充协议的，遵照《合同法》及有关法律法规执行。</w:t>
      </w:r>
    </w:p>
    <w:p>
      <w:pPr>
        <w:tabs>
          <w:tab w:val="right" w:pos="8306"/>
        </w:tabs>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3.本合同一式陆份，甲执四份，乙方持二份，具有同等法律效力。</w:t>
      </w:r>
    </w:p>
    <w:p>
      <w:pPr>
        <w:tabs>
          <w:tab w:val="right" w:pos="8306"/>
        </w:tabs>
        <w:adjustRightInd w:val="0"/>
        <w:snapToGrid w:val="0"/>
        <w:spacing w:line="560" w:lineRule="exact"/>
        <w:ind w:firstLine="440" w:firstLineChars="200"/>
        <w:rPr>
          <w:rFonts w:ascii="宋体" w:hAnsi="宋体"/>
          <w:color w:val="000000"/>
          <w:sz w:val="22"/>
        </w:rPr>
      </w:pPr>
    </w:p>
    <w:p>
      <w:pPr>
        <w:tabs>
          <w:tab w:val="right" w:pos="8306"/>
        </w:tabs>
        <w:adjustRightInd w:val="0"/>
        <w:snapToGrid w:val="0"/>
        <w:spacing w:line="560" w:lineRule="exact"/>
        <w:ind w:firstLine="440" w:firstLineChars="200"/>
        <w:rPr>
          <w:rFonts w:ascii="宋体" w:hAnsi="宋体"/>
          <w:color w:val="000000"/>
          <w:sz w:val="22"/>
        </w:rPr>
      </w:pPr>
    </w:p>
    <w:p>
      <w:pPr>
        <w:tabs>
          <w:tab w:val="right" w:pos="8306"/>
        </w:tabs>
        <w:adjustRightInd w:val="0"/>
        <w:snapToGrid w:val="0"/>
        <w:spacing w:line="560" w:lineRule="exact"/>
        <w:ind w:firstLine="440" w:firstLineChars="200"/>
        <w:rPr>
          <w:rFonts w:ascii="宋体" w:hAnsi="宋体"/>
          <w:color w:val="000000"/>
          <w:sz w:val="22"/>
        </w:rPr>
      </w:pPr>
    </w:p>
    <w:p>
      <w:pPr>
        <w:tabs>
          <w:tab w:val="right" w:pos="8306"/>
        </w:tabs>
        <w:adjustRightInd w:val="0"/>
        <w:snapToGrid w:val="0"/>
        <w:spacing w:line="560" w:lineRule="exact"/>
        <w:ind w:firstLine="440" w:firstLineChars="200"/>
        <w:rPr>
          <w:rFonts w:ascii="宋体" w:hAnsi="宋体"/>
          <w:color w:val="000000"/>
          <w:sz w:val="22"/>
        </w:rPr>
      </w:pPr>
    </w:p>
    <w:p>
      <w:pPr>
        <w:adjustRightInd w:val="0"/>
        <w:snapToGrid w:val="0"/>
        <w:spacing w:line="560" w:lineRule="exact"/>
        <w:ind w:left="3520" w:hanging="3520" w:hangingChars="1600"/>
        <w:rPr>
          <w:rFonts w:ascii="宋体" w:hAnsi="宋体"/>
          <w:color w:val="000000"/>
          <w:sz w:val="22"/>
        </w:rPr>
      </w:pPr>
      <w:r>
        <w:rPr>
          <w:rFonts w:hint="eastAsia" w:ascii="宋体" w:hAnsi="宋体"/>
          <w:color w:val="000000"/>
          <w:sz w:val="22"/>
        </w:rPr>
        <w:t>甲方：杭州萧山国际机场有限公司  乙方：</w:t>
      </w:r>
    </w:p>
    <w:p>
      <w:pPr>
        <w:adjustRightInd w:val="0"/>
        <w:snapToGrid w:val="0"/>
        <w:spacing w:line="560" w:lineRule="exact"/>
        <w:ind w:left="6750" w:hanging="6750"/>
        <w:rPr>
          <w:rFonts w:ascii="宋体" w:hAnsi="宋体"/>
          <w:color w:val="000000"/>
          <w:sz w:val="22"/>
        </w:rPr>
      </w:pPr>
      <w:r>
        <w:rPr>
          <w:rFonts w:hint="eastAsia" w:ascii="宋体" w:hAnsi="宋体"/>
          <w:color w:val="000000"/>
          <w:sz w:val="22"/>
        </w:rPr>
        <w:t>地址：杭州萧山国际机场内        地址：</w:t>
      </w:r>
    </w:p>
    <w:p>
      <w:pPr>
        <w:adjustRightInd w:val="0"/>
        <w:snapToGrid w:val="0"/>
        <w:spacing w:line="560" w:lineRule="exact"/>
        <w:ind w:left="6750" w:hanging="6750"/>
        <w:rPr>
          <w:rFonts w:ascii="宋体" w:hAnsi="宋体"/>
          <w:color w:val="000000"/>
          <w:sz w:val="22"/>
        </w:rPr>
      </w:pPr>
    </w:p>
    <w:p>
      <w:pPr>
        <w:adjustRightInd w:val="0"/>
        <w:snapToGrid w:val="0"/>
        <w:spacing w:line="560" w:lineRule="exact"/>
        <w:rPr>
          <w:rFonts w:ascii="宋体" w:hAnsi="宋体"/>
          <w:color w:val="000000"/>
          <w:sz w:val="22"/>
        </w:rPr>
      </w:pPr>
      <w:r>
        <w:rPr>
          <w:rFonts w:hint="eastAsia" w:ascii="宋体" w:hAnsi="宋体"/>
          <w:color w:val="000000"/>
          <w:sz w:val="22"/>
        </w:rPr>
        <w:t>法定代表人：                     法定代表人：</w:t>
      </w:r>
    </w:p>
    <w:p>
      <w:pPr>
        <w:adjustRightInd w:val="0"/>
        <w:snapToGrid w:val="0"/>
        <w:spacing w:line="560" w:lineRule="exact"/>
        <w:rPr>
          <w:rFonts w:ascii="宋体" w:hAnsi="宋体"/>
          <w:color w:val="000000"/>
          <w:sz w:val="22"/>
        </w:rPr>
      </w:pPr>
      <w:r>
        <w:rPr>
          <w:rFonts w:hint="eastAsia" w:ascii="宋体" w:hAnsi="宋体"/>
          <w:color w:val="000000"/>
          <w:sz w:val="22"/>
        </w:rPr>
        <w:t>或                               或</w:t>
      </w:r>
    </w:p>
    <w:p>
      <w:pPr>
        <w:adjustRightInd w:val="0"/>
        <w:snapToGrid w:val="0"/>
        <w:spacing w:line="560" w:lineRule="exact"/>
        <w:rPr>
          <w:rFonts w:ascii="宋体" w:hAnsi="宋体"/>
          <w:color w:val="000000"/>
          <w:sz w:val="22"/>
        </w:rPr>
      </w:pPr>
      <w:r>
        <w:rPr>
          <w:rFonts w:hint="eastAsia" w:ascii="宋体" w:hAnsi="宋体"/>
          <w:color w:val="000000"/>
          <w:sz w:val="22"/>
        </w:rPr>
        <w:t>授权代表：                       授权代表：</w:t>
      </w:r>
    </w:p>
    <w:p>
      <w:pPr>
        <w:adjustRightInd w:val="0"/>
        <w:snapToGrid w:val="0"/>
        <w:spacing w:line="560" w:lineRule="exact"/>
        <w:rPr>
          <w:rFonts w:ascii="宋体" w:hAnsi="宋体"/>
          <w:color w:val="000000"/>
          <w:sz w:val="22"/>
        </w:rPr>
      </w:pPr>
      <w:r>
        <w:rPr>
          <w:rFonts w:hint="eastAsia" w:ascii="宋体" w:hAnsi="宋体"/>
          <w:color w:val="000000"/>
          <w:sz w:val="22"/>
        </w:rPr>
        <w:t xml:space="preserve">签字日期：                       签字日期： </w:t>
      </w:r>
    </w:p>
    <w:p>
      <w:pPr>
        <w:adjustRightInd w:val="0"/>
        <w:snapToGrid w:val="0"/>
        <w:spacing w:line="560" w:lineRule="exact"/>
        <w:ind w:firstLine="440" w:firstLineChars="200"/>
        <w:rPr>
          <w:rFonts w:ascii="宋体" w:hAnsi="宋体"/>
          <w:color w:val="000000"/>
          <w:sz w:val="22"/>
        </w:rPr>
      </w:pPr>
      <w:r>
        <w:rPr>
          <w:rFonts w:hint="eastAsia" w:ascii="宋体" w:hAnsi="宋体"/>
          <w:color w:val="000000"/>
          <w:sz w:val="22"/>
        </w:rPr>
        <w:t>年  月  日                      年  月  日</w:t>
      </w:r>
    </w:p>
    <w:p>
      <w:pPr>
        <w:spacing w:line="560" w:lineRule="exact"/>
        <w:ind w:firstLine="440" w:firstLineChars="200"/>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spacing w:line="560" w:lineRule="exact"/>
        <w:rPr>
          <w:rFonts w:ascii="宋体" w:hAnsi="宋体"/>
          <w:color w:val="000000"/>
          <w:sz w:val="22"/>
        </w:rPr>
      </w:pPr>
    </w:p>
    <w:p>
      <w:pPr>
        <w:pStyle w:val="137"/>
        <w:spacing w:line="360" w:lineRule="exact"/>
        <w:ind w:firstLine="723"/>
        <w:rPr>
          <w:rFonts w:ascii="宋体" w:hAnsi="宋体"/>
          <w:b/>
          <w:color w:val="auto"/>
          <w:sz w:val="36"/>
          <w:szCs w:val="36"/>
        </w:rPr>
      </w:pPr>
      <w:r>
        <w:rPr>
          <w:rFonts w:hint="eastAsia" w:ascii="宋体" w:hAnsi="宋体"/>
          <w:b/>
          <w:color w:val="auto"/>
          <w:sz w:val="36"/>
          <w:szCs w:val="36"/>
        </w:rPr>
        <w:t>杭州萧山国际机场有限公司廉洁自律承诺书</w:t>
      </w:r>
    </w:p>
    <w:p>
      <w:pPr>
        <w:pStyle w:val="142"/>
        <w:adjustRightInd w:val="0"/>
        <w:snapToGrid w:val="0"/>
        <w:ind w:firstLine="442"/>
        <w:jc w:val="left"/>
        <w:rPr>
          <w:rFonts w:ascii="宋体" w:hAnsi="宋体"/>
          <w:b/>
          <w:sz w:val="22"/>
          <w:szCs w:val="22"/>
        </w:rPr>
      </w:pPr>
    </w:p>
    <w:p>
      <w:pPr>
        <w:pStyle w:val="142"/>
        <w:adjustRightInd w:val="0"/>
        <w:snapToGrid w:val="0"/>
        <w:ind w:firstLine="0" w:firstLineChars="0"/>
        <w:jc w:val="left"/>
        <w:rPr>
          <w:rFonts w:ascii="宋体" w:hAnsi="宋体"/>
          <w:b/>
          <w:sz w:val="30"/>
          <w:szCs w:val="30"/>
        </w:rPr>
      </w:pPr>
      <w:r>
        <w:rPr>
          <w:rFonts w:hint="eastAsia" w:ascii="宋体" w:hAnsi="宋体"/>
          <w:b/>
          <w:sz w:val="30"/>
          <w:szCs w:val="30"/>
        </w:rPr>
        <w:t>杭州萧山国际机场有限公司：</w:t>
      </w:r>
    </w:p>
    <w:p>
      <w:pPr>
        <w:pStyle w:val="142"/>
        <w:adjustRightInd w:val="0"/>
        <w:snapToGrid w:val="0"/>
        <w:ind w:firstLine="600"/>
        <w:jc w:val="left"/>
        <w:rPr>
          <w:rFonts w:ascii="宋体" w:hAnsi="宋体"/>
          <w:sz w:val="30"/>
          <w:szCs w:val="30"/>
        </w:rPr>
      </w:pPr>
      <w:r>
        <w:rPr>
          <w:rFonts w:hint="eastAsia" w:ascii="宋体" w:hAnsi="宋体"/>
          <w:sz w:val="30"/>
          <w:szCs w:val="30"/>
        </w:rPr>
        <w:t>我单位响应贵公司项目招标要求，参加项目投标。在投标过程中及中标后，我们将严格遵守国家法律法规和贵司招标文件要求，并郑重作出如下承诺和保证：</w:t>
      </w:r>
    </w:p>
    <w:p>
      <w:pPr>
        <w:pStyle w:val="142"/>
        <w:adjustRightInd w:val="0"/>
        <w:snapToGrid w:val="0"/>
        <w:ind w:firstLine="600"/>
        <w:jc w:val="left"/>
        <w:rPr>
          <w:rFonts w:ascii="宋体" w:hAnsi="宋体"/>
          <w:sz w:val="30"/>
          <w:szCs w:val="30"/>
        </w:rPr>
      </w:pPr>
      <w:r>
        <w:rPr>
          <w:rFonts w:hint="eastAsia" w:ascii="宋体" w:hAnsi="宋体"/>
          <w:sz w:val="30"/>
          <w:szCs w:val="30"/>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142"/>
        <w:adjustRightInd w:val="0"/>
        <w:snapToGrid w:val="0"/>
        <w:ind w:firstLine="600"/>
        <w:jc w:val="left"/>
        <w:rPr>
          <w:rFonts w:ascii="宋体" w:hAnsi="宋体"/>
          <w:sz w:val="30"/>
          <w:szCs w:val="30"/>
        </w:rPr>
      </w:pPr>
      <w:r>
        <w:rPr>
          <w:rFonts w:hint="eastAsia" w:ascii="宋体" w:hAnsi="宋体"/>
          <w:sz w:val="30"/>
          <w:szCs w:val="30"/>
        </w:rPr>
        <w:t>二、不以任何名义为贵公司有关人员或项目第三方人员报销应由贵公司或个人支付的费用；</w:t>
      </w:r>
    </w:p>
    <w:p>
      <w:pPr>
        <w:pStyle w:val="142"/>
        <w:adjustRightInd w:val="0"/>
        <w:snapToGrid w:val="0"/>
        <w:ind w:firstLine="600"/>
        <w:jc w:val="left"/>
        <w:rPr>
          <w:rFonts w:ascii="宋体" w:hAnsi="宋体"/>
          <w:sz w:val="30"/>
          <w:szCs w:val="30"/>
        </w:rPr>
      </w:pPr>
      <w:r>
        <w:rPr>
          <w:rFonts w:hint="eastAsia" w:ascii="宋体" w:hAnsi="宋体"/>
          <w:sz w:val="30"/>
          <w:szCs w:val="30"/>
        </w:rPr>
        <w:t>三、不向贵公司有关人员或项目第三方人员提供宴请、旅游、和健身娱乐等活动；</w:t>
      </w:r>
    </w:p>
    <w:p>
      <w:pPr>
        <w:pStyle w:val="142"/>
        <w:adjustRightInd w:val="0"/>
        <w:snapToGrid w:val="0"/>
        <w:ind w:firstLine="600"/>
        <w:jc w:val="left"/>
        <w:rPr>
          <w:rFonts w:ascii="宋体" w:hAnsi="宋体"/>
          <w:sz w:val="30"/>
          <w:szCs w:val="30"/>
        </w:rPr>
      </w:pPr>
      <w:r>
        <w:rPr>
          <w:rFonts w:hint="eastAsia" w:ascii="宋体" w:hAnsi="宋体"/>
          <w:sz w:val="30"/>
          <w:szCs w:val="30"/>
        </w:rPr>
        <w:t>四、不为贵公司有关人员或项目第三方人员出国（境）、旅游等提供方便；</w:t>
      </w:r>
    </w:p>
    <w:p>
      <w:pPr>
        <w:pStyle w:val="142"/>
        <w:adjustRightInd w:val="0"/>
        <w:snapToGrid w:val="0"/>
        <w:ind w:firstLine="600"/>
        <w:jc w:val="left"/>
        <w:rPr>
          <w:rFonts w:ascii="宋体" w:hAnsi="宋体"/>
          <w:sz w:val="30"/>
          <w:szCs w:val="30"/>
        </w:rPr>
      </w:pPr>
      <w:r>
        <w:rPr>
          <w:rFonts w:hint="eastAsia" w:ascii="宋体" w:hAnsi="宋体"/>
          <w:sz w:val="30"/>
          <w:szCs w:val="30"/>
        </w:rPr>
        <w:t>五、不为贵公司有关人员或项目第三方人员个人装修住房、婚丧嫁娶、配偶子女工作安排等提供好处或便利条件；</w:t>
      </w:r>
    </w:p>
    <w:p>
      <w:pPr>
        <w:pStyle w:val="142"/>
        <w:adjustRightInd w:val="0"/>
        <w:snapToGrid w:val="0"/>
        <w:ind w:firstLine="600"/>
        <w:jc w:val="left"/>
        <w:rPr>
          <w:rFonts w:ascii="宋体" w:hAnsi="宋体"/>
          <w:sz w:val="30"/>
          <w:szCs w:val="30"/>
        </w:rPr>
      </w:pPr>
      <w:r>
        <w:rPr>
          <w:rFonts w:hint="eastAsia" w:ascii="宋体" w:hAnsi="宋体"/>
          <w:sz w:val="30"/>
          <w:szCs w:val="30"/>
        </w:rPr>
        <w:t>六、严格遵守国家招标投标法、合同法等法律规定，诚实守信，合法经营，坚决杜绝各种违法违纪行为。</w:t>
      </w:r>
    </w:p>
    <w:p>
      <w:pPr>
        <w:pStyle w:val="142"/>
        <w:adjustRightInd w:val="0"/>
        <w:snapToGrid w:val="0"/>
        <w:ind w:firstLine="600"/>
        <w:jc w:val="left"/>
        <w:rPr>
          <w:rFonts w:ascii="宋体" w:hAnsi="宋体"/>
          <w:sz w:val="30"/>
          <w:szCs w:val="30"/>
        </w:rPr>
      </w:pPr>
      <w:r>
        <w:rPr>
          <w:rFonts w:ascii="宋体" w:hAnsi="宋体"/>
          <w:sz w:val="30"/>
          <w:szCs w:val="30"/>
        </w:rPr>
        <w:t>七</w:t>
      </w:r>
      <w:r>
        <w:rPr>
          <w:rFonts w:hint="eastAsia" w:ascii="宋体" w:hAnsi="宋体"/>
          <w:sz w:val="30"/>
          <w:szCs w:val="30"/>
        </w:rPr>
        <w:t>、若发现贵公司有关人员或项目第三方人员有故意设置障碍或推诿刁难我方人员参与正常投标项目建设活动以索要好处等行为，我单位将及时向贵公司纪检监察部门举报，举报电话：0571－86661113。</w:t>
      </w:r>
    </w:p>
    <w:p>
      <w:pPr>
        <w:pStyle w:val="142"/>
        <w:adjustRightInd w:val="0"/>
        <w:snapToGrid w:val="0"/>
        <w:ind w:firstLine="600"/>
        <w:jc w:val="left"/>
        <w:rPr>
          <w:rFonts w:ascii="宋体" w:hAnsi="宋体"/>
          <w:sz w:val="30"/>
          <w:szCs w:val="30"/>
        </w:rPr>
      </w:pPr>
      <w:r>
        <w:rPr>
          <w:rFonts w:hint="eastAsia" w:ascii="宋体" w:hAnsi="宋体"/>
          <w:sz w:val="30"/>
          <w:szCs w:val="30"/>
        </w:rPr>
        <w:t>八、如违反上述廉洁自律承诺，贵公司有权：</w:t>
      </w:r>
    </w:p>
    <w:p>
      <w:pPr>
        <w:pStyle w:val="142"/>
        <w:numPr>
          <w:ilvl w:val="0"/>
          <w:numId w:val="7"/>
        </w:numPr>
        <w:adjustRightInd w:val="0"/>
        <w:snapToGrid w:val="0"/>
        <w:ind w:firstLineChars="0"/>
        <w:jc w:val="left"/>
        <w:rPr>
          <w:rFonts w:ascii="宋体" w:hAnsi="宋体"/>
          <w:sz w:val="30"/>
          <w:szCs w:val="30"/>
        </w:rPr>
      </w:pPr>
      <w:r>
        <w:rPr>
          <w:rFonts w:hint="eastAsia" w:ascii="宋体" w:hAnsi="宋体"/>
          <w:sz w:val="30"/>
          <w:szCs w:val="30"/>
        </w:rPr>
        <w:t>立即取消我单位投标、中标或在建项目的实施资格；</w:t>
      </w:r>
    </w:p>
    <w:p>
      <w:pPr>
        <w:pStyle w:val="142"/>
        <w:numPr>
          <w:ilvl w:val="0"/>
          <w:numId w:val="7"/>
        </w:numPr>
        <w:adjustRightInd w:val="0"/>
        <w:snapToGrid w:val="0"/>
        <w:ind w:firstLineChars="0"/>
        <w:jc w:val="left"/>
        <w:rPr>
          <w:rFonts w:ascii="宋体" w:hAnsi="宋体"/>
          <w:sz w:val="30"/>
          <w:szCs w:val="30"/>
        </w:rPr>
      </w:pPr>
      <w:r>
        <w:rPr>
          <w:rFonts w:hint="eastAsia" w:ascii="宋体" w:hAnsi="宋体"/>
          <w:sz w:val="30"/>
          <w:szCs w:val="30"/>
        </w:rPr>
        <w:t>扣除我方向贵公司缴纳的履约保证金的10%作为违反廉洁自律承诺的违约金。如该违约金不足以弥补贵公司损失的，我单位仍将承担实际损失赔偿责任。</w:t>
      </w:r>
    </w:p>
    <w:p>
      <w:pPr>
        <w:pStyle w:val="142"/>
        <w:numPr>
          <w:ilvl w:val="0"/>
          <w:numId w:val="7"/>
        </w:numPr>
        <w:adjustRightInd w:val="0"/>
        <w:snapToGrid w:val="0"/>
        <w:ind w:firstLineChars="0"/>
        <w:jc w:val="left"/>
        <w:rPr>
          <w:rFonts w:ascii="宋体" w:hAnsi="宋体"/>
          <w:sz w:val="30"/>
          <w:szCs w:val="30"/>
        </w:rPr>
      </w:pPr>
      <w:r>
        <w:rPr>
          <w:rFonts w:hint="eastAsia" w:ascii="宋体" w:hAnsi="宋体"/>
          <w:sz w:val="30"/>
          <w:szCs w:val="30"/>
        </w:rPr>
        <w:t>拒绝我单位在一定时期内进入贵公司进行项目建设或其它经营活动；</w:t>
      </w:r>
    </w:p>
    <w:p>
      <w:pPr>
        <w:pStyle w:val="142"/>
        <w:numPr>
          <w:ilvl w:val="0"/>
          <w:numId w:val="7"/>
        </w:numPr>
        <w:adjustRightInd w:val="0"/>
        <w:snapToGrid w:val="0"/>
        <w:ind w:firstLineChars="0"/>
        <w:jc w:val="left"/>
        <w:rPr>
          <w:rFonts w:ascii="宋体" w:hAnsi="宋体"/>
          <w:sz w:val="30"/>
          <w:szCs w:val="30"/>
        </w:rPr>
      </w:pPr>
      <w:r>
        <w:rPr>
          <w:rFonts w:hint="eastAsia" w:ascii="宋体" w:hAnsi="宋体"/>
          <w:sz w:val="30"/>
          <w:szCs w:val="30"/>
        </w:rPr>
        <w:t>由此引起的相应损失均由我单位承担。</w:t>
      </w:r>
    </w:p>
    <w:p>
      <w:pPr>
        <w:pStyle w:val="142"/>
        <w:adjustRightInd w:val="0"/>
        <w:snapToGrid w:val="0"/>
        <w:ind w:firstLine="600"/>
        <w:jc w:val="left"/>
        <w:rPr>
          <w:rFonts w:ascii="宋体" w:hAnsi="宋体"/>
          <w:sz w:val="30"/>
          <w:szCs w:val="30"/>
        </w:rPr>
      </w:pPr>
    </w:p>
    <w:p>
      <w:pPr>
        <w:pStyle w:val="142"/>
        <w:adjustRightInd w:val="0"/>
        <w:snapToGrid w:val="0"/>
        <w:ind w:firstLine="600"/>
        <w:jc w:val="left"/>
        <w:rPr>
          <w:rFonts w:ascii="宋体" w:hAnsi="宋体"/>
          <w:sz w:val="30"/>
          <w:szCs w:val="30"/>
        </w:rPr>
      </w:pPr>
      <w:r>
        <w:rPr>
          <w:rFonts w:hint="eastAsia" w:ascii="宋体" w:hAnsi="宋体"/>
          <w:sz w:val="30"/>
          <w:szCs w:val="30"/>
        </w:rPr>
        <w:t xml:space="preserve">承诺人单位名称（盖章）：            </w:t>
      </w:r>
    </w:p>
    <w:p>
      <w:pPr>
        <w:pStyle w:val="142"/>
        <w:adjustRightInd w:val="0"/>
        <w:snapToGrid w:val="0"/>
        <w:ind w:firstLine="600"/>
        <w:jc w:val="left"/>
        <w:rPr>
          <w:rFonts w:ascii="宋体" w:hAnsi="宋体"/>
          <w:sz w:val="30"/>
          <w:szCs w:val="30"/>
        </w:rPr>
      </w:pPr>
      <w:r>
        <w:rPr>
          <w:rFonts w:hint="eastAsia" w:ascii="宋体" w:hAnsi="宋体"/>
          <w:sz w:val="30"/>
          <w:szCs w:val="30"/>
        </w:rPr>
        <w:t xml:space="preserve">法定代表人 ：                    </w:t>
      </w:r>
    </w:p>
    <w:p>
      <w:pPr>
        <w:pStyle w:val="142"/>
        <w:adjustRightInd w:val="0"/>
        <w:snapToGrid w:val="0"/>
        <w:ind w:firstLine="600"/>
        <w:jc w:val="left"/>
        <w:rPr>
          <w:rFonts w:ascii="宋体" w:hAnsi="宋体"/>
          <w:sz w:val="30"/>
          <w:szCs w:val="30"/>
        </w:rPr>
      </w:pPr>
      <w:r>
        <w:rPr>
          <w:rFonts w:hint="eastAsia" w:ascii="宋体" w:hAnsi="宋体"/>
          <w:sz w:val="30"/>
          <w:szCs w:val="30"/>
        </w:rPr>
        <w:t xml:space="preserve">或                            </w:t>
      </w:r>
    </w:p>
    <w:p>
      <w:pPr>
        <w:pStyle w:val="142"/>
        <w:adjustRightInd w:val="0"/>
        <w:snapToGrid w:val="0"/>
        <w:ind w:firstLine="600"/>
        <w:jc w:val="left"/>
        <w:rPr>
          <w:rFonts w:ascii="宋体" w:hAnsi="宋体"/>
          <w:sz w:val="30"/>
          <w:szCs w:val="30"/>
        </w:rPr>
      </w:pPr>
      <w:r>
        <w:rPr>
          <w:rFonts w:hint="eastAsia" w:ascii="宋体" w:hAnsi="宋体"/>
          <w:sz w:val="30"/>
          <w:szCs w:val="30"/>
        </w:rPr>
        <w:t xml:space="preserve">委托代理人：                 </w:t>
      </w:r>
    </w:p>
    <w:p>
      <w:pPr>
        <w:pStyle w:val="51"/>
        <w:rPr>
          <w:rFonts w:ascii="宋体" w:hAnsi="宋体" w:eastAsia="宋体"/>
          <w:b w:val="0"/>
          <w:sz w:val="30"/>
          <w:szCs w:val="30"/>
        </w:rPr>
      </w:pPr>
      <w:r>
        <w:rPr>
          <w:rFonts w:ascii="宋体" w:hAnsi="宋体" w:eastAsia="宋体"/>
          <w:b w:val="0"/>
          <w:sz w:val="30"/>
          <w:szCs w:val="30"/>
        </w:rPr>
        <w:t xml:space="preserve">                                    </w:t>
      </w:r>
      <w:r>
        <w:rPr>
          <w:rFonts w:hint="eastAsia" w:ascii="宋体" w:hAnsi="宋体" w:eastAsia="宋体"/>
          <w:b w:val="0"/>
          <w:sz w:val="30"/>
          <w:szCs w:val="30"/>
        </w:rPr>
        <w:t xml:space="preserve">    年     月     日</w:t>
      </w:r>
    </w:p>
    <w:p>
      <w:pPr>
        <w:pStyle w:val="142"/>
        <w:adjustRightInd w:val="0"/>
        <w:snapToGrid w:val="0"/>
        <w:ind w:firstLine="600"/>
        <w:jc w:val="left"/>
        <w:rPr>
          <w:rFonts w:ascii="宋体" w:hAnsi="宋体"/>
          <w:sz w:val="30"/>
          <w:szCs w:val="30"/>
        </w:rPr>
        <w:sectPr>
          <w:footerReference r:id="rId7" w:type="first"/>
          <w:pgSz w:w="11906" w:h="16838"/>
          <w:pgMar w:top="1134" w:right="1247" w:bottom="1134" w:left="1247" w:header="851" w:footer="992" w:gutter="0"/>
          <w:pgNumType w:fmt="numberInDash"/>
          <w:cols w:space="720" w:num="1"/>
          <w:docGrid w:linePitch="312" w:charSpace="0"/>
        </w:sectPr>
      </w:pPr>
      <w:r>
        <w:rPr>
          <w:rFonts w:hint="eastAsia" w:ascii="宋体" w:hAnsi="宋体"/>
          <w:sz w:val="30"/>
          <w:szCs w:val="30"/>
        </w:rPr>
        <w:t xml:space="preserve">  </w:t>
      </w:r>
    </w:p>
    <w:p>
      <w:pPr>
        <w:pStyle w:val="142"/>
        <w:adjustRightInd w:val="0"/>
        <w:snapToGrid w:val="0"/>
        <w:ind w:firstLine="600"/>
        <w:jc w:val="left"/>
        <w:rPr>
          <w:rFonts w:ascii="宋体" w:hAnsi="宋体"/>
          <w:sz w:val="30"/>
          <w:szCs w:val="30"/>
        </w:rPr>
      </w:pPr>
    </w:p>
    <w:p>
      <w:pPr>
        <w:pStyle w:val="142"/>
        <w:adjustRightInd w:val="0"/>
        <w:snapToGrid w:val="0"/>
        <w:ind w:firstLine="419" w:firstLineChars="139"/>
        <w:jc w:val="left"/>
        <w:rPr>
          <w:rFonts w:hint="eastAsia" w:ascii="宋体" w:hAnsi="宋体"/>
          <w:b/>
          <w:sz w:val="30"/>
          <w:szCs w:val="30"/>
        </w:rPr>
      </w:pPr>
    </w:p>
    <w:p>
      <w:pPr>
        <w:pStyle w:val="51"/>
        <w:rPr>
          <w:rFonts w:ascii="宋体" w:hAnsi="宋体" w:eastAsia="宋体"/>
          <w:b w:val="0"/>
          <w:sz w:val="30"/>
          <w:szCs w:val="30"/>
        </w:rPr>
      </w:pPr>
      <w:r>
        <w:rPr>
          <w:rFonts w:hint="eastAsia" w:ascii="宋体" w:hAnsi="宋体" w:eastAsia="宋体"/>
          <w:b w:val="0"/>
          <w:sz w:val="30"/>
          <w:szCs w:val="30"/>
        </w:rPr>
        <w:t xml:space="preserve">                       </w:t>
      </w:r>
    </w:p>
    <w:bookmarkEnd w:id="86"/>
    <w:bookmarkEnd w:id="87"/>
    <w:p>
      <w:pPr>
        <w:pStyle w:val="2"/>
        <w:spacing w:before="0" w:after="0"/>
        <w:rPr>
          <w:rFonts w:ascii="Calibri" w:hAnsi="Calibri" w:eastAsia="黑体" w:cs="Calibri"/>
          <w:kern w:val="0"/>
          <w:sz w:val="32"/>
        </w:rPr>
      </w:pPr>
      <w:bookmarkStart w:id="88" w:name="_Toc448002987"/>
      <w:bookmarkStart w:id="89" w:name="_Toc321925456"/>
      <w:bookmarkStart w:id="90" w:name="_Toc275274581"/>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88"/>
      <w:bookmarkEnd w:id="89"/>
    </w:p>
    <w:p>
      <w:pPr>
        <w:pStyle w:val="31"/>
        <w:spacing w:line="360" w:lineRule="exact"/>
        <w:ind w:firstLine="420"/>
        <w:rPr>
          <w:rFonts w:hAnsi="宋体" w:cs="Calibri"/>
          <w:bCs/>
          <w:sz w:val="22"/>
          <w:szCs w:val="22"/>
        </w:rPr>
      </w:pPr>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31"/>
        <w:spacing w:line="360" w:lineRule="exact"/>
        <w:rPr>
          <w:rFonts w:hAnsi="宋体" w:cs="Calibri"/>
          <w:b/>
          <w:bCs/>
          <w:sz w:val="22"/>
          <w:szCs w:val="22"/>
        </w:rPr>
      </w:pPr>
      <w:r>
        <w:rPr>
          <w:rFonts w:hAnsi="宋体" w:cs="Calibri"/>
          <w:b/>
          <w:bCs/>
          <w:sz w:val="22"/>
          <w:szCs w:val="22"/>
        </w:rPr>
        <w:t>一、评标原则</w:t>
      </w:r>
    </w:p>
    <w:p>
      <w:pPr>
        <w:pStyle w:val="31"/>
        <w:spacing w:line="360" w:lineRule="exact"/>
        <w:ind w:firstLine="420"/>
        <w:rPr>
          <w:rFonts w:hAnsi="宋体" w:cs="Calibri"/>
          <w:sz w:val="22"/>
          <w:szCs w:val="22"/>
        </w:rPr>
      </w:pPr>
      <w:r>
        <w:rPr>
          <w:rFonts w:hAnsi="宋体" w:cs="Calibri"/>
          <w:bCs/>
          <w:sz w:val="22"/>
          <w:szCs w:val="22"/>
        </w:rPr>
        <w:t>评标应遵循公平、公正、科学、择优的原则。</w:t>
      </w:r>
    </w:p>
    <w:p>
      <w:pPr>
        <w:pStyle w:val="31"/>
        <w:spacing w:line="360" w:lineRule="exact"/>
        <w:rPr>
          <w:rFonts w:hAnsi="宋体" w:cs="Calibri"/>
          <w:b/>
          <w:bCs/>
          <w:sz w:val="22"/>
          <w:szCs w:val="22"/>
        </w:rPr>
      </w:pPr>
      <w:r>
        <w:rPr>
          <w:rFonts w:hAnsi="宋体" w:cs="Calibri"/>
          <w:b/>
          <w:bCs/>
          <w:sz w:val="22"/>
          <w:szCs w:val="22"/>
        </w:rPr>
        <w:t>二、评标组织</w:t>
      </w:r>
    </w:p>
    <w:p>
      <w:pPr>
        <w:pStyle w:val="31"/>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5</w:t>
      </w:r>
      <w:r>
        <w:rPr>
          <w:rFonts w:hAnsi="宋体" w:cs="Calibri"/>
          <w:sz w:val="22"/>
          <w:szCs w:val="22"/>
        </w:rPr>
        <w:t>人及以上单数，</w:t>
      </w:r>
      <w:r>
        <w:rPr>
          <w:rFonts w:hint="eastAsia" w:hAnsi="宋体"/>
          <w:sz w:val="22"/>
          <w:szCs w:val="22"/>
        </w:rPr>
        <w:t>评标委员会由招标人自行组建。</w:t>
      </w:r>
    </w:p>
    <w:p>
      <w:pPr>
        <w:pStyle w:val="31"/>
        <w:spacing w:line="360" w:lineRule="exact"/>
        <w:rPr>
          <w:rFonts w:hAnsi="宋体" w:cs="Calibri"/>
          <w:b/>
          <w:bCs/>
          <w:sz w:val="22"/>
          <w:szCs w:val="22"/>
        </w:rPr>
      </w:pPr>
      <w:r>
        <w:rPr>
          <w:rFonts w:hAnsi="宋体" w:cs="Calibri"/>
          <w:b/>
          <w:bCs/>
          <w:sz w:val="22"/>
          <w:szCs w:val="22"/>
        </w:rPr>
        <w:t>三、投标文件的评审</w:t>
      </w:r>
    </w:p>
    <w:p>
      <w:pPr>
        <w:pStyle w:val="31"/>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1"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1"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1"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1"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1" w:firstLineChars="214"/>
        <w:rPr>
          <w:rFonts w:ascii="宋体" w:hAnsi="宋体" w:cs="Calibri"/>
          <w:sz w:val="22"/>
        </w:rPr>
      </w:pPr>
      <w:r>
        <w:rPr>
          <w:rFonts w:ascii="宋体" w:hAnsi="宋体" w:cs="Calibri"/>
          <w:sz w:val="22"/>
        </w:rPr>
        <w:t>5、</w:t>
      </w:r>
      <w:r>
        <w:rPr>
          <w:rFonts w:hint="eastAsia" w:ascii="宋体" w:hAnsi="宋体" w:cs="Calibri"/>
          <w:sz w:val="22"/>
        </w:rPr>
        <w:t>供货</w:t>
      </w:r>
      <w:r>
        <w:rPr>
          <w:rFonts w:ascii="宋体" w:hAnsi="宋体" w:cs="Calibri"/>
          <w:sz w:val="22"/>
        </w:rPr>
        <w:t>期不满足招标文件要求的；</w:t>
      </w:r>
    </w:p>
    <w:p>
      <w:pPr>
        <w:spacing w:line="360" w:lineRule="exact"/>
        <w:ind w:firstLine="471" w:firstLineChars="214"/>
        <w:rPr>
          <w:rFonts w:ascii="宋体" w:hAnsi="宋体" w:cs="Calibri"/>
          <w:kern w:val="0"/>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1" w:firstLineChars="214"/>
        <w:rPr>
          <w:rFonts w:ascii="宋体" w:hAnsi="宋体" w:cs="Calibri"/>
          <w:sz w:val="22"/>
        </w:rPr>
      </w:pPr>
      <w:r>
        <w:rPr>
          <w:rFonts w:hint="eastAsia" w:ascii="宋体" w:hAnsi="宋体" w:cs="Calibri"/>
          <w:kern w:val="0"/>
          <w:sz w:val="22"/>
        </w:rPr>
        <w:t>7、不能满足招标文件第三章技术条款要求</w:t>
      </w:r>
      <w:r>
        <w:rPr>
          <w:rFonts w:hint="eastAsia" w:ascii="宋体" w:hAnsi="宋体" w:cs="Calibri"/>
          <w:color w:val="000000"/>
          <w:kern w:val="0"/>
          <w:sz w:val="22"/>
        </w:rPr>
        <w:t>≥4条；</w:t>
      </w:r>
    </w:p>
    <w:p>
      <w:pPr>
        <w:spacing w:line="360" w:lineRule="exact"/>
        <w:ind w:firstLine="471" w:firstLineChars="214"/>
        <w:rPr>
          <w:rFonts w:ascii="宋体" w:hAnsi="宋体" w:cs="Calibri"/>
          <w:sz w:val="22"/>
        </w:rPr>
      </w:pPr>
      <w:r>
        <w:rPr>
          <w:rFonts w:ascii="宋体" w:hAnsi="宋体" w:cs="Calibri"/>
          <w:sz w:val="22"/>
        </w:rPr>
        <w:t>8、投标人不以自己的名义或未按招标文件的要求提供投标保证金或提供的保证金有缺陷而不能接受的；</w:t>
      </w:r>
    </w:p>
    <w:p>
      <w:pPr>
        <w:spacing w:line="360" w:lineRule="exact"/>
        <w:ind w:firstLine="471" w:firstLineChars="214"/>
        <w:rPr>
          <w:rFonts w:ascii="宋体" w:hAnsi="宋体" w:cs="Calibri"/>
          <w:sz w:val="22"/>
        </w:rPr>
      </w:pPr>
      <w:r>
        <w:rPr>
          <w:rFonts w:ascii="宋体" w:hAnsi="宋体" w:cs="Calibri"/>
          <w:sz w:val="22"/>
        </w:rPr>
        <w:t>9、投标人以他人名义投标、或与他人串通投标、或以行贿手段谋取中标，或弄虚作假的；</w:t>
      </w:r>
    </w:p>
    <w:p>
      <w:pPr>
        <w:spacing w:line="360" w:lineRule="exact"/>
        <w:ind w:firstLine="471" w:firstLineChars="214"/>
        <w:rPr>
          <w:rFonts w:ascii="宋体" w:hAnsi="宋体" w:cs="Calibri"/>
          <w:sz w:val="22"/>
        </w:rPr>
      </w:pPr>
      <w:r>
        <w:rPr>
          <w:rFonts w:hint="eastAsia" w:ascii="宋体" w:hAnsi="宋体" w:cs="Calibri"/>
          <w:sz w:val="22"/>
        </w:rPr>
        <w:t>10</w:t>
      </w:r>
      <w:r>
        <w:rPr>
          <w:rFonts w:ascii="宋体" w:hAnsi="宋体" w:cs="Calibri"/>
          <w:sz w:val="22"/>
        </w:rPr>
        <w:t>、存在法律、法规、规章规定的其它无效投标情况的</w:t>
      </w:r>
      <w:r>
        <w:rPr>
          <w:rFonts w:hint="eastAsia" w:ascii="宋体" w:hAnsi="宋体" w:cs="Calibri"/>
          <w:sz w:val="22"/>
        </w:rPr>
        <w:t>。</w:t>
      </w:r>
    </w:p>
    <w:p>
      <w:pPr>
        <w:spacing w:line="360" w:lineRule="exact"/>
        <w:ind w:firstLine="471" w:firstLineChars="214"/>
        <w:rPr>
          <w:rFonts w:hint="eastAsia" w:ascii="宋体" w:hAnsi="宋体" w:cs="Calibri"/>
          <w:sz w:val="22"/>
        </w:rPr>
      </w:pPr>
      <w:r>
        <w:rPr>
          <w:rFonts w:hint="eastAsia" w:ascii="宋体" w:hAnsi="宋体" w:cs="Calibri"/>
          <w:sz w:val="22"/>
        </w:rPr>
        <w:t>涉及本文件投标人资格条件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31"/>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31"/>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31"/>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31"/>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★修正的价格经投标人书面确认后具有约束力。投标人不接受修正价格，其投标作</w:t>
      </w:r>
      <w:r>
        <w:rPr>
          <w:rFonts w:hint="eastAsia" w:hAnsi="宋体" w:cs="Calibri"/>
          <w:b/>
          <w:sz w:val="22"/>
          <w:szCs w:val="22"/>
        </w:rPr>
        <w:t>否决投标</w:t>
      </w:r>
      <w:r>
        <w:rPr>
          <w:rFonts w:hAnsi="宋体" w:cs="Calibri"/>
          <w:b/>
          <w:sz w:val="22"/>
          <w:szCs w:val="22"/>
        </w:rPr>
        <w:t>处理</w:t>
      </w:r>
      <w:r>
        <w:rPr>
          <w:rFonts w:hAnsi="宋体" w:cs="Calibri"/>
          <w:sz w:val="22"/>
          <w:szCs w:val="22"/>
        </w:rPr>
        <w:t>；</w:t>
      </w:r>
      <w:r>
        <w:rPr>
          <w:rFonts w:hAnsi="宋体" w:cs="Calibri"/>
          <w:b/>
          <w:sz w:val="22"/>
          <w:szCs w:val="22"/>
        </w:rPr>
        <w:t xml:space="preserve"> </w:t>
      </w:r>
    </w:p>
    <w:p>
      <w:pPr>
        <w:pStyle w:val="31"/>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31"/>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分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31"/>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31"/>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3.3.1商务报价分60分</w:t>
      </w:r>
    </w:p>
    <w:p>
      <w:pPr>
        <w:pStyle w:val="31"/>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40分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58"/>
        <w:tblW w:w="9528" w:type="dxa"/>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352"/>
        <w:gridCol w:w="666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3" w:hRule="atLeast"/>
        </w:trPr>
        <w:tc>
          <w:tcPr>
            <w:tcW w:w="6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序号</w:t>
            </w:r>
          </w:p>
        </w:tc>
        <w:tc>
          <w:tcPr>
            <w:tcW w:w="135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评分因素</w:t>
            </w:r>
          </w:p>
          <w:p>
            <w:pPr>
              <w:snapToGrid w:val="0"/>
              <w:jc w:val="center"/>
              <w:rPr>
                <w:rFonts w:ascii="宋体" w:hAnsi="宋体"/>
                <w:szCs w:val="21"/>
              </w:rPr>
            </w:pPr>
            <w:r>
              <w:rPr>
                <w:rFonts w:hint="eastAsia" w:ascii="宋体" w:hAnsi="宋体"/>
                <w:szCs w:val="21"/>
              </w:rPr>
              <w:t>及分值权重</w:t>
            </w:r>
          </w:p>
        </w:tc>
        <w:tc>
          <w:tcPr>
            <w:tcW w:w="66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评分细则</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最高分值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96" w:hRule="atLeast"/>
        </w:trPr>
        <w:tc>
          <w:tcPr>
            <w:tcW w:w="663" w:type="dxa"/>
            <w:vAlign w:val="center"/>
          </w:tcPr>
          <w:p>
            <w:pPr>
              <w:snapToGrid w:val="0"/>
              <w:jc w:val="center"/>
              <w:rPr>
                <w:rFonts w:ascii="宋体" w:hAnsi="宋体"/>
                <w:color w:val="000000"/>
                <w:szCs w:val="21"/>
              </w:rPr>
            </w:pPr>
            <w:r>
              <w:rPr>
                <w:rFonts w:hint="eastAsia" w:ascii="宋体" w:hAnsi="宋体"/>
                <w:color w:val="000000"/>
                <w:szCs w:val="21"/>
              </w:rPr>
              <w:t>1</w:t>
            </w:r>
          </w:p>
        </w:tc>
        <w:tc>
          <w:tcPr>
            <w:tcW w:w="1352" w:type="dxa"/>
            <w:vAlign w:val="center"/>
          </w:tcPr>
          <w:p>
            <w:pPr>
              <w:snapToGrid w:val="0"/>
              <w:jc w:val="center"/>
              <w:rPr>
                <w:rFonts w:ascii="宋体" w:hAnsi="宋体"/>
                <w:color w:val="000000"/>
                <w:szCs w:val="21"/>
              </w:rPr>
            </w:pPr>
            <w:r>
              <w:rPr>
                <w:rFonts w:hint="eastAsia" w:ascii="宋体" w:hAnsi="宋体"/>
                <w:color w:val="000000"/>
                <w:szCs w:val="21"/>
              </w:rPr>
              <w:t>产品业绩</w:t>
            </w:r>
          </w:p>
          <w:p>
            <w:pPr>
              <w:snapToGrid w:val="0"/>
              <w:jc w:val="center"/>
              <w:rPr>
                <w:rFonts w:ascii="宋体" w:hAnsi="宋体"/>
                <w:color w:val="000000"/>
                <w:szCs w:val="21"/>
              </w:rPr>
            </w:pPr>
            <w:r>
              <w:rPr>
                <w:rFonts w:hint="eastAsia" w:ascii="宋体" w:hAnsi="宋体"/>
                <w:color w:val="000000"/>
                <w:szCs w:val="21"/>
              </w:rPr>
              <w:t>（4分）</w:t>
            </w:r>
          </w:p>
        </w:tc>
        <w:tc>
          <w:tcPr>
            <w:tcW w:w="6663" w:type="dxa"/>
            <w:tcBorders>
              <w:bottom w:val="single" w:color="auto" w:sz="4" w:space="0"/>
            </w:tcBorders>
            <w:vAlign w:val="center"/>
          </w:tcPr>
          <w:p>
            <w:pPr>
              <w:widowControl/>
              <w:rPr>
                <w:rFonts w:ascii="宋体" w:hAnsi="宋体"/>
                <w:bCs/>
              </w:rPr>
            </w:pPr>
            <w:r>
              <w:rPr>
                <w:rFonts w:hint="eastAsia" w:ascii="宋体" w:hAnsi="宋体"/>
              </w:rPr>
              <w:t>投标产品制造商生产的主力泡沫消防车从2016年1月1日至投标截止日止以来（以合同的签署时间为准）在中国大陆</w:t>
            </w:r>
            <w:r>
              <w:rPr>
                <w:rFonts w:hint="eastAsia" w:ascii="宋体" w:hAnsi="宋体"/>
                <w:szCs w:val="21"/>
              </w:rPr>
              <w:t>（不含台港澳）民用机场</w:t>
            </w:r>
            <w:r>
              <w:rPr>
                <w:rFonts w:hint="eastAsia" w:ascii="宋体" w:hAnsi="宋体"/>
              </w:rPr>
              <w:t>成功销售业绩</w:t>
            </w:r>
            <w:r>
              <w:rPr>
                <w:rFonts w:hint="eastAsia" w:ascii="宋体" w:hAnsi="宋体"/>
                <w:szCs w:val="21"/>
              </w:rPr>
              <w:t>（业绩须提供销售合同复印件和用户证明文件并加盖投标人公章（原件备查），</w:t>
            </w:r>
            <w:r>
              <w:rPr>
                <w:rFonts w:hint="eastAsia" w:ascii="宋体" w:hAnsi="宋体"/>
              </w:rPr>
              <w:t>未提供</w:t>
            </w:r>
            <w:r>
              <w:rPr>
                <w:rFonts w:hint="eastAsia" w:ascii="宋体" w:hAnsi="宋体"/>
                <w:szCs w:val="21"/>
              </w:rPr>
              <w:t>销售合同复印件和用户证明文件</w:t>
            </w:r>
            <w:r>
              <w:rPr>
                <w:rFonts w:hint="eastAsia" w:ascii="宋体" w:hAnsi="宋体"/>
              </w:rPr>
              <w:t>的业绩不予认可</w:t>
            </w:r>
            <w:r>
              <w:rPr>
                <w:rFonts w:hint="eastAsia" w:ascii="宋体" w:hAnsi="宋体"/>
                <w:szCs w:val="21"/>
              </w:rPr>
              <w:t>）</w:t>
            </w:r>
            <w:r>
              <w:rPr>
                <w:rFonts w:hint="eastAsia" w:ascii="宋体" w:hAnsi="宋体"/>
                <w:bCs/>
              </w:rPr>
              <w:t>（4分）</w:t>
            </w:r>
          </w:p>
          <w:p>
            <w:pPr>
              <w:widowControl/>
              <w:rPr>
                <w:rFonts w:ascii="宋体" w:hAnsi="宋体"/>
                <w:kern w:val="0"/>
              </w:rPr>
            </w:pPr>
            <w:r>
              <w:rPr>
                <w:rFonts w:hint="eastAsia" w:ascii="宋体" w:hAnsi="宋体"/>
                <w:b/>
                <w:bCs/>
                <w:szCs w:val="21"/>
              </w:rPr>
              <w:t>评分标准</w:t>
            </w:r>
            <w:r>
              <w:rPr>
                <w:rFonts w:hint="eastAsia" w:ascii="宋体" w:hAnsi="宋体"/>
                <w:bCs/>
                <w:szCs w:val="21"/>
              </w:rPr>
              <w:t>：</w:t>
            </w:r>
            <w:r>
              <w:rPr>
                <w:rFonts w:hint="eastAsia" w:ascii="宋体" w:hAnsi="宋体"/>
                <w:szCs w:val="21"/>
              </w:rPr>
              <w:t>在2016年-2018年连续3年旅客吞吐量大于4000万人次机场（北京/首都、上海/浦东、广州/白云、成都/双流、深圳/宝安、上海/虹桥）的销售业绩</w:t>
            </w:r>
            <w:r>
              <w:rPr>
                <w:rFonts w:hint="eastAsia" w:ascii="宋体" w:hAnsi="宋体"/>
                <w:bCs/>
                <w:szCs w:val="21"/>
              </w:rPr>
              <w:t>每提供1个（含）得0.3分，每增加1个加0.3分；其他民用机场销售业绩每提供</w:t>
            </w:r>
            <w:r>
              <w:rPr>
                <w:rFonts w:ascii="宋体" w:hAnsi="宋体"/>
                <w:bCs/>
                <w:szCs w:val="21"/>
              </w:rPr>
              <w:t>1个（含）得0.2分，每增加1个加0</w:t>
            </w:r>
            <w:r>
              <w:rPr>
                <w:rFonts w:hint="eastAsia" w:ascii="宋体" w:hAnsi="宋体"/>
                <w:bCs/>
                <w:szCs w:val="21"/>
              </w:rPr>
              <w:t>.2分</w:t>
            </w:r>
            <w:r>
              <w:rPr>
                <w:rFonts w:hint="eastAsia" w:ascii="宋体" w:hAnsi="宋体"/>
                <w:kern w:val="0"/>
              </w:rPr>
              <w:t>。</w:t>
            </w:r>
          </w:p>
          <w:p>
            <w:pPr>
              <w:widowControl/>
              <w:rPr>
                <w:rFonts w:ascii="宋体" w:hAnsi="宋体"/>
                <w:b/>
                <w:szCs w:val="21"/>
              </w:rPr>
            </w:pPr>
            <w:r>
              <w:rPr>
                <w:rFonts w:hint="eastAsia" w:ascii="宋体" w:hAnsi="宋体"/>
                <w:bCs/>
              </w:rPr>
              <w:t>注：（1）</w:t>
            </w:r>
            <w:r>
              <w:rPr>
                <w:rFonts w:hint="eastAsia" w:ascii="宋体" w:hAnsi="宋体"/>
                <w:szCs w:val="21"/>
              </w:rPr>
              <w:t>所提供的证明材料应能证明合同签署时间、制造商和车型和验收合格交付时间。（2）提供的用户证明应能说明用户使用车辆正常、满意，用户证明中显示用户不满意的业绩不得分。（3）</w:t>
            </w:r>
            <w:r>
              <w:rPr>
                <w:rFonts w:hint="eastAsia" w:ascii="宋体" w:hAnsi="宋体"/>
              </w:rPr>
              <w:t>销售业绩的个数以投标人在投标文件中</w:t>
            </w:r>
            <w:r>
              <w:rPr>
                <w:rFonts w:hint="eastAsia" w:ascii="宋体" w:hAnsi="宋体"/>
                <w:szCs w:val="21"/>
              </w:rPr>
              <w:t>提供的自2016年1月1日</w:t>
            </w:r>
            <w:r>
              <w:rPr>
                <w:rFonts w:hint="eastAsia" w:ascii="宋体" w:hAnsi="宋体"/>
              </w:rPr>
              <w:t>至投标截止日止</w:t>
            </w:r>
            <w:r>
              <w:rPr>
                <w:rFonts w:hint="eastAsia" w:ascii="宋体" w:hAnsi="宋体"/>
                <w:szCs w:val="21"/>
              </w:rPr>
              <w:t>（以合同的签署时间为准）以来在中国大陆（不含台港澳）民用机场成功销售业绩的数量为计算依据，提供1辆算1个，提供2辆算2个，以此类推。</w:t>
            </w:r>
          </w:p>
        </w:tc>
        <w:tc>
          <w:tcPr>
            <w:tcW w:w="850" w:type="dxa"/>
            <w:tcBorders>
              <w:bottom w:val="single" w:color="auto" w:sz="4" w:space="0"/>
            </w:tcBorders>
            <w:vAlign w:val="center"/>
          </w:tcPr>
          <w:p>
            <w:pPr>
              <w:snapToGrid w:val="0"/>
              <w:jc w:val="center"/>
              <w:rPr>
                <w:rFonts w:ascii="宋体" w:hAnsi="宋体"/>
                <w:color w:val="000000"/>
                <w:szCs w:val="21"/>
              </w:rPr>
            </w:pPr>
            <w:r>
              <w:rPr>
                <w:rFonts w:hint="eastAsia" w:ascii="宋体" w:hAnsi="宋体"/>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63" w:type="dxa"/>
            <w:vMerge w:val="restart"/>
            <w:vAlign w:val="center"/>
          </w:tcPr>
          <w:p>
            <w:pPr>
              <w:snapToGrid w:val="0"/>
              <w:jc w:val="center"/>
              <w:rPr>
                <w:rFonts w:ascii="宋体" w:hAnsi="宋体"/>
                <w:color w:val="000000"/>
                <w:szCs w:val="21"/>
              </w:rPr>
            </w:pPr>
            <w:r>
              <w:rPr>
                <w:rFonts w:hint="eastAsia" w:ascii="宋体" w:hAnsi="宋体"/>
                <w:color w:val="000000"/>
                <w:szCs w:val="21"/>
              </w:rPr>
              <w:t>2</w:t>
            </w:r>
          </w:p>
        </w:tc>
        <w:tc>
          <w:tcPr>
            <w:tcW w:w="1352" w:type="dxa"/>
            <w:vMerge w:val="restart"/>
            <w:vAlign w:val="center"/>
          </w:tcPr>
          <w:p>
            <w:pPr>
              <w:snapToGrid w:val="0"/>
              <w:rPr>
                <w:rFonts w:ascii="宋体" w:hAnsi="宋体"/>
                <w:color w:val="000000"/>
                <w:szCs w:val="21"/>
              </w:rPr>
            </w:pPr>
            <w:r>
              <w:rPr>
                <w:rFonts w:hint="eastAsia" w:ascii="宋体" w:hAnsi="宋体"/>
                <w:color w:val="000000"/>
                <w:szCs w:val="21"/>
              </w:rPr>
              <w:t>技术方案(32分)</w:t>
            </w:r>
          </w:p>
        </w:tc>
        <w:tc>
          <w:tcPr>
            <w:tcW w:w="6663" w:type="dxa"/>
            <w:tcBorders>
              <w:bottom w:val="single" w:color="auto" w:sz="4" w:space="0"/>
            </w:tcBorders>
            <w:vAlign w:val="center"/>
          </w:tcPr>
          <w:p>
            <w:pPr>
              <w:jc w:val="left"/>
              <w:rPr>
                <w:rFonts w:ascii="宋体" w:hAnsi="宋体"/>
                <w:b/>
                <w:bCs/>
                <w:szCs w:val="21"/>
              </w:rPr>
            </w:pPr>
            <w:r>
              <w:rPr>
                <w:rFonts w:hint="eastAsia" w:ascii="宋体" w:hAnsi="宋体"/>
                <w:b/>
                <w:kern w:val="0"/>
                <w:szCs w:val="21"/>
              </w:rPr>
              <w:t>投标车辆的技术参数指标</w:t>
            </w:r>
            <w:r>
              <w:rPr>
                <w:rFonts w:hint="eastAsia" w:ascii="宋体" w:hAnsi="宋体"/>
                <w:b/>
                <w:bCs/>
                <w:szCs w:val="21"/>
              </w:rPr>
              <w:t>满足招标文件的程度（9分）</w:t>
            </w:r>
          </w:p>
          <w:p>
            <w:pPr>
              <w:jc w:val="left"/>
              <w:rPr>
                <w:rFonts w:ascii="宋体" w:hAnsi="宋体"/>
                <w:szCs w:val="21"/>
              </w:rPr>
            </w:pPr>
            <w:r>
              <w:rPr>
                <w:rFonts w:hint="eastAsia" w:ascii="宋体" w:hAnsi="宋体"/>
                <w:szCs w:val="21"/>
              </w:rPr>
              <w:t>全部满足招标文件要求：得9分</w:t>
            </w:r>
          </w:p>
          <w:p>
            <w:pPr>
              <w:snapToGrid w:val="0"/>
              <w:jc w:val="left"/>
              <w:rPr>
                <w:rFonts w:ascii="宋体" w:hAnsi="宋体"/>
                <w:szCs w:val="21"/>
              </w:rPr>
            </w:pPr>
            <w:r>
              <w:rPr>
                <w:rFonts w:hint="eastAsia" w:ascii="宋体" w:hAnsi="宋体"/>
                <w:szCs w:val="21"/>
              </w:rPr>
              <w:t>不满足招标文件要求：每负偏离一项扣3分。</w:t>
            </w:r>
          </w:p>
        </w:tc>
        <w:tc>
          <w:tcPr>
            <w:tcW w:w="850" w:type="dxa"/>
            <w:tcBorders>
              <w:bottom w:val="single" w:color="auto" w:sz="4" w:space="0"/>
            </w:tcBorders>
            <w:vAlign w:val="center"/>
          </w:tcPr>
          <w:p>
            <w:pPr>
              <w:snapToGrid w:val="0"/>
              <w:jc w:val="center"/>
              <w:rPr>
                <w:rFonts w:ascii="宋体" w:hAnsi="宋体"/>
                <w:color w:val="000000"/>
                <w:szCs w:val="21"/>
              </w:rPr>
            </w:pPr>
            <w:r>
              <w:rPr>
                <w:rFonts w:hint="eastAsia" w:ascii="宋体" w:hAnsi="宋体"/>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63" w:type="dxa"/>
            <w:vMerge w:val="continue"/>
            <w:vAlign w:val="center"/>
          </w:tcPr>
          <w:p>
            <w:pPr>
              <w:snapToGrid w:val="0"/>
              <w:jc w:val="center"/>
              <w:rPr>
                <w:rFonts w:ascii="宋体" w:hAnsi="宋体"/>
                <w:color w:val="000000"/>
                <w:szCs w:val="21"/>
              </w:rPr>
            </w:pPr>
          </w:p>
        </w:tc>
        <w:tc>
          <w:tcPr>
            <w:tcW w:w="1352" w:type="dxa"/>
            <w:vMerge w:val="continue"/>
            <w:vAlign w:val="center"/>
          </w:tcPr>
          <w:p>
            <w:pPr>
              <w:snapToGrid w:val="0"/>
              <w:rPr>
                <w:rFonts w:ascii="宋体" w:hAnsi="宋体"/>
                <w:color w:val="000000"/>
                <w:szCs w:val="21"/>
              </w:rPr>
            </w:pPr>
          </w:p>
        </w:tc>
        <w:tc>
          <w:tcPr>
            <w:tcW w:w="6663" w:type="dxa"/>
            <w:tcBorders>
              <w:bottom w:val="single" w:color="auto" w:sz="4" w:space="0"/>
            </w:tcBorders>
            <w:vAlign w:val="center"/>
          </w:tcPr>
          <w:p>
            <w:pPr>
              <w:snapToGrid w:val="0"/>
              <w:jc w:val="left"/>
              <w:rPr>
                <w:rFonts w:ascii="宋体" w:hAnsi="宋体"/>
                <w:b/>
                <w:bCs/>
                <w:szCs w:val="21"/>
              </w:rPr>
            </w:pPr>
            <w:r>
              <w:rPr>
                <w:rFonts w:hint="eastAsia" w:ascii="宋体" w:hAnsi="宋体"/>
                <w:b/>
                <w:kern w:val="0"/>
                <w:szCs w:val="21"/>
              </w:rPr>
              <w:t>投标车辆的</w:t>
            </w:r>
            <w:r>
              <w:rPr>
                <w:rFonts w:ascii="宋体" w:hAnsi="宋体"/>
                <w:b/>
                <w:kern w:val="0"/>
                <w:szCs w:val="21"/>
              </w:rPr>
              <w:t>设计</w:t>
            </w:r>
            <w:r>
              <w:rPr>
                <w:rFonts w:hint="eastAsia" w:ascii="宋体" w:hAnsi="宋体"/>
                <w:b/>
                <w:kern w:val="0"/>
                <w:szCs w:val="21"/>
              </w:rPr>
              <w:t>和制造工艺情况</w:t>
            </w:r>
            <w:r>
              <w:rPr>
                <w:rFonts w:hint="eastAsia" w:ascii="宋体" w:hAnsi="宋体"/>
                <w:b/>
                <w:bCs/>
                <w:szCs w:val="21"/>
              </w:rPr>
              <w:t>（7分）</w:t>
            </w:r>
          </w:p>
          <w:p>
            <w:pPr>
              <w:snapToGrid w:val="0"/>
              <w:jc w:val="left"/>
              <w:rPr>
                <w:rFonts w:ascii="宋体" w:hAnsi="宋体"/>
                <w:kern w:val="0"/>
                <w:szCs w:val="21"/>
              </w:rPr>
            </w:pPr>
            <w:r>
              <w:rPr>
                <w:rFonts w:hint="eastAsia" w:ascii="宋体" w:hAnsi="宋体"/>
                <w:bCs/>
                <w:szCs w:val="21"/>
              </w:rPr>
              <w:t>由</w:t>
            </w:r>
            <w:r>
              <w:rPr>
                <w:rFonts w:hint="eastAsia" w:ascii="宋体" w:hAnsi="宋体"/>
                <w:szCs w:val="21"/>
              </w:rPr>
              <w:t>评标委员会根据各投标人提供的主力泡沫消防车</w:t>
            </w:r>
            <w:r>
              <w:rPr>
                <w:rFonts w:hint="eastAsia" w:ascii="宋体" w:hAnsi="宋体"/>
                <w:kern w:val="0"/>
                <w:szCs w:val="21"/>
              </w:rPr>
              <w:t>设计和制造工艺</w:t>
            </w:r>
            <w:r>
              <w:rPr>
                <w:rFonts w:hint="eastAsia" w:ascii="宋体" w:hAnsi="宋体"/>
                <w:bCs/>
                <w:szCs w:val="21"/>
              </w:rPr>
              <w:t>情况进行横向比较，</w:t>
            </w:r>
            <w:r>
              <w:rPr>
                <w:rFonts w:hint="eastAsia" w:ascii="宋体" w:hAnsi="宋体"/>
                <w:kern w:val="0"/>
                <w:szCs w:val="21"/>
              </w:rPr>
              <w:t>酌情打分</w:t>
            </w:r>
          </w:p>
          <w:p>
            <w:pPr>
              <w:snapToGrid w:val="0"/>
              <w:jc w:val="left"/>
              <w:rPr>
                <w:rFonts w:ascii="宋体" w:hAnsi="宋体"/>
                <w:color w:val="000000"/>
                <w:szCs w:val="21"/>
              </w:rPr>
            </w:pPr>
            <w:r>
              <w:rPr>
                <w:rFonts w:hint="eastAsia" w:ascii="宋体" w:hAnsi="宋体"/>
                <w:b/>
                <w:szCs w:val="21"/>
              </w:rPr>
              <w:t>注：</w:t>
            </w:r>
            <w:r>
              <w:rPr>
                <w:rFonts w:hint="eastAsia" w:ascii="宋体" w:hAnsi="宋体"/>
                <w:b/>
                <w:kern w:val="0"/>
                <w:szCs w:val="21"/>
              </w:rPr>
              <w:t>本条对</w:t>
            </w:r>
            <w:r>
              <w:rPr>
                <w:rFonts w:ascii="宋体" w:hAnsi="宋体"/>
                <w:b/>
                <w:kern w:val="0"/>
                <w:szCs w:val="21"/>
              </w:rPr>
              <w:t>投标</w:t>
            </w:r>
            <w:r>
              <w:rPr>
                <w:rFonts w:hint="eastAsia" w:ascii="宋体" w:hAnsi="宋体"/>
                <w:b/>
                <w:kern w:val="0"/>
                <w:szCs w:val="21"/>
              </w:rPr>
              <w:t>主力泡沫消防车的</w:t>
            </w:r>
            <w:r>
              <w:rPr>
                <w:rFonts w:ascii="宋体" w:hAnsi="宋体"/>
                <w:b/>
                <w:kern w:val="0"/>
                <w:szCs w:val="21"/>
              </w:rPr>
              <w:t>设计</w:t>
            </w:r>
            <w:r>
              <w:rPr>
                <w:rFonts w:hint="eastAsia" w:ascii="宋体" w:hAnsi="宋体"/>
                <w:b/>
                <w:kern w:val="0"/>
                <w:szCs w:val="21"/>
              </w:rPr>
              <w:t>和制造工艺进行技术评价的因素主要包括：</w:t>
            </w:r>
            <w:r>
              <w:rPr>
                <w:rFonts w:ascii="宋体" w:hAnsi="宋体"/>
                <w:b/>
                <w:kern w:val="0"/>
                <w:szCs w:val="21"/>
              </w:rPr>
              <w:t>车辆的整车外观、</w:t>
            </w:r>
            <w:r>
              <w:rPr>
                <w:rFonts w:hint="eastAsia" w:ascii="宋体" w:hAnsi="宋体"/>
                <w:b/>
                <w:kern w:val="0"/>
                <w:szCs w:val="21"/>
              </w:rPr>
              <w:t>车体结构和布局、使用操作和维修保养的便捷性、安全性设计、加工和安装工艺等，评标委员会将根据各投标人所提供的投标主力泡沫消防车上述内容设计的合理性、便捷性、科学性和先进性等方面进行评价。</w:t>
            </w:r>
          </w:p>
        </w:tc>
        <w:tc>
          <w:tcPr>
            <w:tcW w:w="850" w:type="dxa"/>
            <w:tcBorders>
              <w:bottom w:val="single" w:color="auto" w:sz="4" w:space="0"/>
            </w:tcBorders>
            <w:vAlign w:val="center"/>
          </w:tcPr>
          <w:p>
            <w:pPr>
              <w:snapToGrid w:val="0"/>
              <w:jc w:val="center"/>
              <w:rPr>
                <w:rFonts w:ascii="宋体" w:hAnsi="宋体"/>
                <w:color w:val="000000"/>
                <w:szCs w:val="21"/>
              </w:rPr>
            </w:pPr>
            <w:r>
              <w:rPr>
                <w:rFonts w:hint="eastAsia" w:ascii="宋体" w:hAnsi="宋体"/>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63" w:type="dxa"/>
            <w:vMerge w:val="continue"/>
            <w:vAlign w:val="center"/>
          </w:tcPr>
          <w:p>
            <w:pPr>
              <w:snapToGrid w:val="0"/>
              <w:jc w:val="center"/>
              <w:rPr>
                <w:rFonts w:ascii="宋体" w:hAnsi="宋体"/>
                <w:color w:val="000000"/>
                <w:szCs w:val="21"/>
              </w:rPr>
            </w:pPr>
          </w:p>
        </w:tc>
        <w:tc>
          <w:tcPr>
            <w:tcW w:w="1352" w:type="dxa"/>
            <w:vMerge w:val="continue"/>
            <w:vAlign w:val="center"/>
          </w:tcPr>
          <w:p>
            <w:pPr>
              <w:snapToGrid w:val="0"/>
              <w:rPr>
                <w:rFonts w:ascii="宋体" w:hAnsi="宋体"/>
                <w:color w:val="000000"/>
                <w:szCs w:val="21"/>
              </w:rPr>
            </w:pPr>
          </w:p>
        </w:tc>
        <w:tc>
          <w:tcPr>
            <w:tcW w:w="6663" w:type="dxa"/>
            <w:tcBorders>
              <w:bottom w:val="single" w:color="auto" w:sz="4" w:space="0"/>
            </w:tcBorders>
            <w:vAlign w:val="center"/>
          </w:tcPr>
          <w:p>
            <w:pPr>
              <w:widowControl/>
              <w:rPr>
                <w:rFonts w:ascii="宋体" w:hAnsi="宋体"/>
                <w:szCs w:val="21"/>
              </w:rPr>
            </w:pPr>
            <w:r>
              <w:rPr>
                <w:rFonts w:hint="eastAsia" w:ascii="宋体" w:hAnsi="宋体"/>
                <w:b/>
                <w:kern w:val="0"/>
                <w:szCs w:val="21"/>
              </w:rPr>
              <w:t>投标车辆主要部件和材料情况</w:t>
            </w:r>
            <w:r>
              <w:rPr>
                <w:rFonts w:hint="eastAsia" w:ascii="宋体" w:hAnsi="宋体"/>
                <w:b/>
                <w:bCs/>
                <w:szCs w:val="21"/>
              </w:rPr>
              <w:t>（8分）</w:t>
            </w:r>
          </w:p>
          <w:p>
            <w:pPr>
              <w:widowControl/>
              <w:rPr>
                <w:rFonts w:ascii="宋体" w:hAnsi="宋体"/>
                <w:kern w:val="0"/>
                <w:szCs w:val="21"/>
              </w:rPr>
            </w:pPr>
            <w:r>
              <w:rPr>
                <w:rFonts w:hint="eastAsia" w:ascii="宋体" w:hAnsi="宋体"/>
                <w:bCs/>
                <w:szCs w:val="21"/>
              </w:rPr>
              <w:t>由</w:t>
            </w:r>
            <w:r>
              <w:rPr>
                <w:rFonts w:hint="eastAsia" w:ascii="宋体" w:hAnsi="宋体"/>
                <w:kern w:val="0"/>
                <w:szCs w:val="21"/>
              </w:rPr>
              <w:t>评标委员会根据各投标人提供的投标消防车主要部件和材料情况，横向比较，酌情打分</w:t>
            </w:r>
          </w:p>
          <w:p>
            <w:pPr>
              <w:widowControl/>
              <w:rPr>
                <w:rFonts w:ascii="宋体" w:hAnsi="宋体"/>
                <w:b/>
                <w:kern w:val="0"/>
                <w:szCs w:val="21"/>
              </w:rPr>
            </w:pPr>
            <w:r>
              <w:rPr>
                <w:rFonts w:hint="eastAsia" w:ascii="宋体" w:hAnsi="宋体"/>
                <w:b/>
                <w:kern w:val="0"/>
                <w:szCs w:val="21"/>
              </w:rPr>
              <w:t>注：本条对</w:t>
            </w:r>
            <w:r>
              <w:rPr>
                <w:rFonts w:ascii="宋体" w:hAnsi="宋体"/>
                <w:b/>
                <w:kern w:val="0"/>
                <w:szCs w:val="21"/>
              </w:rPr>
              <w:t>投标</w:t>
            </w:r>
            <w:r>
              <w:rPr>
                <w:rFonts w:hint="eastAsia" w:ascii="宋体" w:hAnsi="宋体"/>
                <w:b/>
                <w:kern w:val="0"/>
                <w:szCs w:val="21"/>
              </w:rPr>
              <w:t>主力泡沫消防车的主要</w:t>
            </w:r>
            <w:r>
              <w:rPr>
                <w:rFonts w:ascii="宋体" w:hAnsi="宋体"/>
                <w:b/>
                <w:kern w:val="0"/>
                <w:szCs w:val="21"/>
              </w:rPr>
              <w:t>部件和材料</w:t>
            </w:r>
            <w:r>
              <w:rPr>
                <w:rFonts w:hint="eastAsia" w:ascii="宋体" w:hAnsi="宋体"/>
                <w:b/>
                <w:kern w:val="0"/>
                <w:szCs w:val="21"/>
              </w:rPr>
              <w:t>进行技术评价的因素主要包括：车架大梁，车体材料，发动机，变速箱，底盘，消防炮，消防泵，</w:t>
            </w:r>
            <w:r>
              <w:rPr>
                <w:rFonts w:ascii="宋体" w:hAnsi="宋体"/>
                <w:b/>
                <w:kern w:val="0"/>
                <w:szCs w:val="21"/>
              </w:rPr>
              <w:t>水罐和泡沫罐</w:t>
            </w:r>
            <w:r>
              <w:rPr>
                <w:rFonts w:hint="eastAsia" w:ascii="宋体" w:hAnsi="宋体"/>
                <w:b/>
                <w:kern w:val="0"/>
                <w:szCs w:val="21"/>
              </w:rPr>
              <w:t>，车体附属设施（蓄电池、空调系统、发电机、轮胎、各仪表指示系统），</w:t>
            </w:r>
            <w:r>
              <w:rPr>
                <w:rFonts w:ascii="宋体" w:hAnsi="宋体"/>
                <w:b/>
                <w:kern w:val="0"/>
                <w:szCs w:val="21"/>
              </w:rPr>
              <w:t>管路、阀门和连接头</w:t>
            </w:r>
            <w:r>
              <w:rPr>
                <w:rFonts w:hint="eastAsia" w:ascii="宋体" w:hAnsi="宋体"/>
                <w:b/>
                <w:kern w:val="0"/>
                <w:szCs w:val="21"/>
              </w:rPr>
              <w:t>，</w:t>
            </w:r>
            <w:r>
              <w:rPr>
                <w:rFonts w:ascii="宋体" w:hAnsi="宋体"/>
                <w:b/>
                <w:kern w:val="0"/>
                <w:szCs w:val="21"/>
              </w:rPr>
              <w:t>专用照明设备</w:t>
            </w:r>
            <w:r>
              <w:rPr>
                <w:rFonts w:hint="eastAsia" w:ascii="宋体" w:hAnsi="宋体"/>
                <w:b/>
                <w:kern w:val="0"/>
                <w:szCs w:val="21"/>
              </w:rPr>
              <w:t>等。</w:t>
            </w:r>
          </w:p>
        </w:tc>
        <w:tc>
          <w:tcPr>
            <w:tcW w:w="850" w:type="dxa"/>
            <w:tcBorders>
              <w:bottom w:val="single" w:color="auto" w:sz="4" w:space="0"/>
            </w:tcBorders>
            <w:vAlign w:val="center"/>
          </w:tcPr>
          <w:p>
            <w:pPr>
              <w:snapToGrid w:val="0"/>
              <w:jc w:val="center"/>
              <w:rPr>
                <w:rFonts w:ascii="宋体" w:hAnsi="宋体"/>
                <w:color w:val="000000"/>
                <w:szCs w:val="21"/>
              </w:rPr>
            </w:pPr>
            <w:r>
              <w:rPr>
                <w:rFonts w:hint="eastAsia" w:ascii="宋体" w:hAnsi="宋体"/>
                <w:color w:val="00000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63" w:type="dxa"/>
            <w:vMerge w:val="continue"/>
            <w:vAlign w:val="center"/>
          </w:tcPr>
          <w:p>
            <w:pPr>
              <w:snapToGrid w:val="0"/>
              <w:jc w:val="center"/>
              <w:rPr>
                <w:rFonts w:ascii="宋体" w:hAnsi="宋体"/>
                <w:color w:val="000000"/>
                <w:szCs w:val="21"/>
              </w:rPr>
            </w:pPr>
          </w:p>
        </w:tc>
        <w:tc>
          <w:tcPr>
            <w:tcW w:w="1352" w:type="dxa"/>
            <w:vMerge w:val="continue"/>
            <w:vAlign w:val="center"/>
          </w:tcPr>
          <w:p>
            <w:pPr>
              <w:snapToGrid w:val="0"/>
              <w:rPr>
                <w:rFonts w:ascii="宋体" w:hAnsi="宋体"/>
                <w:color w:val="000000"/>
                <w:szCs w:val="21"/>
              </w:rPr>
            </w:pPr>
          </w:p>
        </w:tc>
        <w:tc>
          <w:tcPr>
            <w:tcW w:w="6663" w:type="dxa"/>
            <w:tcBorders>
              <w:bottom w:val="single" w:color="auto" w:sz="4" w:space="0"/>
            </w:tcBorders>
            <w:vAlign w:val="center"/>
          </w:tcPr>
          <w:p>
            <w:pPr>
              <w:widowControl/>
              <w:snapToGrid w:val="0"/>
              <w:jc w:val="left"/>
              <w:rPr>
                <w:rFonts w:ascii="宋体" w:hAnsi="宋体"/>
                <w:b/>
                <w:bCs/>
                <w:szCs w:val="21"/>
              </w:rPr>
            </w:pPr>
            <w:r>
              <w:rPr>
                <w:rFonts w:hint="eastAsia" w:ascii="宋体" w:hAnsi="宋体"/>
                <w:b/>
                <w:kern w:val="0"/>
                <w:szCs w:val="21"/>
              </w:rPr>
              <w:t>主力泡沫消防车功能配置和性能优化的优</w:t>
            </w:r>
            <w:r>
              <w:rPr>
                <w:rFonts w:hint="eastAsia" w:ascii="宋体" w:hAnsi="宋体"/>
                <w:b/>
                <w:bCs/>
                <w:szCs w:val="21"/>
              </w:rPr>
              <w:t>于招标文件的程度（8分）</w:t>
            </w:r>
          </w:p>
          <w:p>
            <w:pPr>
              <w:widowControl/>
              <w:snapToGrid w:val="0"/>
              <w:jc w:val="left"/>
              <w:rPr>
                <w:rFonts w:ascii="宋体" w:hAnsi="宋体"/>
                <w:kern w:val="0"/>
                <w:szCs w:val="21"/>
              </w:rPr>
            </w:pPr>
            <w:r>
              <w:rPr>
                <w:rFonts w:hint="eastAsia" w:ascii="宋体" w:hAnsi="宋体"/>
                <w:bCs/>
                <w:szCs w:val="21"/>
              </w:rPr>
              <w:t>由</w:t>
            </w:r>
            <w:r>
              <w:rPr>
                <w:rFonts w:hint="eastAsia" w:ascii="宋体" w:hAnsi="宋体"/>
                <w:kern w:val="0"/>
                <w:szCs w:val="21"/>
              </w:rPr>
              <w:t>评标委员会根据各投标人的主力泡沫消防车</w:t>
            </w:r>
            <w:r>
              <w:rPr>
                <w:rFonts w:hint="eastAsia" w:ascii="宋体" w:hAnsi="宋体"/>
                <w:spacing w:val="8"/>
                <w:szCs w:val="21"/>
              </w:rPr>
              <w:t>功能</w:t>
            </w:r>
            <w:r>
              <w:rPr>
                <w:rFonts w:hint="eastAsia" w:ascii="宋体" w:hAnsi="宋体"/>
                <w:kern w:val="0"/>
                <w:szCs w:val="21"/>
              </w:rPr>
              <w:t>配置</w:t>
            </w:r>
            <w:r>
              <w:rPr>
                <w:rFonts w:hint="eastAsia" w:ascii="宋体" w:hAnsi="宋体"/>
                <w:spacing w:val="8"/>
                <w:szCs w:val="21"/>
              </w:rPr>
              <w:t>和性能</w:t>
            </w:r>
            <w:r>
              <w:rPr>
                <w:rFonts w:hint="eastAsia" w:ascii="宋体" w:hAnsi="宋体"/>
                <w:kern w:val="0"/>
                <w:szCs w:val="21"/>
              </w:rPr>
              <w:t>优化的程度酌情打分</w:t>
            </w:r>
          </w:p>
          <w:p>
            <w:pPr>
              <w:widowControl/>
              <w:snapToGrid w:val="0"/>
              <w:jc w:val="left"/>
              <w:rPr>
                <w:rFonts w:ascii="宋体" w:hAnsi="宋体"/>
                <w:b/>
                <w:kern w:val="0"/>
                <w:szCs w:val="21"/>
              </w:rPr>
            </w:pPr>
            <w:r>
              <w:rPr>
                <w:rFonts w:hint="eastAsia" w:ascii="宋体" w:hAnsi="宋体"/>
                <w:b/>
                <w:kern w:val="0"/>
                <w:szCs w:val="21"/>
              </w:rPr>
              <w:t>注：本条对</w:t>
            </w:r>
            <w:r>
              <w:rPr>
                <w:rFonts w:ascii="宋体" w:hAnsi="宋体"/>
                <w:b/>
                <w:kern w:val="0"/>
                <w:szCs w:val="21"/>
              </w:rPr>
              <w:t>投标</w:t>
            </w:r>
            <w:r>
              <w:rPr>
                <w:rFonts w:hint="eastAsia" w:ascii="宋体" w:hAnsi="宋体"/>
                <w:b/>
                <w:kern w:val="0"/>
                <w:szCs w:val="21"/>
              </w:rPr>
              <w:t>主力泡沫消防车的功能和性能进行技术评价的因素主要包括：加速性能，越野性能，灵活性，稳定性，最高车速，制动性能，灭火剂喷射射程，灭火剂喷射流量，灭火剂装载量，消防泵流量及车辆使用和维护成本等。</w:t>
            </w:r>
          </w:p>
        </w:tc>
        <w:tc>
          <w:tcPr>
            <w:tcW w:w="850" w:type="dxa"/>
            <w:tcBorders>
              <w:bottom w:val="single" w:color="auto" w:sz="4" w:space="0"/>
            </w:tcBorders>
            <w:vAlign w:val="center"/>
          </w:tcPr>
          <w:p>
            <w:pPr>
              <w:snapToGrid w:val="0"/>
              <w:jc w:val="center"/>
              <w:rPr>
                <w:rFonts w:ascii="宋体" w:hAnsi="宋体"/>
                <w:color w:val="000000"/>
                <w:szCs w:val="21"/>
              </w:rPr>
            </w:pPr>
            <w:r>
              <w:rPr>
                <w:rFonts w:hint="eastAsia" w:ascii="宋体" w:hAnsi="宋体"/>
                <w:color w:val="00000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1" w:hRule="atLeast"/>
        </w:trPr>
        <w:tc>
          <w:tcPr>
            <w:tcW w:w="663" w:type="dxa"/>
            <w:vAlign w:val="center"/>
          </w:tcPr>
          <w:p>
            <w:pPr>
              <w:snapToGrid w:val="0"/>
              <w:jc w:val="center"/>
              <w:rPr>
                <w:rFonts w:ascii="宋体" w:hAnsi="宋体"/>
                <w:color w:val="000000"/>
                <w:szCs w:val="21"/>
              </w:rPr>
            </w:pPr>
            <w:r>
              <w:rPr>
                <w:rFonts w:hint="eastAsia" w:ascii="宋体" w:hAnsi="宋体"/>
                <w:color w:val="000000"/>
                <w:szCs w:val="21"/>
              </w:rPr>
              <w:t>3</w:t>
            </w:r>
          </w:p>
        </w:tc>
        <w:tc>
          <w:tcPr>
            <w:tcW w:w="8015" w:type="dxa"/>
            <w:gridSpan w:val="2"/>
            <w:vAlign w:val="center"/>
          </w:tcPr>
          <w:p>
            <w:pPr>
              <w:snapToGrid w:val="0"/>
              <w:jc w:val="left"/>
              <w:rPr>
                <w:rFonts w:ascii="宋体" w:hAnsi="宋体"/>
                <w:color w:val="000000"/>
                <w:szCs w:val="21"/>
              </w:rPr>
            </w:pPr>
            <w:r>
              <w:rPr>
                <w:rFonts w:hint="eastAsia" w:ascii="宋体" w:hAnsi="宋体"/>
                <w:b/>
                <w:bCs/>
              </w:rPr>
              <w:t>售后服务方案和保证措施</w:t>
            </w:r>
            <w:r>
              <w:rPr>
                <w:rFonts w:hint="eastAsia" w:ascii="宋体" w:hAnsi="宋体"/>
                <w:color w:val="000000"/>
                <w:szCs w:val="21"/>
              </w:rPr>
              <w:t>（3分）</w:t>
            </w:r>
          </w:p>
          <w:p>
            <w:pPr>
              <w:snapToGrid w:val="0"/>
              <w:jc w:val="left"/>
              <w:rPr>
                <w:rFonts w:ascii="仿宋_GB2312" w:eastAsia="仿宋_GB2312"/>
                <w:b/>
              </w:rPr>
            </w:pPr>
            <w:r>
              <w:rPr>
                <w:rFonts w:hint="eastAsia" w:ascii="宋体" w:hAnsi="宋体"/>
                <w:color w:val="000000"/>
                <w:szCs w:val="21"/>
              </w:rPr>
              <w:t>根据投标文件的质保期承诺、售后服务情况酌情打分</w:t>
            </w:r>
          </w:p>
        </w:tc>
        <w:tc>
          <w:tcPr>
            <w:tcW w:w="850" w:type="dxa"/>
            <w:vAlign w:val="center"/>
          </w:tcPr>
          <w:p>
            <w:pPr>
              <w:snapToGrid w:val="0"/>
              <w:jc w:val="center"/>
              <w:rPr>
                <w:rFonts w:ascii="宋体" w:hAnsi="宋体"/>
                <w:color w:val="000000"/>
                <w:szCs w:val="21"/>
              </w:rPr>
            </w:pPr>
            <w:r>
              <w:rPr>
                <w:rFonts w:hint="eastAsia" w:ascii="宋体" w:hAnsi="宋体"/>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1" w:hRule="atLeast"/>
        </w:trPr>
        <w:tc>
          <w:tcPr>
            <w:tcW w:w="663" w:type="dxa"/>
            <w:vAlign w:val="center"/>
          </w:tcPr>
          <w:p>
            <w:pPr>
              <w:snapToGrid w:val="0"/>
              <w:jc w:val="center"/>
              <w:rPr>
                <w:rFonts w:ascii="宋体" w:hAnsi="宋体"/>
                <w:color w:val="000000"/>
                <w:szCs w:val="21"/>
              </w:rPr>
            </w:pPr>
            <w:r>
              <w:rPr>
                <w:rFonts w:hint="eastAsia" w:ascii="宋体" w:hAnsi="宋体"/>
                <w:color w:val="000000"/>
                <w:szCs w:val="21"/>
              </w:rPr>
              <w:t>4</w:t>
            </w:r>
          </w:p>
        </w:tc>
        <w:tc>
          <w:tcPr>
            <w:tcW w:w="8015" w:type="dxa"/>
            <w:gridSpan w:val="2"/>
            <w:vAlign w:val="center"/>
          </w:tcPr>
          <w:p>
            <w:pPr>
              <w:snapToGrid w:val="0"/>
              <w:jc w:val="left"/>
              <w:rPr>
                <w:rFonts w:ascii="宋体" w:hAnsi="宋体"/>
                <w:color w:val="000000"/>
                <w:szCs w:val="21"/>
              </w:rPr>
            </w:pPr>
            <w:r>
              <w:rPr>
                <w:rFonts w:hint="eastAsia" w:ascii="宋体" w:hAnsi="宋体"/>
                <w:b/>
                <w:bCs/>
              </w:rPr>
              <w:t>技术培训</w:t>
            </w:r>
            <w:r>
              <w:rPr>
                <w:rFonts w:hint="eastAsia" w:ascii="宋体" w:hAnsi="宋体"/>
                <w:color w:val="000000"/>
                <w:szCs w:val="21"/>
              </w:rPr>
              <w:t>（1分）</w:t>
            </w:r>
          </w:p>
          <w:p>
            <w:pPr>
              <w:snapToGrid w:val="0"/>
              <w:jc w:val="left"/>
              <w:rPr>
                <w:rFonts w:ascii="宋体" w:hAnsi="宋体"/>
                <w:color w:val="000000"/>
                <w:szCs w:val="21"/>
              </w:rPr>
            </w:pPr>
            <w:r>
              <w:rPr>
                <w:rFonts w:hint="eastAsia" w:ascii="宋体" w:hAnsi="宋体"/>
                <w:color w:val="000000"/>
                <w:szCs w:val="21"/>
              </w:rPr>
              <w:t>根据投标文件的技术培训情况酌情打分</w:t>
            </w:r>
          </w:p>
        </w:tc>
        <w:tc>
          <w:tcPr>
            <w:tcW w:w="850" w:type="dxa"/>
            <w:vAlign w:val="center"/>
          </w:tcPr>
          <w:p>
            <w:pPr>
              <w:snapToGrid w:val="0"/>
              <w:jc w:val="center"/>
              <w:rPr>
                <w:rFonts w:ascii="宋体" w:hAnsi="宋体"/>
                <w:color w:val="000000"/>
                <w:szCs w:val="21"/>
              </w:rPr>
            </w:pPr>
            <w:r>
              <w:rPr>
                <w:rFonts w:hint="eastAsia" w:ascii="宋体" w:hAnsi="宋体"/>
                <w:color w:val="000000"/>
                <w:szCs w:val="21"/>
              </w:rPr>
              <w:t>1</w:t>
            </w:r>
          </w:p>
        </w:tc>
      </w:tr>
    </w:tbl>
    <w:p>
      <w:pPr>
        <w:pStyle w:val="31"/>
        <w:spacing w:line="360" w:lineRule="exact"/>
        <w:rPr>
          <w:rFonts w:hAnsi="宋体" w:cs="Calibri"/>
          <w:b/>
          <w:sz w:val="22"/>
          <w:szCs w:val="22"/>
        </w:rPr>
      </w:pPr>
      <w:r>
        <w:rPr>
          <w:rFonts w:hAnsi="宋体" w:cs="Calibri"/>
          <w:b/>
          <w:sz w:val="22"/>
          <w:szCs w:val="22"/>
        </w:rPr>
        <w:t>3.4推荐中标候选人</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3.4.1当有效投标文件大于等于二名时，评标委员会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3.4.3当有效投标文件只有一名时，则由评标委员会确定是否推荐为中标候选人。</w:t>
      </w:r>
    </w:p>
    <w:p>
      <w:pPr>
        <w:pStyle w:val="31"/>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31"/>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31"/>
        <w:adjustRightInd w:val="0"/>
        <w:snapToGrid w:val="0"/>
        <w:spacing w:line="360" w:lineRule="exact"/>
        <w:ind w:firstLine="442" w:firstLineChars="200"/>
        <w:rPr>
          <w:rFonts w:hAnsi="宋体" w:cs="Calibri"/>
          <w:b/>
          <w:sz w:val="22"/>
          <w:szCs w:val="22"/>
        </w:rPr>
      </w:pPr>
      <w:r>
        <w:rPr>
          <w:rFonts w:hint="eastAsia" w:hAnsi="宋体" w:cs="Calibri"/>
          <w:b/>
          <w:sz w:val="22"/>
          <w:szCs w:val="22"/>
        </w:rPr>
        <w:t>4.4招标人对评标、定标结果不负责解释。</w:t>
      </w:r>
    </w:p>
    <w:p>
      <w:pPr>
        <w:widowControl/>
        <w:jc w:val="left"/>
        <w:rPr>
          <w:rFonts w:ascii="Cambria" w:hAnsi="Cambria" w:eastAsia="黑体"/>
          <w:b/>
          <w:bCs/>
          <w:kern w:val="0"/>
          <w:sz w:val="32"/>
          <w:szCs w:val="32"/>
        </w:rPr>
      </w:pPr>
      <w:r>
        <w:br w:type="page"/>
      </w:r>
    </w:p>
    <w:p>
      <w:pPr>
        <w:pStyle w:val="51"/>
      </w:pPr>
      <w:bookmarkStart w:id="91" w:name="_Toc321925457"/>
      <w:r>
        <w:t>第</w:t>
      </w:r>
      <w:r>
        <w:rPr>
          <w:rFonts w:hint="eastAsia"/>
        </w:rPr>
        <w:t>六</w:t>
      </w:r>
      <w:r>
        <w:t>章  投标文件格式</w:t>
      </w:r>
      <w:bookmarkEnd w:id="90"/>
      <w:bookmarkEnd w:id="91"/>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二、</w:t>
      </w:r>
      <w:r>
        <w:rPr>
          <w:rFonts w:ascii="宋体" w:hAnsi="宋体" w:cs="Calibri"/>
          <w:color w:val="000000"/>
          <w:sz w:val="22"/>
        </w:rPr>
        <w:t>法定代表人资格证明书；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三、</w:t>
      </w:r>
      <w:r>
        <w:rPr>
          <w:rFonts w:ascii="宋体" w:hAnsi="宋体" w:cs="Calibri"/>
          <w:color w:val="000000"/>
          <w:sz w:val="22"/>
        </w:rPr>
        <w:t>授权委托书</w:t>
      </w:r>
      <w:r>
        <w:rPr>
          <w:rFonts w:hint="eastAsia" w:ascii="宋体" w:hAnsi="宋体" w:cs="Calibri"/>
          <w:color w:val="000000"/>
          <w:sz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ascii="宋体" w:hAnsi="宋体" w:cs="Calibri"/>
          <w:color w:val="000000"/>
          <w:sz w:val="22"/>
        </w:rPr>
        <w:t>；</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四、</w:t>
      </w:r>
      <w:r>
        <w:rPr>
          <w:rFonts w:ascii="宋体" w:hAnsi="宋体" w:cs="Calibri"/>
          <w:color w:val="000000"/>
          <w:sz w:val="22"/>
        </w:rPr>
        <w:t>投标报价表；</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五、</w:t>
      </w:r>
      <w:r>
        <w:rPr>
          <w:rFonts w:ascii="宋体" w:hAnsi="宋体" w:cs="Calibri"/>
          <w:sz w:val="22"/>
        </w:rPr>
        <w:t>投标人资格证明文件：</w:t>
      </w:r>
    </w:p>
    <w:p>
      <w:pPr>
        <w:adjustRightInd w:val="0"/>
        <w:snapToGrid w:val="0"/>
        <w:spacing w:line="400" w:lineRule="exact"/>
        <w:ind w:firstLine="440" w:firstLineChars="20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400" w:lineRule="exact"/>
        <w:ind w:firstLine="440" w:firstLineChars="20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400" w:lineRule="exact"/>
        <w:ind w:firstLine="440" w:firstLineChars="20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400" w:lineRule="exact"/>
        <w:ind w:firstLine="440" w:firstLineChars="20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投标产品近三年（2016年1月1日至开标日）的销售业绩一览表（附业绩的合同）。</w:t>
      </w:r>
    </w:p>
    <w:p>
      <w:pPr>
        <w:adjustRightInd w:val="0"/>
        <w:snapToGrid w:val="0"/>
        <w:spacing w:line="400" w:lineRule="exact"/>
        <w:ind w:firstLine="440" w:firstLineChars="200"/>
        <w:rPr>
          <w:rFonts w:ascii="宋体" w:hAnsi="宋体" w:cs="宋体"/>
          <w:sz w:val="22"/>
        </w:rPr>
      </w:pPr>
      <w:r>
        <w:rPr>
          <w:rFonts w:hint="eastAsia" w:ascii="宋体" w:hAnsi="宋体" w:cs="Calibri"/>
          <w:sz w:val="22"/>
        </w:rPr>
        <w:t>六、</w:t>
      </w:r>
      <w:r>
        <w:rPr>
          <w:rFonts w:hint="eastAsia" w:ascii="宋体" w:hAnsi="宋体" w:cs="宋体"/>
          <w:sz w:val="22"/>
        </w:rPr>
        <w:t>技术规格偏离表；</w:t>
      </w:r>
    </w:p>
    <w:p>
      <w:pPr>
        <w:adjustRightInd w:val="0"/>
        <w:snapToGrid w:val="0"/>
        <w:spacing w:line="400" w:lineRule="exact"/>
        <w:ind w:firstLine="440" w:firstLineChars="200"/>
        <w:rPr>
          <w:rFonts w:ascii="宋体" w:hAnsi="宋体" w:cs="Calibri"/>
          <w:sz w:val="22"/>
        </w:rPr>
      </w:pPr>
      <w:r>
        <w:rPr>
          <w:rFonts w:hint="eastAsia" w:ascii="宋体" w:hAnsi="宋体" w:cs="宋体"/>
          <w:sz w:val="22"/>
        </w:rPr>
        <w:t>七、商务条款响应偏离表；</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八、系统设备供货范围（包括设备数量、型号规格、产地、品牌），进口零部件详细清单（需说明产地、品牌）；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九、技术参数、结构及性能特点等产品技术规格书（按第三章相关条款要求填写）；</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十、主要原材料及部件性能和生产厂家；</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十一、产品制造、安装、验收标准和验收方法；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十二、现场指导、调试；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十三、</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十四、提供详细的培训计划，包括培训内容、培训时间、培训人数等；</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十五、关于质量保证期的说明；</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十六、优惠条件：投标人承诺给予用户的其他优惠条款，包括付款条件、培训服务、质量保证期等方面的优惠；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十七、</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92" w:name="_Toc171421958"/>
      <w:r>
        <w:rPr>
          <w:rFonts w:cs="Calibri"/>
          <w:color w:val="000000"/>
        </w:rPr>
        <w:t>封面</w:t>
      </w:r>
      <w:bookmarkEnd w:id="92"/>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hint="eastAsia" w:eastAsia="黑体" w:cs="Calibri"/>
          <w:b/>
          <w:sz w:val="44"/>
          <w:szCs w:val="44"/>
        </w:rPr>
        <w:t>采购</w:t>
      </w:r>
      <w:r>
        <w:rPr>
          <w:rFonts w:eastAsia="黑体" w:cs="Calibri"/>
          <w:b/>
          <w:sz w:val="44"/>
          <w:szCs w:val="44"/>
        </w:rPr>
        <w:t>项目</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并按合</w:t>
      </w:r>
      <w:r>
        <w:rPr>
          <w:rFonts w:hint="eastAsia" w:ascii="宋体" w:hAnsi="宋体" w:cs="宋体"/>
          <w:spacing w:val="-2"/>
          <w:kern w:val="0"/>
          <w:sz w:val="22"/>
        </w:rPr>
        <w:t>同</w:t>
      </w:r>
      <w:r>
        <w:rPr>
          <w:rFonts w:hint="eastAsia" w:ascii="宋体" w:hAnsi="宋体" w:cs="宋体"/>
          <w:kern w:val="0"/>
          <w:sz w:val="22"/>
        </w:rPr>
        <w:t>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ascii="宋体" w:hAnsi="宋体" w:cs="宋体"/>
          <w:sz w:val="22"/>
        </w:rPr>
        <w:t>投标品牌</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与</w:t>
      </w:r>
      <w:r>
        <w:rPr>
          <w:rFonts w:hint="eastAsia" w:ascii="宋体" w:hAnsi="宋体" w:cs="宋体"/>
          <w:kern w:val="0"/>
          <w:sz w:val="22"/>
        </w:rPr>
        <w:t>你</w:t>
      </w:r>
      <w:r>
        <w:rPr>
          <w:rFonts w:hint="eastAsia" w:ascii="宋体" w:hAnsi="宋体" w:cs="宋体"/>
          <w:spacing w:val="-2"/>
          <w:kern w:val="0"/>
          <w:sz w:val="22"/>
        </w:rPr>
        <w:t>方</w:t>
      </w:r>
      <w:r>
        <w:rPr>
          <w:rFonts w:hint="eastAsia" w:ascii="宋体" w:hAnsi="宋体" w:cs="宋体"/>
          <w:kern w:val="0"/>
          <w:sz w:val="22"/>
        </w:rPr>
        <w:t>签</w:t>
      </w:r>
      <w:r>
        <w:rPr>
          <w:rFonts w:hint="eastAsia" w:ascii="宋体" w:hAnsi="宋体" w:cs="宋体"/>
          <w:spacing w:val="-2"/>
          <w:kern w:val="0"/>
          <w:sz w:val="22"/>
        </w:rPr>
        <w:t>订</w:t>
      </w:r>
      <w:r>
        <w:rPr>
          <w:rFonts w:hint="eastAsia" w:ascii="宋体" w:hAnsi="宋体" w:cs="宋体"/>
          <w:kern w:val="0"/>
          <w:sz w:val="22"/>
        </w:rPr>
        <w:t>合</w:t>
      </w:r>
      <w:r>
        <w:rPr>
          <w:rFonts w:hint="eastAsia" w:ascii="宋体" w:hAnsi="宋体" w:cs="宋体"/>
          <w:spacing w:val="-2"/>
          <w:kern w:val="0"/>
          <w:sz w:val="22"/>
        </w:rPr>
        <w:t>同</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签</w:t>
      </w:r>
      <w:r>
        <w:rPr>
          <w:rFonts w:hint="eastAsia" w:ascii="宋体" w:hAnsi="宋体" w:cs="宋体"/>
          <w:kern w:val="0"/>
          <w:sz w:val="22"/>
        </w:rPr>
        <w:t>订</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时</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约</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期</w:t>
      </w:r>
      <w:r>
        <w:rPr>
          <w:rFonts w:hint="eastAsia" w:ascii="宋体" w:hAnsi="宋体" w:cs="宋体"/>
          <w:spacing w:val="-2"/>
          <w:kern w:val="0"/>
          <w:sz w:val="22"/>
        </w:rPr>
        <w:t>限内</w:t>
      </w:r>
      <w:r>
        <w:rPr>
          <w:rFonts w:hint="eastAsia" w:ascii="宋体" w:hAnsi="宋体" w:cs="宋体"/>
          <w:kern w:val="0"/>
          <w:sz w:val="22"/>
        </w:rPr>
        <w:t>完成</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firstLine="4526" w:firstLineChars="1219"/>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adjustRightInd w:val="0"/>
        <w:snapToGrid w:val="0"/>
        <w:jc w:val="center"/>
        <w:rPr>
          <w:rFonts w:eastAsia="黑体" w:cs="Calibri"/>
          <w:color w:val="000000"/>
          <w:sz w:val="32"/>
          <w:szCs w:val="32"/>
        </w:rPr>
      </w:pP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w:pict>
          <v:shape id="Text Box 6" o:spid="_x0000_s1026" o:spt="202" type="#_x0000_t202" style="position:absolute;left:0pt;margin-left:0pt;margin-top:63.25pt;height:171.6pt;width:423pt;mso-wrap-distance-bottom:0pt;mso-wrap-distance-left:9pt;mso-wrap-distance-right:9pt;mso-wrap-distance-top:0pt;z-index:251657216;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w:pict>
          <v:shape id="Text Box 7" o:spid="_x0000_s1027" o:spt="202" type="#_x0000_t202" style="position:absolute;left:0pt;margin-left:9.15pt;margin-top:20.8pt;height:171.6pt;width:423pt;mso-wrap-distance-bottom:0pt;mso-wrap-distance-left:9pt;mso-wrap-distance-right:9pt;mso-wrap-distance-top:0pt;z-index:251658240;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31"/>
        <w:spacing w:after="120" w:afterLines="50" w:line="360" w:lineRule="auto"/>
        <w:jc w:val="left"/>
        <w:rPr>
          <w:rFonts w:hAnsi="宋体" w:cs="宋体"/>
          <w:b/>
        </w:rPr>
      </w:pPr>
      <w:r>
        <w:rPr>
          <w:rFonts w:hAnsi="宋体" w:cs="宋体"/>
          <w:b/>
        </w:rPr>
        <w:br w:type="page"/>
      </w:r>
      <w:bookmarkStart w:id="93" w:name="_Toc133470542"/>
      <w:bookmarkStart w:id="94" w:name="_Toc133214102"/>
      <w:bookmarkStart w:id="95" w:name="_Toc144265958"/>
      <w:bookmarkStart w:id="96" w:name="_Toc133214309"/>
      <w:bookmarkStart w:id="97" w:name="_Toc137373398"/>
    </w:p>
    <w:p>
      <w:pPr>
        <w:pStyle w:val="31"/>
        <w:spacing w:after="120" w:afterLines="50" w:line="360" w:lineRule="auto"/>
        <w:jc w:val="left"/>
        <w:rPr>
          <w:rFonts w:hAnsi="宋体" w:cs="宋体"/>
          <w:sz w:val="22"/>
          <w:szCs w:val="22"/>
        </w:rPr>
      </w:pPr>
    </w:p>
    <w:p>
      <w:pPr>
        <w:spacing w:line="440" w:lineRule="exact"/>
        <w:jc w:val="center"/>
        <w:rPr>
          <w:rFonts w:eastAsia="黑体" w:cs="Calibri"/>
          <w:color w:val="000000"/>
          <w:sz w:val="32"/>
          <w:szCs w:val="32"/>
        </w:rPr>
      </w:pPr>
      <w:r>
        <w:rPr>
          <w:rFonts w:hint="eastAsia" w:eastAsia="黑体" w:cs="Calibri"/>
          <w:color w:val="000000"/>
          <w:sz w:val="32"/>
          <w:szCs w:val="32"/>
        </w:rPr>
        <w:t>四、投标报价表</w:t>
      </w:r>
    </w:p>
    <w:p>
      <w:pPr>
        <w:pStyle w:val="31"/>
        <w:spacing w:after="120" w:afterLines="50" w:line="360" w:lineRule="auto"/>
        <w:jc w:val="center"/>
        <w:rPr>
          <w:rFonts w:hAnsi="宋体" w:cs="宋体"/>
        </w:rPr>
      </w:pPr>
    </w:p>
    <w:p>
      <w:pPr>
        <w:pStyle w:val="31"/>
        <w:numPr>
          <w:ilvl w:val="1"/>
          <w:numId w:val="9"/>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本总则上列各条中提及的“投标人”在合同执行过程中应作为“卖方”解释。</w:t>
      </w:r>
    </w:p>
    <w:p>
      <w:pPr>
        <w:pStyle w:val="31"/>
        <w:numPr>
          <w:ilvl w:val="1"/>
          <w:numId w:val="9"/>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bookmarkEnd w:id="93"/>
    <w:bookmarkEnd w:id="94"/>
    <w:bookmarkEnd w:id="95"/>
    <w:bookmarkEnd w:id="96"/>
    <w:bookmarkEnd w:id="97"/>
    <w:p>
      <w:pPr>
        <w:snapToGrid w:val="0"/>
        <w:spacing w:before="120" w:beforeLines="50" w:line="360" w:lineRule="exact"/>
        <w:ind w:left="1134"/>
        <w:rPr>
          <w:rFonts w:ascii="宋体" w:hAnsi="宋体" w:cs="宋体"/>
          <w:sz w:val="22"/>
        </w:rPr>
      </w:pPr>
      <w:r>
        <w:rPr>
          <w:rFonts w:hint="eastAsia" w:ascii="宋体" w:hAnsi="宋体" w:cs="宋体"/>
          <w:sz w:val="22"/>
        </w:rPr>
        <w:t>(1)投标报价汇总表</w:t>
      </w:r>
    </w:p>
    <w:p>
      <w:pPr>
        <w:snapToGrid w:val="0"/>
        <w:spacing w:before="120" w:beforeLines="50" w:line="360" w:lineRule="exact"/>
        <w:ind w:left="1134"/>
        <w:rPr>
          <w:rFonts w:ascii="宋体" w:hAnsi="宋体" w:cs="宋体"/>
          <w:sz w:val="22"/>
        </w:rPr>
      </w:pPr>
      <w:r>
        <w:rPr>
          <w:rFonts w:hint="eastAsia" w:ascii="宋体" w:hAnsi="宋体" w:cs="宋体"/>
          <w:sz w:val="22"/>
        </w:rPr>
        <w:t>(2)设备费分项报价表</w:t>
      </w:r>
    </w:p>
    <w:p>
      <w:pPr>
        <w:snapToGrid w:val="0"/>
        <w:spacing w:before="120" w:beforeLines="50" w:line="360" w:lineRule="exact"/>
        <w:ind w:left="1134"/>
        <w:rPr>
          <w:rFonts w:ascii="宋体" w:hAnsi="宋体" w:cs="宋体"/>
          <w:sz w:val="22"/>
        </w:rPr>
      </w:pPr>
      <w:r>
        <w:rPr>
          <w:rFonts w:hint="eastAsia" w:ascii="宋体" w:hAnsi="宋体" w:cs="宋体"/>
          <w:sz w:val="22"/>
        </w:rPr>
        <w:t>(3)随机配件和专用工具分项报价表</w:t>
      </w:r>
    </w:p>
    <w:p>
      <w:pPr>
        <w:snapToGrid w:val="0"/>
        <w:spacing w:before="120" w:beforeLines="50" w:line="360" w:lineRule="exact"/>
        <w:ind w:left="1134"/>
        <w:rPr>
          <w:rFonts w:ascii="宋体" w:hAnsi="宋体" w:cs="宋体"/>
          <w:sz w:val="22"/>
        </w:rPr>
      </w:pPr>
      <w:r>
        <w:rPr>
          <w:rFonts w:hint="eastAsia" w:ascii="宋体" w:hAnsi="宋体" w:cs="宋体"/>
          <w:sz w:val="22"/>
        </w:rPr>
        <w:t>(4)备品备件分项报价表（不计入总价）</w:t>
      </w:r>
    </w:p>
    <w:p>
      <w:pPr>
        <w:snapToGrid w:val="0"/>
        <w:spacing w:before="120" w:beforeLines="50" w:line="360" w:lineRule="exact"/>
        <w:ind w:left="1134"/>
        <w:rPr>
          <w:rFonts w:ascii="宋体" w:hAnsi="宋体" w:cs="宋体"/>
          <w:sz w:val="22"/>
        </w:rPr>
      </w:pP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4.1 投标报价汇总表</w:t>
      </w:r>
    </w:p>
    <w:p>
      <w:pPr>
        <w:spacing w:line="360" w:lineRule="auto"/>
        <w:rPr>
          <w:rFonts w:ascii="宋体" w:hAnsi="宋体" w:cs="宋体"/>
        </w:rPr>
      </w:pPr>
    </w:p>
    <w:p>
      <w:pPr>
        <w:spacing w:line="360" w:lineRule="auto"/>
        <w:jc w:val="right"/>
        <w:rPr>
          <w:rFonts w:ascii="宋体" w:hAnsi="宋体" w:cs="宋体"/>
          <w:sz w:val="22"/>
        </w:rPr>
      </w:pPr>
      <w:r>
        <w:rPr>
          <w:rFonts w:hint="eastAsia" w:ascii="宋体" w:hAnsi="宋体" w:cs="宋体"/>
          <w:sz w:val="22"/>
        </w:rPr>
        <w:t>[货币单位：人民币元]</w:t>
      </w:r>
    </w:p>
    <w:tbl>
      <w:tblPr>
        <w:tblStyle w:val="58"/>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设备费(表4.2)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2</w:t>
            </w:r>
          </w:p>
        </w:tc>
        <w:tc>
          <w:tcPr>
            <w:tcW w:w="2976" w:type="dxa"/>
            <w:vAlign w:val="center"/>
          </w:tcPr>
          <w:p>
            <w:pPr>
              <w:snapToGrid w:val="0"/>
              <w:jc w:val="center"/>
              <w:rPr>
                <w:rFonts w:ascii="宋体" w:hAnsi="宋体" w:cs="宋体"/>
                <w:sz w:val="22"/>
              </w:rPr>
            </w:pPr>
            <w:r>
              <w:rPr>
                <w:rFonts w:hint="eastAsia" w:ascii="宋体" w:hAnsi="宋体" w:cs="宋体"/>
                <w:sz w:val="22"/>
              </w:rPr>
              <w:t>随机配件和专用工具(表4.3)</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3</w:t>
            </w:r>
          </w:p>
        </w:tc>
        <w:tc>
          <w:tcPr>
            <w:tcW w:w="2976" w:type="dxa"/>
            <w:vAlign w:val="center"/>
          </w:tcPr>
          <w:p>
            <w:pPr>
              <w:snapToGrid w:val="0"/>
              <w:jc w:val="center"/>
              <w:rPr>
                <w:rFonts w:ascii="宋体" w:hAnsi="宋体" w:cs="宋体"/>
                <w:sz w:val="22"/>
              </w:rPr>
            </w:pPr>
            <w:r>
              <w:rPr>
                <w:rFonts w:hint="eastAsia" w:ascii="宋体" w:hAnsi="宋体" w:cs="宋体"/>
                <w:sz w:val="22"/>
              </w:rPr>
              <w:t>其他附加服务费用</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spacing w:line="360" w:lineRule="auto"/>
        <w:jc w:val="right"/>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r>
        <w:rPr>
          <w:rFonts w:hint="eastAsia" w:ascii="宋体" w:hAnsi="宋体" w:cs="宋体"/>
          <w:sz w:val="22"/>
        </w:rPr>
        <w:t>注：</w:t>
      </w:r>
    </w:p>
    <w:p>
      <w:pPr>
        <w:numPr>
          <w:ilvl w:val="2"/>
          <w:numId w:val="11"/>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此表的“总计”系所有需招标人支付的投标金额总数即投标总价，投标总价中已包含投标人完成本招标项目的一切费用包括税费。</w:t>
      </w:r>
    </w:p>
    <w:p>
      <w:pPr>
        <w:numPr>
          <w:ilvl w:val="2"/>
          <w:numId w:val="11"/>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此表为表4.2、表4.3的汇总表。</w:t>
      </w:r>
    </w:p>
    <w:p>
      <w:pPr>
        <w:snapToGrid w:val="0"/>
        <w:spacing w:line="360" w:lineRule="auto"/>
        <w:rPr>
          <w:rFonts w:ascii="宋体" w:hAnsi="宋体" w:cs="宋体"/>
          <w:sz w:val="22"/>
        </w:rPr>
      </w:pPr>
    </w:p>
    <w:p>
      <w:pPr>
        <w:spacing w:before="120" w:beforeLines="50" w:line="360" w:lineRule="auto"/>
        <w:ind w:firstLine="3960"/>
        <w:rPr>
          <w:rFonts w:ascii="宋体" w:hAnsi="宋体" w:cs="宋体"/>
        </w:rPr>
      </w:pPr>
      <w:bookmarkStart w:id="98" w:name="_Toc133470544"/>
      <w:bookmarkStart w:id="99" w:name="_Toc133214103"/>
      <w:bookmarkStart w:id="100" w:name="_Toc137373399"/>
      <w:bookmarkStart w:id="101" w:name="_Toc133214310"/>
    </w:p>
    <w:p>
      <w:pPr>
        <w:spacing w:line="360" w:lineRule="auto"/>
        <w:jc w:val="center"/>
        <w:rPr>
          <w:rFonts w:ascii="宋体" w:hAnsi="宋体" w:cs="宋体"/>
          <w:b/>
          <w:sz w:val="32"/>
          <w:szCs w:val="32"/>
        </w:rPr>
      </w:pPr>
      <w:bookmarkStart w:id="102" w:name="_Toc144265959"/>
      <w:r>
        <w:rPr>
          <w:rFonts w:hint="eastAsia" w:ascii="宋体" w:hAnsi="宋体" w:cs="宋体"/>
          <w:b/>
          <w:sz w:val="32"/>
          <w:szCs w:val="32"/>
        </w:rPr>
        <w:br w:type="page"/>
      </w:r>
    </w:p>
    <w:bookmarkEnd w:id="98"/>
    <w:bookmarkEnd w:id="99"/>
    <w:bookmarkEnd w:id="100"/>
    <w:bookmarkEnd w:id="101"/>
    <w:bookmarkEnd w:id="102"/>
    <w:p>
      <w:pPr>
        <w:snapToGrid w:val="0"/>
        <w:spacing w:line="360" w:lineRule="auto"/>
        <w:jc w:val="center"/>
        <w:rPr>
          <w:rFonts w:ascii="宋体" w:hAnsi="宋体" w:cs="宋体"/>
          <w:b/>
          <w:sz w:val="32"/>
          <w:szCs w:val="32"/>
        </w:rPr>
      </w:pPr>
      <w:r>
        <w:rPr>
          <w:rFonts w:hint="eastAsia" w:ascii="宋体" w:hAnsi="宋体" w:cs="宋体"/>
          <w:b/>
          <w:sz w:val="32"/>
          <w:szCs w:val="32"/>
        </w:rPr>
        <w:t>4.2设备费分项报价表</w:t>
      </w:r>
    </w:p>
    <w:p>
      <w:pPr>
        <w:spacing w:line="360" w:lineRule="auto"/>
        <w:rPr>
          <w:rFonts w:ascii="宋体" w:hAnsi="宋体" w:cs="宋体"/>
          <w:bCs/>
          <w:sz w:val="22"/>
        </w:rPr>
      </w:pPr>
    </w:p>
    <w:tbl>
      <w:tblPr>
        <w:tblStyle w:val="58"/>
        <w:tblW w:w="940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23"/>
        <w:gridCol w:w="1134"/>
        <w:gridCol w:w="1032"/>
        <w:gridCol w:w="755"/>
        <w:gridCol w:w="637"/>
        <w:gridCol w:w="578"/>
        <w:gridCol w:w="1533"/>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2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3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3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单价（不含税）</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合价（不含税）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vMerge w:val="continue"/>
            <w:shd w:val="clear" w:color="auto" w:fill="auto"/>
            <w:vAlign w:val="center"/>
          </w:tcPr>
          <w:p>
            <w:pPr>
              <w:widowControl/>
              <w:jc w:val="left"/>
              <w:rPr>
                <w:rFonts w:ascii="宋体" w:hAnsi="宋体" w:cs="宋体"/>
                <w:b/>
                <w:bCs/>
                <w:kern w:val="0"/>
                <w:sz w:val="20"/>
              </w:rPr>
            </w:pPr>
          </w:p>
        </w:tc>
        <w:tc>
          <w:tcPr>
            <w:tcW w:w="1523" w:type="dxa"/>
            <w:vMerge w:val="continue"/>
            <w:shd w:val="clear" w:color="auto" w:fill="auto"/>
            <w:vAlign w:val="center"/>
          </w:tcPr>
          <w:p>
            <w:pPr>
              <w:widowControl/>
              <w:jc w:val="left"/>
              <w:rPr>
                <w:rFonts w:ascii="宋体" w:hAnsi="宋体" w:cs="宋体"/>
                <w:b/>
                <w:bCs/>
                <w:kern w:val="0"/>
                <w:sz w:val="20"/>
              </w:rPr>
            </w:pPr>
          </w:p>
        </w:tc>
        <w:tc>
          <w:tcPr>
            <w:tcW w:w="1134" w:type="dxa"/>
            <w:vMerge w:val="continue"/>
            <w:shd w:val="clear" w:color="auto" w:fill="auto"/>
            <w:vAlign w:val="center"/>
          </w:tcPr>
          <w:p>
            <w:pPr>
              <w:widowControl/>
              <w:jc w:val="left"/>
              <w:rPr>
                <w:rFonts w:ascii="宋体" w:hAnsi="宋体" w:cs="宋体"/>
                <w:b/>
                <w:bCs/>
                <w:kern w:val="0"/>
                <w:sz w:val="20"/>
              </w:rPr>
            </w:pPr>
          </w:p>
        </w:tc>
        <w:tc>
          <w:tcPr>
            <w:tcW w:w="1032"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center"/>
              <w:rPr>
                <w:rFonts w:ascii="宋体" w:hAnsi="宋体" w:cs="宋体"/>
                <w:b/>
                <w:bCs/>
                <w:kern w:val="0"/>
                <w:sz w:val="20"/>
              </w:rPr>
            </w:pPr>
          </w:p>
        </w:tc>
        <w:tc>
          <w:tcPr>
            <w:tcW w:w="1032" w:type="dxa"/>
            <w:shd w:val="clear" w:color="000000" w:fill="FFFFFF"/>
            <w:vAlign w:val="center"/>
          </w:tcPr>
          <w:p>
            <w:pPr>
              <w:widowControl/>
              <w:jc w:val="center"/>
              <w:rPr>
                <w:rFonts w:ascii="宋体" w:hAnsi="宋体" w:cs="宋体"/>
                <w:b/>
                <w:bCs/>
                <w:kern w:val="0"/>
                <w:sz w:val="20"/>
              </w:rPr>
            </w:pPr>
          </w:p>
        </w:tc>
        <w:tc>
          <w:tcPr>
            <w:tcW w:w="755" w:type="dxa"/>
            <w:shd w:val="clear" w:color="000000" w:fill="FFFFFF"/>
            <w:vAlign w:val="center"/>
          </w:tcPr>
          <w:p>
            <w:pPr>
              <w:widowControl/>
              <w:rPr>
                <w:rFonts w:ascii="宋体" w:hAnsi="宋体" w:cs="宋体"/>
                <w:b/>
                <w:bCs/>
                <w:kern w:val="0"/>
                <w:sz w:val="20"/>
              </w:rPr>
            </w:pPr>
          </w:p>
        </w:tc>
        <w:tc>
          <w:tcPr>
            <w:tcW w:w="637" w:type="dxa"/>
            <w:shd w:val="clear" w:color="000000" w:fill="FFFFFF"/>
            <w:vAlign w:val="center"/>
          </w:tcPr>
          <w:p>
            <w:pPr>
              <w:widowControl/>
              <w:rPr>
                <w:rFonts w:ascii="宋体" w:hAnsi="宋体" w:cs="宋体"/>
                <w:b/>
                <w:bCs/>
                <w:kern w:val="0"/>
                <w:sz w:val="20"/>
              </w:rPr>
            </w:pPr>
          </w:p>
        </w:tc>
        <w:tc>
          <w:tcPr>
            <w:tcW w:w="578" w:type="dxa"/>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计（不含税）</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合计（含税）</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12"/>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综合单价包括但不限于产品生产、包装、运至指定地点的运输、装卸、保险、安装、调试及各种税费及所有第三章要求的伴随服务等招标文件规定的全部相关费用。</w:t>
      </w: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4.3随机配件和专用工具分项报价表</w:t>
      </w:r>
    </w:p>
    <w:tbl>
      <w:tblPr>
        <w:tblStyle w:val="58"/>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w:t>
            </w:r>
          </w:p>
        </w:tc>
        <w:tc>
          <w:tcPr>
            <w:tcW w:w="1134" w:type="dxa"/>
            <w:vAlign w:val="center"/>
          </w:tcPr>
          <w:p>
            <w:pPr>
              <w:widowControl/>
              <w:jc w:val="center"/>
              <w:rPr>
                <w:rFonts w:ascii="宋体" w:hAnsi="宋体" w:cs="宋体"/>
                <w:kern w:val="0"/>
                <w:sz w:val="20"/>
              </w:rPr>
            </w:pPr>
            <w:r>
              <w:rPr>
                <w:rFonts w:hint="eastAsia" w:ascii="宋体" w:hAnsi="宋体" w:cs="宋体"/>
                <w:kern w:val="0"/>
                <w:sz w:val="20"/>
              </w:rPr>
              <w:t>　　</w:t>
            </w:r>
          </w:p>
        </w:tc>
        <w:tc>
          <w:tcPr>
            <w:tcW w:w="567" w:type="dxa"/>
            <w:vAlign w:val="center"/>
          </w:tcPr>
          <w:p>
            <w:pPr>
              <w:widowControl/>
              <w:jc w:val="center"/>
              <w:rPr>
                <w:rFonts w:ascii="宋体" w:hAnsi="宋体" w:cs="宋体"/>
                <w:kern w:val="0"/>
                <w:sz w:val="20"/>
              </w:rPr>
            </w:pPr>
            <w:r>
              <w:rPr>
                <w:rFonts w:hint="eastAsia" w:ascii="宋体" w:hAnsi="宋体" w:cs="宋体"/>
                <w:kern w:val="0"/>
                <w:sz w:val="20"/>
              </w:rPr>
              <w:t>　</w:t>
            </w:r>
          </w:p>
        </w:tc>
      </w:tr>
    </w:tbl>
    <w:p>
      <w:pPr>
        <w:spacing w:line="360" w:lineRule="auto"/>
        <w:rPr>
          <w:rFonts w:ascii="宋体" w:hAnsi="宋体"/>
          <w:sz w:val="22"/>
        </w:rPr>
      </w:pPr>
      <w:r>
        <w:rPr>
          <w:rFonts w:hint="eastAsia" w:ascii="宋体" w:hAnsi="宋体" w:cs="宋体"/>
          <w:sz w:val="22"/>
        </w:rPr>
        <w:t>注：根据第三章要求</w:t>
      </w:r>
      <w:r>
        <w:rPr>
          <w:rFonts w:hint="eastAsia" w:ascii="宋体" w:hAnsi="宋体"/>
          <w:sz w:val="22"/>
        </w:rPr>
        <w:t>自行填报。</w:t>
      </w:r>
    </w:p>
    <w:p>
      <w:pPr>
        <w:spacing w:line="360" w:lineRule="auto"/>
        <w:rPr>
          <w:rFonts w:ascii="宋体" w:hAnsi="宋体"/>
          <w:sz w:val="22"/>
        </w:rPr>
      </w:pPr>
      <w:r>
        <w:rPr>
          <w:rFonts w:ascii="宋体" w:hAnsi="宋体"/>
          <w:sz w:val="22"/>
        </w:rPr>
        <w:br w:type="page"/>
      </w:r>
    </w:p>
    <w:p>
      <w:pPr>
        <w:spacing w:line="360" w:lineRule="auto"/>
        <w:jc w:val="center"/>
        <w:rPr>
          <w:rFonts w:ascii="宋体" w:hAnsi="宋体" w:cs="宋体"/>
          <w:b/>
          <w:sz w:val="32"/>
          <w:szCs w:val="32"/>
        </w:rPr>
      </w:pPr>
      <w:r>
        <w:rPr>
          <w:rFonts w:hint="eastAsia" w:ascii="宋体" w:hAnsi="宋体" w:cs="宋体"/>
          <w:b/>
          <w:sz w:val="32"/>
          <w:szCs w:val="32"/>
        </w:rPr>
        <w:t>4.4备品备件分项报价表</w:t>
      </w:r>
    </w:p>
    <w:tbl>
      <w:tblPr>
        <w:tblStyle w:val="58"/>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w:t>
            </w:r>
          </w:p>
        </w:tc>
        <w:tc>
          <w:tcPr>
            <w:tcW w:w="1134" w:type="dxa"/>
            <w:vAlign w:val="center"/>
          </w:tcPr>
          <w:p>
            <w:pPr>
              <w:widowControl/>
              <w:jc w:val="center"/>
              <w:rPr>
                <w:rFonts w:ascii="宋体" w:hAnsi="宋体" w:cs="宋体"/>
                <w:kern w:val="0"/>
                <w:sz w:val="20"/>
              </w:rPr>
            </w:pPr>
            <w:r>
              <w:rPr>
                <w:rFonts w:hint="eastAsia" w:ascii="宋体" w:hAnsi="宋体" w:cs="宋体"/>
                <w:kern w:val="0"/>
                <w:sz w:val="20"/>
              </w:rPr>
              <w:t>　　</w:t>
            </w:r>
          </w:p>
        </w:tc>
        <w:tc>
          <w:tcPr>
            <w:tcW w:w="567" w:type="dxa"/>
            <w:vAlign w:val="center"/>
          </w:tcPr>
          <w:p>
            <w:pPr>
              <w:widowControl/>
              <w:jc w:val="center"/>
              <w:rPr>
                <w:rFonts w:ascii="宋体" w:hAnsi="宋体" w:cs="宋体"/>
                <w:kern w:val="0"/>
                <w:sz w:val="20"/>
              </w:rPr>
            </w:pPr>
            <w:r>
              <w:rPr>
                <w:rFonts w:hint="eastAsia" w:ascii="宋体" w:hAnsi="宋体" w:cs="宋体"/>
                <w:kern w:val="0"/>
                <w:sz w:val="20"/>
              </w:rPr>
              <w:t>　</w:t>
            </w: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jc w:val="center"/>
        <w:rPr>
          <w:rFonts w:ascii="宋体" w:hAnsi="宋体" w:cs="宋体"/>
          <w:sz w:val="22"/>
        </w:rPr>
      </w:pPr>
      <w:r>
        <w:rPr>
          <w:rFonts w:ascii="宋体" w:hAnsi="宋体"/>
          <w:sz w:val="22"/>
        </w:rPr>
        <w:br w:type="page"/>
      </w:r>
    </w:p>
    <w:p>
      <w:pPr>
        <w:spacing w:line="440" w:lineRule="exact"/>
        <w:jc w:val="center"/>
        <w:rPr>
          <w:rFonts w:ascii="宋体" w:hAnsi="宋体" w:cs="Arial"/>
          <w:b/>
          <w:sz w:val="22"/>
        </w:rPr>
      </w:pPr>
    </w:p>
    <w:p>
      <w:pPr>
        <w:spacing w:line="440" w:lineRule="exact"/>
        <w:jc w:val="center"/>
        <w:rPr>
          <w:rFonts w:eastAsia="黑体" w:cs="Calibri"/>
          <w:color w:val="000000"/>
          <w:sz w:val="32"/>
          <w:szCs w:val="32"/>
        </w:rPr>
      </w:pPr>
      <w:r>
        <w:rPr>
          <w:rFonts w:hint="eastAsia" w:eastAsia="黑体" w:cs="Calibri"/>
          <w:color w:val="000000"/>
          <w:sz w:val="32"/>
          <w:szCs w:val="32"/>
        </w:rPr>
        <w:t>五、</w:t>
      </w:r>
      <w:r>
        <w:rPr>
          <w:rFonts w:eastAsia="黑体" w:cs="Calibri"/>
          <w:color w:val="000000"/>
          <w:sz w:val="32"/>
          <w:szCs w:val="32"/>
        </w:rPr>
        <w:t>投标人资格证明文件</w:t>
      </w:r>
    </w:p>
    <w:p>
      <w:pPr>
        <w:overflowPunct w:val="0"/>
        <w:autoSpaceDE w:val="0"/>
        <w:autoSpaceDN w:val="0"/>
        <w:spacing w:line="440" w:lineRule="exact"/>
        <w:ind w:left="839" w:hanging="839"/>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（一）投标人一般情况</w:t>
      </w:r>
    </w:p>
    <w:tbl>
      <w:tblPr>
        <w:tblStyle w:val="58"/>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企业名称</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主管部门</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经济类型</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法定代表人</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单位简历</w:t>
            </w:r>
          </w:p>
        </w:tc>
        <w:tc>
          <w:tcPr>
            <w:tcW w:w="7643" w:type="dxa"/>
            <w:gridSpan w:val="10"/>
            <w:vAlign w:val="center"/>
          </w:tcPr>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单位优势</w:t>
            </w:r>
          </w:p>
          <w:p>
            <w:pPr>
              <w:snapToGrid w:val="0"/>
              <w:ind w:left="-170" w:right="-170"/>
              <w:jc w:val="center"/>
              <w:rPr>
                <w:rFonts w:ascii="宋体" w:hAnsi="宋体" w:cs="宋体"/>
                <w:sz w:val="22"/>
              </w:rPr>
            </w:pPr>
            <w:r>
              <w:rPr>
                <w:rFonts w:hint="eastAsia" w:ascii="宋体" w:hAnsi="宋体" w:cs="宋体"/>
                <w:sz w:val="22"/>
              </w:rPr>
              <w:t>及 特 长</w:t>
            </w:r>
          </w:p>
        </w:tc>
        <w:tc>
          <w:tcPr>
            <w:tcW w:w="7643" w:type="dxa"/>
            <w:gridSpan w:val="10"/>
            <w:vAlign w:val="center"/>
          </w:tcPr>
          <w:p>
            <w:pPr>
              <w:pStyle w:val="39"/>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cs="宋体"/>
                <w:sz w:val="22"/>
              </w:rPr>
            </w:pPr>
            <w:r>
              <w:rPr>
                <w:rFonts w:hint="eastAsia" w:ascii="宋体" w:hAnsi="宋体" w:cs="宋体"/>
                <w:sz w:val="22"/>
              </w:rPr>
              <w:t>单 位 概 况</w:t>
            </w: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职工总人数</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工程技术人员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生产工人</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销售人员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固定</w:t>
            </w:r>
          </w:p>
          <w:p>
            <w:pPr>
              <w:snapToGrid w:val="0"/>
              <w:ind w:left="-170" w:right="-170"/>
              <w:jc w:val="center"/>
              <w:rPr>
                <w:rFonts w:ascii="宋体" w:hAnsi="宋体" w:cs="宋体"/>
                <w:sz w:val="22"/>
              </w:rPr>
            </w:pPr>
            <w:r>
              <w:rPr>
                <w:rFonts w:hint="eastAsia" w:ascii="宋体" w:hAnsi="宋体" w:cs="宋体"/>
                <w:sz w:val="22"/>
              </w:rPr>
              <w:t>资产</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性质</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非生产性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流动</w:t>
            </w:r>
          </w:p>
          <w:p>
            <w:pPr>
              <w:snapToGrid w:val="0"/>
              <w:ind w:left="-170" w:right="-170"/>
              <w:jc w:val="center"/>
              <w:rPr>
                <w:rFonts w:ascii="宋体" w:hAnsi="宋体" w:cs="宋体"/>
                <w:sz w:val="22"/>
              </w:rPr>
            </w:pPr>
            <w:r>
              <w:rPr>
                <w:rFonts w:hint="eastAsia" w:ascii="宋体" w:hAnsi="宋体" w:cs="宋体"/>
                <w:sz w:val="22"/>
              </w:rPr>
              <w:t>资金</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来源</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自有资金</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银行贷款</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经营</w:t>
            </w:r>
          </w:p>
          <w:p>
            <w:pPr>
              <w:snapToGrid w:val="0"/>
              <w:ind w:left="-170" w:right="-170"/>
              <w:jc w:val="center"/>
              <w:rPr>
                <w:rFonts w:ascii="宋体" w:hAnsi="宋体" w:cs="宋体"/>
                <w:sz w:val="22"/>
              </w:rPr>
            </w:pPr>
            <w:r>
              <w:rPr>
                <w:rFonts w:hint="eastAsia" w:ascii="宋体" w:hAnsi="宋体" w:cs="宋体"/>
                <w:sz w:val="22"/>
              </w:rPr>
              <w:t>范围</w:t>
            </w:r>
          </w:p>
        </w:tc>
        <w:tc>
          <w:tcPr>
            <w:tcW w:w="7643" w:type="dxa"/>
            <w:gridSpan w:val="10"/>
            <w:vAlign w:val="center"/>
          </w:tcPr>
          <w:p>
            <w:pPr>
              <w:snapToGrid w:val="0"/>
              <w:ind w:left="-170" w:right="-170"/>
              <w:jc w:val="center"/>
              <w:rPr>
                <w:rFonts w:ascii="宋体" w:hAnsi="宋体" w:cs="宋体"/>
                <w:sz w:val="22"/>
              </w:rPr>
            </w:pPr>
          </w:p>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cs="宋体"/>
                <w:sz w:val="22"/>
              </w:rPr>
            </w:pPr>
            <w:r>
              <w:rPr>
                <w:rFonts w:hint="eastAsia" w:ascii="宋体" w:hAnsi="宋体" w:cs="宋体"/>
                <w:sz w:val="22"/>
              </w:rPr>
              <w:t>经 济</w:t>
            </w:r>
          </w:p>
          <w:p>
            <w:pPr>
              <w:snapToGrid w:val="0"/>
              <w:ind w:left="-170" w:right="-170"/>
              <w:jc w:val="center"/>
              <w:rPr>
                <w:rFonts w:ascii="宋体" w:hAnsi="宋体" w:cs="宋体"/>
                <w:sz w:val="22"/>
              </w:rPr>
            </w:pPr>
            <w:r>
              <w:rPr>
                <w:rFonts w:hint="eastAsia" w:ascii="宋体" w:hAnsi="宋体" w:cs="宋体"/>
                <w:sz w:val="22"/>
              </w:rPr>
              <w:t>指 标</w:t>
            </w:r>
          </w:p>
        </w:tc>
        <w:tc>
          <w:tcPr>
            <w:tcW w:w="1553" w:type="dxa"/>
            <w:gridSpan w:val="2"/>
            <w:vAlign w:val="center"/>
          </w:tcPr>
          <w:p>
            <w:pPr>
              <w:snapToGrid w:val="0"/>
              <w:ind w:left="-170" w:right="-170"/>
              <w:jc w:val="center"/>
              <w:rPr>
                <w:rFonts w:ascii="宋体" w:hAnsi="宋体" w:cs="宋体"/>
                <w:sz w:val="22"/>
              </w:rPr>
            </w:pPr>
            <w:r>
              <w:rPr>
                <w:rFonts w:hint="eastAsia" w:ascii="宋体" w:hAnsi="宋体" w:cs="宋体"/>
                <w:sz w:val="22"/>
              </w:rPr>
              <w:t>年份</w:t>
            </w:r>
          </w:p>
        </w:tc>
        <w:tc>
          <w:tcPr>
            <w:tcW w:w="6090" w:type="dxa"/>
            <w:gridSpan w:val="8"/>
            <w:vAlign w:val="center"/>
          </w:tcPr>
          <w:p>
            <w:pPr>
              <w:snapToGrid w:val="0"/>
              <w:ind w:left="-170" w:right="-17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cs="宋体"/>
                <w:sz w:val="22"/>
              </w:rPr>
            </w:pPr>
          </w:p>
        </w:tc>
      </w:tr>
    </w:tbl>
    <w:p>
      <w:pPr>
        <w:overflowPunct w:val="0"/>
        <w:autoSpaceDE w:val="0"/>
        <w:autoSpaceDN w:val="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spacing w:line="360" w:lineRule="auto"/>
        <w:jc w:val="center"/>
        <w:rPr>
          <w:rFonts w:ascii="宋体" w:hAnsi="宋体" w:cs="宋体"/>
          <w:b/>
          <w:sz w:val="32"/>
          <w:szCs w:val="32"/>
        </w:rPr>
      </w:pPr>
      <w:r>
        <w:rPr>
          <w:rFonts w:ascii="宋体" w:hAnsi="宋体" w:cs="Calibri"/>
          <w:sz w:val="22"/>
        </w:rPr>
        <w:br w:type="page"/>
      </w:r>
      <w:r>
        <w:rPr>
          <w:rFonts w:hint="eastAsia" w:ascii="宋体" w:hAnsi="宋体" w:cs="宋体"/>
          <w:b/>
          <w:sz w:val="32"/>
          <w:szCs w:val="32"/>
        </w:rPr>
        <w:t>（二）制造商资格声明</w:t>
      </w:r>
    </w:p>
    <w:p>
      <w:pPr>
        <w:numPr>
          <w:ilvl w:val="0"/>
          <w:numId w:val="13"/>
        </w:numPr>
        <w:adjustRightInd w:val="0"/>
        <w:spacing w:before="120" w:beforeLines="50" w:line="360" w:lineRule="auto"/>
        <w:textAlignment w:val="baseline"/>
        <w:rPr>
          <w:rFonts w:ascii="宋体" w:hAnsi="宋体" w:cs="宋体"/>
          <w:sz w:val="22"/>
        </w:rPr>
      </w:pPr>
      <w:r>
        <w:rPr>
          <w:rFonts w:hint="eastAsia" w:ascii="宋体" w:hAnsi="宋体" w:cs="宋体"/>
          <w:sz w:val="22"/>
        </w:rPr>
        <w:t>名称及概况：</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1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15"/>
        </w:numPr>
        <w:adjustRightInd w:val="0"/>
        <w:spacing w:line="360" w:lineRule="auto"/>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15"/>
        </w:numPr>
        <w:adjustRightInd w:val="0"/>
        <w:spacing w:line="360" w:lineRule="auto"/>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15"/>
        </w:numPr>
        <w:adjustRightInd w:val="0"/>
        <w:spacing w:line="360" w:lineRule="auto"/>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15"/>
        </w:numPr>
        <w:adjustRightInd w:val="0"/>
        <w:spacing w:line="360" w:lineRule="auto"/>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15"/>
        </w:numPr>
        <w:adjustRightInd w:val="0"/>
        <w:spacing w:line="360" w:lineRule="auto"/>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16"/>
        </w:numPr>
        <w:adjustRightInd w:val="0"/>
        <w:spacing w:line="360" w:lineRule="auto"/>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16"/>
        </w:numPr>
        <w:adjustRightInd w:val="0"/>
        <w:spacing w:line="360" w:lineRule="auto"/>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rPr>
          <w:rFonts w:ascii="宋体" w:hAnsi="宋体" w:cs="宋体"/>
          <w:sz w:val="22"/>
        </w:rPr>
      </w:pPr>
      <w:r>
        <w:rPr>
          <w:rFonts w:hint="eastAsia" w:ascii="宋体" w:hAnsi="宋体" w:cs="宋体"/>
          <w:sz w:val="22"/>
          <w:u w:val="single"/>
        </w:rPr>
        <w:t xml:space="preserve">                                                        </w:t>
      </w:r>
    </w:p>
    <w:p>
      <w:pPr>
        <w:numPr>
          <w:ilvl w:val="0"/>
          <w:numId w:val="9"/>
        </w:numPr>
        <w:adjustRightInd w:val="0"/>
        <w:spacing w:line="360" w:lineRule="auto"/>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360"/>
        <w:rPr>
          <w:rFonts w:ascii="宋体" w:hAnsi="宋体" w:cs="宋体"/>
          <w:sz w:val="22"/>
        </w:rPr>
      </w:pPr>
      <w:r>
        <w:rPr>
          <w:rFonts w:hint="eastAsia" w:ascii="宋体" w:hAnsi="宋体" w:cs="宋体"/>
          <w:sz w:val="22"/>
        </w:rPr>
        <w:t>工厂名称地址       生产的项目       年生产能力       职工人数</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7"/>
        </w:numPr>
        <w:tabs>
          <w:tab w:val="left" w:pos="780"/>
          <w:tab w:val="clear" w:pos="840"/>
        </w:tabs>
        <w:adjustRightInd w:val="0"/>
        <w:spacing w:line="360" w:lineRule="auto"/>
        <w:ind w:left="780" w:hanging="36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360"/>
        <w:rPr>
          <w:rFonts w:ascii="宋体" w:hAnsi="宋体" w:cs="宋体"/>
          <w:sz w:val="22"/>
        </w:rPr>
      </w:pPr>
      <w:r>
        <w:rPr>
          <w:rFonts w:hint="eastAsia" w:ascii="宋体" w:hAnsi="宋体" w:cs="宋体"/>
          <w:sz w:val="22"/>
        </w:rPr>
        <w:t>制造商名称和地址               主要零部件名称</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ind w:right="443" w:rightChars="211"/>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360"/>
        <w:rPr>
          <w:rFonts w:ascii="宋体" w:hAnsi="宋体" w:cs="宋体"/>
          <w:sz w:val="22"/>
        </w:rPr>
      </w:pPr>
      <w:r>
        <w:rPr>
          <w:rFonts w:hint="eastAsia" w:ascii="宋体" w:hAnsi="宋体" w:cs="宋体"/>
          <w:sz w:val="22"/>
          <w:u w:val="single"/>
        </w:rPr>
        <w:t xml:space="preserve">                                                                 </w:t>
      </w:r>
    </w:p>
    <w:p>
      <w:pPr>
        <w:spacing w:line="360" w:lineRule="auto"/>
        <w:ind w:firstLine="360"/>
        <w:rPr>
          <w:rFonts w:ascii="宋体" w:hAnsi="宋体" w:cs="宋体"/>
          <w:sz w:val="22"/>
        </w:rPr>
      </w:pP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近三年该货物主要销售给国内、外主要客户的名称地址：</w:t>
      </w:r>
    </w:p>
    <w:p>
      <w:pPr>
        <w:numPr>
          <w:ilvl w:val="0"/>
          <w:numId w:val="19"/>
        </w:numPr>
        <w:adjustRightInd w:val="0"/>
        <w:spacing w:line="360" w:lineRule="auto"/>
        <w:textAlignment w:val="baseline"/>
        <w:rPr>
          <w:rFonts w:ascii="宋体" w:hAnsi="宋体" w:cs="宋体"/>
          <w:sz w:val="22"/>
        </w:rPr>
      </w:pPr>
      <w:r>
        <w:rPr>
          <w:rFonts w:hint="eastAsia" w:ascii="宋体" w:hAnsi="宋体" w:cs="宋体"/>
          <w:sz w:val="22"/>
        </w:rPr>
        <w:t>出口销售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9"/>
        </w:numPr>
        <w:adjustRightInd w:val="0"/>
        <w:spacing w:line="360" w:lineRule="auto"/>
        <w:textAlignment w:val="baseline"/>
        <w:rPr>
          <w:rFonts w:ascii="宋体" w:hAnsi="宋体" w:cs="宋体"/>
          <w:sz w:val="22"/>
        </w:rPr>
      </w:pPr>
      <w:r>
        <w:rPr>
          <w:rFonts w:hint="eastAsia" w:ascii="宋体" w:hAnsi="宋体" w:cs="宋体"/>
          <w:sz w:val="22"/>
        </w:rPr>
        <w:t>国内销售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20"/>
        </w:numPr>
        <w:adjustRightInd w:val="0"/>
        <w:spacing w:line="360" w:lineRule="auto"/>
        <w:textAlignment w:val="baseline"/>
        <w:rPr>
          <w:rFonts w:ascii="宋体" w:hAnsi="宋体" w:cs="宋体"/>
          <w:sz w:val="22"/>
        </w:rPr>
      </w:pPr>
      <w:r>
        <w:rPr>
          <w:rFonts w:hint="eastAsia" w:ascii="宋体" w:hAnsi="宋体" w:cs="宋体"/>
          <w:sz w:val="22"/>
        </w:rPr>
        <w:t>近三年的年营业额</w:t>
      </w:r>
    </w:p>
    <w:p>
      <w:pPr>
        <w:spacing w:line="360" w:lineRule="auto"/>
        <w:ind w:firstLine="480"/>
        <w:rPr>
          <w:rFonts w:ascii="宋体" w:hAnsi="宋体" w:cs="宋体"/>
          <w:sz w:val="22"/>
        </w:rPr>
      </w:pPr>
      <w:r>
        <w:rPr>
          <w:rFonts w:hint="eastAsia" w:ascii="宋体" w:hAnsi="宋体" w:cs="宋体"/>
          <w:sz w:val="22"/>
        </w:rPr>
        <w:t>年份             国内             出口             总额</w:t>
      </w:r>
    </w:p>
    <w:p>
      <w:pPr>
        <w:spacing w:line="360" w:lineRule="auto"/>
        <w:ind w:left="36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20"/>
        </w:numPr>
        <w:adjustRightInd w:val="0"/>
        <w:spacing w:line="360" w:lineRule="auto"/>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720"/>
        <w:rPr>
          <w:rFonts w:ascii="宋体" w:hAnsi="宋体" w:cs="宋体"/>
          <w:sz w:val="22"/>
        </w:rPr>
      </w:pPr>
      <w:r>
        <w:rPr>
          <w:rFonts w:hint="eastAsia" w:ascii="宋体" w:hAnsi="宋体" w:cs="宋体"/>
          <w:sz w:val="22"/>
        </w:rPr>
        <w:t>部件名称                              供应商</w:t>
      </w:r>
    </w:p>
    <w:p>
      <w:pPr>
        <w:spacing w:line="360" w:lineRule="auto"/>
        <w:ind w:firstLine="7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7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20"/>
        </w:numPr>
        <w:adjustRightInd w:val="0"/>
        <w:spacing w:line="360" w:lineRule="auto"/>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20"/>
        </w:numPr>
        <w:adjustRightInd w:val="0"/>
        <w:spacing w:line="360" w:lineRule="auto"/>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20"/>
        </w:numPr>
        <w:adjustRightInd w:val="0"/>
        <w:spacing w:line="360" w:lineRule="auto"/>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rPr>
          <w:rFonts w:ascii="宋体" w:hAnsi="宋体" w:cs="宋体"/>
          <w:sz w:val="22"/>
        </w:rPr>
      </w:pPr>
    </w:p>
    <w:p>
      <w:pPr>
        <w:spacing w:line="360" w:lineRule="auto"/>
        <w:rPr>
          <w:rFonts w:ascii="宋体" w:hAnsi="宋体" w:cs="宋体"/>
          <w:sz w:val="22"/>
        </w:rPr>
      </w:pPr>
    </w:p>
    <w:p>
      <w:pPr>
        <w:spacing w:before="120" w:beforeLines="50" w:line="360" w:lineRule="auto"/>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120" w:beforeLines="50" w:line="360" w:lineRule="auto"/>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120" w:beforeLines="50" w:line="360" w:lineRule="auto"/>
        <w:rPr>
          <w:rFonts w:ascii="宋体" w:hAnsi="宋体" w:cs="宋体"/>
          <w:u w:val="single"/>
        </w:rPr>
      </w:pPr>
    </w:p>
    <w:p>
      <w:pPr>
        <w:overflowPunct w:val="0"/>
        <w:autoSpaceDE w:val="0"/>
        <w:autoSpaceDN w:val="0"/>
        <w:spacing w:line="440" w:lineRule="exact"/>
        <w:jc w:val="left"/>
        <w:rPr>
          <w:rFonts w:ascii="宋体" w:hAnsi="宋体" w:cs="Calibri"/>
          <w:sz w:val="22"/>
        </w:rPr>
      </w:pPr>
    </w:p>
    <w:p>
      <w:pPr>
        <w:spacing w:line="360" w:lineRule="auto"/>
        <w:jc w:val="center"/>
        <w:rPr>
          <w:rFonts w:ascii="宋体" w:hAnsi="宋体" w:cs="宋体"/>
          <w:b/>
          <w:sz w:val="32"/>
          <w:szCs w:val="32"/>
        </w:rPr>
      </w:pPr>
      <w:r>
        <w:rPr>
          <w:rFonts w:ascii="宋体" w:hAnsi="宋体" w:cs="Calibri"/>
          <w:sz w:val="22"/>
        </w:rPr>
        <w:br w:type="page"/>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（三）</w:t>
      </w:r>
      <w:r>
        <w:rPr>
          <w:rFonts w:ascii="宋体" w:hAnsi="宋体" w:cs="宋体"/>
          <w:b/>
          <w:sz w:val="32"/>
          <w:szCs w:val="32"/>
        </w:rPr>
        <w:t>设备制造商的授权书</w:t>
      </w:r>
    </w:p>
    <w:p>
      <w:pPr>
        <w:spacing w:line="360" w:lineRule="auto"/>
        <w:jc w:val="center"/>
        <w:rPr>
          <w:rFonts w:ascii="宋体" w:hAnsi="宋体" w:cs="宋体"/>
          <w:b/>
          <w:sz w:val="32"/>
          <w:szCs w:val="32"/>
        </w:rPr>
      </w:pPr>
      <w:r>
        <w:rPr>
          <w:rFonts w:hint="eastAsia" w:ascii="宋体" w:hAnsi="宋体" w:cs="宋体"/>
          <w:b/>
          <w:sz w:val="32"/>
          <w:szCs w:val="32"/>
        </w:rPr>
        <w:t>（代理商投标时提供）</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（四）投标产品近三年的销售业绩一览表</w:t>
      </w:r>
    </w:p>
    <w:tbl>
      <w:tblPr>
        <w:tblStyle w:val="58"/>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bl>
    <w:p>
      <w:pPr>
        <w:spacing w:line="360" w:lineRule="auto"/>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jc w:val="left"/>
        <w:rPr>
          <w:rFonts w:ascii="ˎ̥" w:hAnsi="ˎ̥" w:cs="宋体"/>
          <w:kern w:val="0"/>
          <w:szCs w:val="21"/>
        </w:rPr>
      </w:pPr>
    </w:p>
    <w:p>
      <w:pPr>
        <w:spacing w:line="360" w:lineRule="auto"/>
        <w:jc w:val="center"/>
        <w:rPr>
          <w:rFonts w:ascii="宋体" w:hAnsi="宋体" w:cs="宋体"/>
          <w:b/>
          <w:sz w:val="32"/>
          <w:szCs w:val="32"/>
        </w:rPr>
      </w:pPr>
    </w:p>
    <w:p>
      <w:pPr>
        <w:pStyle w:val="31"/>
        <w:adjustRightInd w:val="0"/>
        <w:snapToGrid w:val="0"/>
        <w:spacing w:line="560" w:lineRule="exact"/>
        <w:rPr>
          <w:rFonts w:hAnsi="宋体"/>
          <w:b/>
        </w:rPr>
      </w:pPr>
      <w:r>
        <w:rPr>
          <w:rFonts w:hAnsi="宋体" w:cs="宋体"/>
          <w:b/>
          <w:sz w:val="32"/>
          <w:szCs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六、技术规格偏离表</w:t>
      </w:r>
    </w:p>
    <w:p>
      <w:pPr>
        <w:spacing w:line="560" w:lineRule="exact"/>
        <w:rPr>
          <w:rFonts w:ascii="宋体" w:hAnsi="宋体"/>
        </w:rPr>
      </w:pPr>
    </w:p>
    <w:tbl>
      <w:tblPr>
        <w:tblStyle w:val="58"/>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365"/>
        <w:gridCol w:w="1260"/>
        <w:gridCol w:w="1361"/>
        <w:gridCol w:w="1236"/>
        <w:gridCol w:w="189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vAlign w:val="center"/>
          </w:tcPr>
          <w:p>
            <w:pPr>
              <w:jc w:val="center"/>
              <w:rPr>
                <w:rFonts w:ascii="宋体" w:hAnsi="宋体"/>
                <w:szCs w:val="21"/>
              </w:rPr>
            </w:pPr>
            <w:r>
              <w:rPr>
                <w:rFonts w:hint="eastAsia" w:ascii="宋体" w:hAnsi="宋体"/>
                <w:szCs w:val="21"/>
              </w:rPr>
              <w:t>序号</w:t>
            </w:r>
          </w:p>
        </w:tc>
        <w:tc>
          <w:tcPr>
            <w:tcW w:w="1365" w:type="dxa"/>
            <w:vAlign w:val="center"/>
          </w:tcPr>
          <w:p>
            <w:pPr>
              <w:jc w:val="center"/>
              <w:rPr>
                <w:rFonts w:ascii="宋体" w:hAnsi="宋体"/>
                <w:szCs w:val="21"/>
              </w:rPr>
            </w:pPr>
            <w:r>
              <w:rPr>
                <w:rFonts w:hint="eastAsia" w:ascii="宋体" w:hAnsi="宋体"/>
                <w:szCs w:val="21"/>
              </w:rPr>
              <w:t>货物名称</w:t>
            </w:r>
          </w:p>
        </w:tc>
        <w:tc>
          <w:tcPr>
            <w:tcW w:w="1260" w:type="dxa"/>
            <w:vAlign w:val="center"/>
          </w:tcPr>
          <w:p>
            <w:pPr>
              <w:jc w:val="center"/>
              <w:rPr>
                <w:rFonts w:ascii="宋体" w:hAnsi="宋体"/>
                <w:szCs w:val="21"/>
              </w:rPr>
            </w:pPr>
            <w:r>
              <w:rPr>
                <w:rFonts w:hint="eastAsia" w:ascii="宋体" w:hAnsi="宋体"/>
                <w:szCs w:val="21"/>
              </w:rPr>
              <w:t>招标文件条目号</w:t>
            </w:r>
          </w:p>
        </w:tc>
        <w:tc>
          <w:tcPr>
            <w:tcW w:w="1361" w:type="dxa"/>
            <w:vAlign w:val="center"/>
          </w:tcPr>
          <w:p>
            <w:pPr>
              <w:jc w:val="center"/>
              <w:rPr>
                <w:rFonts w:ascii="宋体" w:hAnsi="宋体"/>
                <w:szCs w:val="21"/>
              </w:rPr>
            </w:pPr>
            <w:r>
              <w:rPr>
                <w:rFonts w:hint="eastAsia" w:ascii="宋体" w:hAnsi="宋体"/>
                <w:szCs w:val="21"/>
              </w:rPr>
              <w:t>招标规格</w:t>
            </w:r>
          </w:p>
        </w:tc>
        <w:tc>
          <w:tcPr>
            <w:tcW w:w="1236" w:type="dxa"/>
            <w:vAlign w:val="center"/>
          </w:tcPr>
          <w:p>
            <w:pPr>
              <w:jc w:val="center"/>
              <w:rPr>
                <w:rFonts w:ascii="宋体" w:hAnsi="宋体"/>
                <w:szCs w:val="21"/>
              </w:rPr>
            </w:pPr>
            <w:r>
              <w:rPr>
                <w:rFonts w:hint="eastAsia" w:ascii="宋体" w:hAnsi="宋体"/>
                <w:szCs w:val="21"/>
              </w:rPr>
              <w:t>投标规格</w:t>
            </w:r>
          </w:p>
        </w:tc>
        <w:tc>
          <w:tcPr>
            <w:tcW w:w="1890" w:type="dxa"/>
            <w:vAlign w:val="center"/>
          </w:tcPr>
          <w:p>
            <w:pPr>
              <w:jc w:val="center"/>
              <w:rPr>
                <w:rFonts w:ascii="宋体" w:hAnsi="宋体"/>
                <w:szCs w:val="21"/>
              </w:rPr>
            </w:pPr>
            <w:r>
              <w:rPr>
                <w:rFonts w:hint="eastAsia" w:ascii="宋体" w:hAnsi="宋体"/>
                <w:szCs w:val="21"/>
              </w:rPr>
              <w:t>偏离</w:t>
            </w:r>
          </w:p>
        </w:tc>
        <w:tc>
          <w:tcPr>
            <w:tcW w:w="1470" w:type="dxa"/>
            <w:vAlign w:val="center"/>
          </w:tcPr>
          <w:p>
            <w:pPr>
              <w:jc w:val="center"/>
              <w:rPr>
                <w:rFonts w:ascii="宋体" w:hAnsi="宋体"/>
                <w:szCs w:val="21"/>
              </w:rPr>
            </w:pPr>
            <w:r>
              <w:rPr>
                <w:rFonts w:hint="eastAsia" w:ascii="宋体" w:hAnsi="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bl>
    <w:p>
      <w:pPr>
        <w:spacing w:line="560" w:lineRule="exact"/>
        <w:rPr>
          <w:rFonts w:ascii="宋体" w:hAnsi="宋体"/>
        </w:rPr>
      </w:pPr>
      <w:r>
        <w:rPr>
          <w:rFonts w:hAnsi="宋体"/>
          <w:bCs/>
        </w:rPr>
        <w:t>注：如不填写，则视为完全响应招标文件的技术要求。</w:t>
      </w:r>
    </w:p>
    <w:p>
      <w:pPr>
        <w:spacing w:line="360" w:lineRule="auto"/>
        <w:jc w:val="center"/>
        <w:rPr>
          <w:rFonts w:hAnsi="宋体"/>
          <w:b/>
        </w:rPr>
      </w:pPr>
    </w:p>
    <w:p>
      <w:pPr>
        <w:pStyle w:val="31"/>
        <w:adjustRightInd w:val="0"/>
        <w:snapToGrid w:val="0"/>
        <w:spacing w:line="560" w:lineRule="exact"/>
        <w:rPr>
          <w:rFonts w:hAnsi="宋体"/>
          <w:b/>
        </w:rPr>
      </w:pPr>
    </w:p>
    <w:p>
      <w:pPr>
        <w:spacing w:line="440" w:lineRule="exact"/>
        <w:jc w:val="center"/>
        <w:rPr>
          <w:rFonts w:eastAsia="黑体" w:cs="Calibri"/>
          <w:color w:val="000000"/>
          <w:sz w:val="32"/>
          <w:szCs w:val="32"/>
        </w:rPr>
      </w:pPr>
      <w:r>
        <w:rPr>
          <w:rFonts w:hint="eastAsia" w:eastAsia="黑体" w:cs="Calibri"/>
          <w:color w:val="000000"/>
          <w:sz w:val="32"/>
          <w:szCs w:val="32"/>
        </w:rPr>
        <w:t>七、</w:t>
      </w:r>
      <w:r>
        <w:rPr>
          <w:rFonts w:eastAsia="黑体" w:cs="Calibri"/>
          <w:color w:val="000000"/>
          <w:sz w:val="32"/>
          <w:szCs w:val="32"/>
        </w:rPr>
        <w:t>商务条款响应</w:t>
      </w:r>
      <w:r>
        <w:rPr>
          <w:rFonts w:hint="eastAsia" w:eastAsia="黑体" w:cs="Calibri"/>
          <w:color w:val="000000"/>
          <w:sz w:val="32"/>
          <w:szCs w:val="32"/>
        </w:rPr>
        <w:t>偏离</w:t>
      </w:r>
      <w:r>
        <w:rPr>
          <w:rFonts w:eastAsia="黑体" w:cs="Calibri"/>
          <w:color w:val="000000"/>
          <w:sz w:val="32"/>
          <w:szCs w:val="32"/>
        </w:rPr>
        <w:t>表</w:t>
      </w:r>
    </w:p>
    <w:tbl>
      <w:tblPr>
        <w:tblStyle w:val="58"/>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3510"/>
        <w:gridCol w:w="3510"/>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r>
              <w:rPr>
                <w:rFonts w:hAnsi="宋体"/>
                <w:kern w:val="2"/>
                <w:sz w:val="21"/>
              </w:rPr>
              <w:t>序号</w:t>
            </w:r>
          </w:p>
        </w:tc>
        <w:tc>
          <w:tcPr>
            <w:tcW w:w="900" w:type="dxa"/>
            <w:vAlign w:val="center"/>
          </w:tcPr>
          <w:p>
            <w:pPr>
              <w:pStyle w:val="31"/>
              <w:adjustRightInd w:val="0"/>
              <w:snapToGrid w:val="0"/>
              <w:jc w:val="center"/>
              <w:rPr>
                <w:rFonts w:hAnsi="宋体"/>
                <w:kern w:val="2"/>
                <w:sz w:val="21"/>
              </w:rPr>
            </w:pPr>
            <w:r>
              <w:rPr>
                <w:rFonts w:hAnsi="宋体"/>
                <w:kern w:val="2"/>
                <w:sz w:val="21"/>
              </w:rPr>
              <w:t>内容</w:t>
            </w:r>
          </w:p>
        </w:tc>
        <w:tc>
          <w:tcPr>
            <w:tcW w:w="3510" w:type="dxa"/>
            <w:vAlign w:val="center"/>
          </w:tcPr>
          <w:p>
            <w:pPr>
              <w:pStyle w:val="31"/>
              <w:adjustRightInd w:val="0"/>
              <w:snapToGrid w:val="0"/>
              <w:jc w:val="center"/>
              <w:rPr>
                <w:rFonts w:hAnsi="宋体"/>
                <w:kern w:val="2"/>
                <w:sz w:val="21"/>
              </w:rPr>
            </w:pPr>
            <w:r>
              <w:rPr>
                <w:rFonts w:hAnsi="宋体"/>
                <w:kern w:val="2"/>
                <w:sz w:val="21"/>
              </w:rPr>
              <w:t>招标文件要求</w:t>
            </w:r>
          </w:p>
        </w:tc>
        <w:tc>
          <w:tcPr>
            <w:tcW w:w="3510" w:type="dxa"/>
            <w:vAlign w:val="center"/>
          </w:tcPr>
          <w:p>
            <w:pPr>
              <w:pStyle w:val="31"/>
              <w:adjustRightInd w:val="0"/>
              <w:snapToGrid w:val="0"/>
              <w:jc w:val="center"/>
              <w:rPr>
                <w:rFonts w:hAnsi="宋体"/>
                <w:kern w:val="2"/>
                <w:sz w:val="21"/>
              </w:rPr>
            </w:pPr>
            <w:r>
              <w:rPr>
                <w:rFonts w:hAnsi="宋体"/>
                <w:kern w:val="2"/>
                <w:sz w:val="21"/>
              </w:rPr>
              <w:t>投标文件对应内容</w:t>
            </w:r>
          </w:p>
        </w:tc>
        <w:tc>
          <w:tcPr>
            <w:tcW w:w="827" w:type="dxa"/>
            <w:vAlign w:val="center"/>
          </w:tcPr>
          <w:p>
            <w:pPr>
              <w:pStyle w:val="31"/>
              <w:adjustRightInd w:val="0"/>
              <w:snapToGrid w:val="0"/>
              <w:jc w:val="center"/>
              <w:rPr>
                <w:rFonts w:hAnsi="宋体"/>
                <w:kern w:val="2"/>
                <w:sz w:val="21"/>
              </w:rPr>
            </w:pPr>
            <w:r>
              <w:rPr>
                <w:rFonts w:hAnsi="宋体"/>
                <w:kern w:val="2"/>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bl>
    <w:p>
      <w:pPr>
        <w:pStyle w:val="31"/>
        <w:adjustRightInd w:val="0"/>
        <w:snapToGrid w:val="0"/>
        <w:spacing w:line="560" w:lineRule="exact"/>
        <w:rPr>
          <w:rFonts w:hAnsi="宋体"/>
          <w:bCs/>
          <w:sz w:val="24"/>
          <w:szCs w:val="24"/>
        </w:rPr>
      </w:pPr>
    </w:p>
    <w:p>
      <w:pPr>
        <w:pStyle w:val="31"/>
        <w:adjustRightInd w:val="0"/>
        <w:snapToGrid w:val="0"/>
        <w:spacing w:line="560" w:lineRule="exact"/>
        <w:rPr>
          <w:rFonts w:hAnsi="宋体"/>
          <w:bCs/>
          <w:sz w:val="24"/>
          <w:szCs w:val="24"/>
        </w:rPr>
      </w:pPr>
      <w:r>
        <w:rPr>
          <w:rFonts w:hAnsi="宋体"/>
          <w:bCs/>
          <w:sz w:val="24"/>
          <w:szCs w:val="24"/>
        </w:rPr>
        <w:t>注：如不填写，则视为完全响应招标文件的</w:t>
      </w:r>
      <w:r>
        <w:rPr>
          <w:rFonts w:hint="eastAsia" w:hAnsi="宋体"/>
          <w:bCs/>
          <w:sz w:val="24"/>
          <w:szCs w:val="24"/>
        </w:rPr>
        <w:t>商务</w:t>
      </w:r>
      <w:r>
        <w:rPr>
          <w:rFonts w:hAnsi="宋体"/>
          <w:bCs/>
          <w:sz w:val="24"/>
          <w:szCs w:val="24"/>
        </w:rPr>
        <w:t>要求。</w:t>
      </w:r>
    </w:p>
    <w:p>
      <w:pPr>
        <w:pStyle w:val="31"/>
        <w:adjustRightInd w:val="0"/>
        <w:snapToGrid w:val="0"/>
        <w:spacing w:line="560" w:lineRule="exact"/>
        <w:rPr>
          <w:rFonts w:hAnsi="宋体"/>
          <w:bCs/>
          <w:sz w:val="24"/>
          <w:szCs w:val="24"/>
        </w:rPr>
      </w:pPr>
    </w:p>
    <w:p>
      <w:pPr>
        <w:widowControl/>
        <w:jc w:val="left"/>
        <w:rPr>
          <w:rFonts w:eastAsia="黑体" w:cs="Calibri"/>
          <w:color w:val="000000"/>
          <w:sz w:val="32"/>
          <w:szCs w:val="32"/>
        </w:rPr>
      </w:pPr>
    </w:p>
    <w:p/>
    <w:p/>
    <w:p/>
    <w:sectPr>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Heiti SC Light">
    <w:altName w:val="微软雅黑"/>
    <w:panose1 w:val="00000000000000000000"/>
    <w:charset w:val="50"/>
    <w:family w:val="auto"/>
    <w:pitch w:val="default"/>
    <w:sig w:usb0="00000000" w:usb1="00000000" w:usb2="00000010" w:usb3="00000000" w:csb0="003E0000" w:csb1="00000000"/>
  </w:font>
  <w:font w:name="Courier">
    <w:altName w:val="Courier New"/>
    <w:panose1 w:val="02070409020205020404"/>
    <w:charset w:val="00"/>
    <w:family w:val="moder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A00002EF" w:usb1="4000207B"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r>
      <w:fldChar w:fldCharType="begin"/>
    </w:r>
    <w:r>
      <w:instrText xml:space="preserve"> PAGE   \* MERGEFORMAT </w:instrText>
    </w:r>
    <w:r>
      <w:fldChar w:fldCharType="separate"/>
    </w:r>
    <w:r>
      <w:rPr>
        <w:lang w:val="zh-CN"/>
      </w:rPr>
      <w:t>-</w:t>
    </w:r>
    <w:r>
      <w:t xml:space="preserve"> 37 -</w:t>
    </w:r>
    <w:r>
      <w:fldChar w:fldCharType="end"/>
    </w:r>
  </w:p>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p>
  <w:p>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separate"/>
    </w:r>
    <w:r>
      <w:rPr>
        <w:rStyle w:val="54"/>
      </w:rPr>
      <w:t>40</w:t>
    </w:r>
    <w:r>
      <w:fldChar w:fldCharType="end"/>
    </w:r>
  </w:p>
  <w:p>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single" w:color="auto" w:sz="4" w:space="1"/>
      </w:pBdr>
      <w:rPr>
        <w:rFonts w:ascii="宋体" w:hAnsi="宋体"/>
        <w:color w:val="000000"/>
      </w:rPr>
    </w:pPr>
    <w:r>
      <w:rPr>
        <w:rFonts w:hint="eastAsia" w:ascii="宋体" w:hAnsi="宋体"/>
        <w:color w:val="000000"/>
      </w:rPr>
      <w:t>杭州萧山国际机场主力泡沫消防车采购项目招标文件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C3834A"/>
    <w:multiLevelType w:val="singleLevel"/>
    <w:tmpl w:val="A4C3834A"/>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
    <w:nsid w:val="C6E7AA9F"/>
    <w:multiLevelType w:val="singleLevel"/>
    <w:tmpl w:val="C6E7AA9F"/>
    <w:lvl w:ilvl="0" w:tentative="0">
      <w:start w:val="1"/>
      <w:numFmt w:val="bullet"/>
      <w:pStyle w:val="21"/>
      <w:lvlText w:val=""/>
      <w:lvlJc w:val="left"/>
      <w:pPr>
        <w:tabs>
          <w:tab w:val="left" w:pos="360"/>
        </w:tabs>
        <w:ind w:left="360" w:hanging="360"/>
      </w:pPr>
      <w:rPr>
        <w:rFonts w:hint="default" w:ascii="Wingdings" w:hAnsi="Wingdings"/>
      </w:rPr>
    </w:lvl>
  </w:abstractNum>
  <w:abstractNum w:abstractNumId="2">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3">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4">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7">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8">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9">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10">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11">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2">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3">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4">
    <w:nsid w:val="000000B6"/>
    <w:multiLevelType w:val="multilevel"/>
    <w:tmpl w:val="000000B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6">
    <w:nsid w:val="539A7C53"/>
    <w:multiLevelType w:val="multilevel"/>
    <w:tmpl w:val="539A7C53"/>
    <w:lvl w:ilvl="0" w:tentative="0">
      <w:start w:val="1"/>
      <w:numFmt w:val="japaneseCounting"/>
      <w:lvlText w:val="%1、"/>
      <w:lvlJc w:val="left"/>
      <w:pPr>
        <w:ind w:left="872" w:hanging="450"/>
      </w:pPr>
      <w:rPr>
        <w:rFonts w:hint="default"/>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17">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8">
    <w:nsid w:val="725B50C2"/>
    <w:multiLevelType w:val="multilevel"/>
    <w:tmpl w:val="725B50C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44"/>
      <w:lvlText w:val=""/>
      <w:lvlJc w:val="left"/>
      <w:pPr>
        <w:tabs>
          <w:tab w:val="left" w:pos="3780"/>
        </w:tabs>
        <w:ind w:left="3780" w:hanging="420"/>
      </w:pPr>
      <w:rPr>
        <w:rFonts w:hint="default" w:ascii="Wingdings" w:hAnsi="Wingdings"/>
      </w:rPr>
    </w:lvl>
  </w:abstractNum>
  <w:num w:numId="1">
    <w:abstractNumId w:val="15"/>
  </w:num>
  <w:num w:numId="2">
    <w:abstractNumId w:val="1"/>
  </w:num>
  <w:num w:numId="3">
    <w:abstractNumId w:val="0"/>
  </w:num>
  <w:num w:numId="4">
    <w:abstractNumId w:val="19"/>
  </w:num>
  <w:num w:numId="5">
    <w:abstractNumId w:val="18"/>
  </w:num>
  <w:num w:numId="6">
    <w:abstractNumId w:val="16"/>
  </w:num>
  <w:num w:numId="7">
    <w:abstractNumId w:val="17"/>
  </w:num>
  <w:num w:numId="8">
    <w:abstractNumId w:val="4"/>
  </w:num>
  <w:num w:numId="9">
    <w:abstractNumId w:val="13"/>
  </w:num>
  <w:num w:numId="10">
    <w:abstractNumId w:val="7"/>
  </w:num>
  <w:num w:numId="11">
    <w:abstractNumId w:val="14"/>
  </w:num>
  <w:num w:numId="12">
    <w:abstractNumId w:val="3"/>
  </w:num>
  <w:num w:numId="13">
    <w:abstractNumId w:val="8"/>
  </w:num>
  <w:num w:numId="14">
    <w:abstractNumId w:val="10"/>
  </w:num>
  <w:num w:numId="15">
    <w:abstractNumId w:val="6"/>
  </w:num>
  <w:num w:numId="16">
    <w:abstractNumId w:val="2"/>
  </w:num>
  <w:num w:numId="17">
    <w:abstractNumId w:val="5"/>
  </w:num>
  <w:num w:numId="18">
    <w:abstractNumId w:val="12"/>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4D6"/>
    <w:rsid w:val="001373C2"/>
    <w:rsid w:val="001A5C61"/>
    <w:rsid w:val="001B559C"/>
    <w:rsid w:val="00254181"/>
    <w:rsid w:val="00330E82"/>
    <w:rsid w:val="003418BE"/>
    <w:rsid w:val="00411D6C"/>
    <w:rsid w:val="006E4E1C"/>
    <w:rsid w:val="008034D6"/>
    <w:rsid w:val="00851FFA"/>
    <w:rsid w:val="00B40BFB"/>
    <w:rsid w:val="00C040D0"/>
    <w:rsid w:val="00C148A4"/>
    <w:rsid w:val="00D420FE"/>
    <w:rsid w:val="00D71DCB"/>
    <w:rsid w:val="00E1794E"/>
    <w:rsid w:val="00F024F1"/>
    <w:rsid w:val="00FB2A67"/>
    <w:rsid w:val="011E128A"/>
    <w:rsid w:val="032A2EC2"/>
    <w:rsid w:val="14DD25CB"/>
    <w:rsid w:val="45575979"/>
    <w:rsid w:val="46AF0295"/>
    <w:rsid w:val="50E841C6"/>
    <w:rsid w:val="54CB282A"/>
    <w:rsid w:val="7347566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9"/>
    <w:qFormat/>
    <w:uiPriority w:val="0"/>
    <w:pPr>
      <w:keepNext/>
      <w:keepLines/>
      <w:spacing w:before="340" w:after="330" w:line="360" w:lineRule="auto"/>
      <w:jc w:val="center"/>
      <w:outlineLvl w:val="0"/>
    </w:pPr>
    <w:rPr>
      <w:rFonts w:ascii="Times New Roman" w:hAnsi="Times New Roman"/>
      <w:b/>
      <w:bCs/>
      <w:kern w:val="44"/>
      <w:sz w:val="30"/>
      <w:szCs w:val="44"/>
    </w:rPr>
  </w:style>
  <w:style w:type="paragraph" w:styleId="3">
    <w:name w:val="heading 2"/>
    <w:basedOn w:val="1"/>
    <w:next w:val="1"/>
    <w:link w:val="60"/>
    <w:qFormat/>
    <w:uiPriority w:val="0"/>
    <w:pPr>
      <w:keepNext/>
      <w:keepLines/>
      <w:spacing w:before="260" w:after="260" w:line="360" w:lineRule="auto"/>
      <w:jc w:val="center"/>
      <w:outlineLvl w:val="1"/>
    </w:pPr>
    <w:rPr>
      <w:rFonts w:ascii="Arial" w:hAnsi="Arial"/>
      <w:b/>
      <w:bCs/>
      <w:kern w:val="0"/>
      <w:sz w:val="28"/>
      <w:szCs w:val="32"/>
    </w:rPr>
  </w:style>
  <w:style w:type="paragraph" w:styleId="4">
    <w:name w:val="heading 3"/>
    <w:basedOn w:val="1"/>
    <w:next w:val="1"/>
    <w:link w:val="61"/>
    <w:qFormat/>
    <w:uiPriority w:val="0"/>
    <w:pPr>
      <w:keepNext/>
      <w:numPr>
        <w:ilvl w:val="0"/>
        <w:numId w:val="1"/>
      </w:numPr>
      <w:spacing w:line="216" w:lineRule="auto"/>
      <w:outlineLvl w:val="2"/>
    </w:pPr>
    <w:rPr>
      <w:rFonts w:ascii="宋体" w:hAnsi="Times New Roman"/>
      <w:b/>
      <w:kern w:val="0"/>
      <w:sz w:val="28"/>
      <w:szCs w:val="20"/>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63"/>
    <w:qFormat/>
    <w:uiPriority w:val="0"/>
    <w:pPr>
      <w:keepNext/>
      <w:keepLines/>
      <w:spacing w:before="280" w:after="290" w:line="376" w:lineRule="auto"/>
      <w:outlineLvl w:val="4"/>
    </w:pPr>
    <w:rPr>
      <w:rFonts w:ascii="Times New Roman" w:hAnsi="Times New Roman"/>
      <w:b/>
      <w:bCs/>
      <w:kern w:val="0"/>
      <w:sz w:val="28"/>
      <w:szCs w:val="28"/>
    </w:rPr>
  </w:style>
  <w:style w:type="paragraph" w:styleId="7">
    <w:name w:val="heading 6"/>
    <w:basedOn w:val="1"/>
    <w:next w:val="1"/>
    <w:link w:val="64"/>
    <w:qFormat/>
    <w:uiPriority w:val="0"/>
    <w:pPr>
      <w:keepNext/>
      <w:keepLines/>
      <w:spacing w:before="240" w:after="64" w:line="320" w:lineRule="auto"/>
      <w:outlineLvl w:val="5"/>
    </w:pPr>
    <w:rPr>
      <w:rFonts w:ascii="Arial" w:hAnsi="Arial" w:eastAsia="黑体"/>
      <w:b/>
      <w:bCs/>
      <w:kern w:val="0"/>
      <w:sz w:val="24"/>
      <w:szCs w:val="24"/>
    </w:rPr>
  </w:style>
  <w:style w:type="paragraph" w:styleId="8">
    <w:name w:val="heading 7"/>
    <w:basedOn w:val="1"/>
    <w:next w:val="1"/>
    <w:link w:val="65"/>
    <w:qFormat/>
    <w:uiPriority w:val="0"/>
    <w:pPr>
      <w:keepNext/>
      <w:keepLines/>
      <w:tabs>
        <w:tab w:val="left" w:pos="1296"/>
      </w:tabs>
      <w:spacing w:before="240" w:after="64" w:line="320" w:lineRule="auto"/>
      <w:ind w:left="1296" w:hanging="1296"/>
      <w:outlineLvl w:val="6"/>
    </w:pPr>
    <w:rPr>
      <w:rFonts w:ascii="Times New Roman" w:hAnsi="Times New Roman"/>
      <w:b/>
      <w:bCs/>
      <w:kern w:val="0"/>
      <w:sz w:val="24"/>
      <w:szCs w:val="24"/>
    </w:rPr>
  </w:style>
  <w:style w:type="paragraph" w:styleId="9">
    <w:name w:val="heading 8"/>
    <w:basedOn w:val="1"/>
    <w:next w:val="1"/>
    <w:link w:val="66"/>
    <w:qFormat/>
    <w:uiPriority w:val="0"/>
    <w:pPr>
      <w:keepNext/>
      <w:keepLines/>
      <w:tabs>
        <w:tab w:val="left" w:pos="1440"/>
      </w:tabs>
      <w:spacing w:before="240" w:after="64" w:line="320" w:lineRule="auto"/>
      <w:ind w:left="1440" w:hanging="1440"/>
      <w:outlineLvl w:val="7"/>
    </w:pPr>
    <w:rPr>
      <w:rFonts w:ascii="Arial" w:hAnsi="Arial" w:eastAsia="黑体"/>
      <w:kern w:val="0"/>
      <w:sz w:val="24"/>
      <w:szCs w:val="24"/>
    </w:rPr>
  </w:style>
  <w:style w:type="paragraph" w:styleId="10">
    <w:name w:val="heading 9"/>
    <w:basedOn w:val="1"/>
    <w:next w:val="1"/>
    <w:link w:val="67"/>
    <w:qFormat/>
    <w:uiPriority w:val="0"/>
    <w:pPr>
      <w:keepNext/>
      <w:keepLines/>
      <w:tabs>
        <w:tab w:val="left" w:pos="1584"/>
      </w:tabs>
      <w:spacing w:before="240" w:after="64" w:line="320" w:lineRule="auto"/>
      <w:ind w:left="1584" w:hanging="1584"/>
      <w:outlineLvl w:val="8"/>
    </w:pPr>
    <w:rPr>
      <w:rFonts w:ascii="Arial" w:hAnsi="Arial" w:eastAsia="黑体"/>
      <w:kern w:val="0"/>
      <w:sz w:val="20"/>
      <w:szCs w:val="21"/>
    </w:rPr>
  </w:style>
  <w:style w:type="character" w:default="1" w:styleId="52">
    <w:name w:val="Default Paragraph Font"/>
    <w:unhideWhenUsed/>
    <w:uiPriority w:val="1"/>
  </w:style>
  <w:style w:type="table" w:default="1" w:styleId="58">
    <w:name w:val="Normal Table"/>
    <w:unhideWhenUsed/>
    <w:uiPriority w:val="99"/>
    <w:tblPr>
      <w:tblLayout w:type="fixed"/>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szCs w:val="24"/>
    </w:rPr>
  </w:style>
  <w:style w:type="paragraph" w:styleId="12">
    <w:name w:val="annotation subject"/>
    <w:basedOn w:val="13"/>
    <w:next w:val="13"/>
    <w:link w:val="96"/>
    <w:semiHidden/>
    <w:qFormat/>
    <w:uiPriority w:val="0"/>
    <w:rPr>
      <w:rFonts w:ascii="Times New Roman" w:hAnsi="Times New Roman"/>
      <w:b/>
      <w:bCs/>
      <w:kern w:val="0"/>
      <w:sz w:val="20"/>
      <w:szCs w:val="20"/>
    </w:rPr>
  </w:style>
  <w:style w:type="paragraph" w:styleId="13">
    <w:name w:val="annotation text"/>
    <w:basedOn w:val="1"/>
    <w:link w:val="107"/>
    <w:unhideWhenUsed/>
    <w:qFormat/>
    <w:uiPriority w:val="0"/>
    <w:pPr>
      <w:jc w:val="left"/>
    </w:pPr>
    <w:rPr>
      <w:sz w:val="24"/>
      <w:szCs w:val="24"/>
    </w:rPr>
  </w:style>
  <w:style w:type="paragraph" w:styleId="14">
    <w:name w:val="toc 7"/>
    <w:basedOn w:val="1"/>
    <w:next w:val="1"/>
    <w:qFormat/>
    <w:uiPriority w:val="0"/>
    <w:pPr>
      <w:ind w:left="1260"/>
      <w:jc w:val="left"/>
    </w:pPr>
    <w:rPr>
      <w:rFonts w:ascii="Times New Roman" w:hAnsi="Times New Roman"/>
      <w:sz w:val="20"/>
      <w:szCs w:val="20"/>
    </w:rPr>
  </w:style>
  <w:style w:type="paragraph" w:styleId="15">
    <w:name w:val="Body Text First Indent"/>
    <w:basedOn w:val="16"/>
    <w:link w:val="91"/>
    <w:qFormat/>
    <w:uiPriority w:val="0"/>
    <w:pPr>
      <w:ind w:firstLine="420" w:firstLineChars="100"/>
    </w:pPr>
    <w:rPr>
      <w:kern w:val="0"/>
      <w:sz w:val="20"/>
      <w:szCs w:val="20"/>
    </w:rPr>
  </w:style>
  <w:style w:type="paragraph" w:styleId="16">
    <w:name w:val="Body Text"/>
    <w:basedOn w:val="1"/>
    <w:link w:val="111"/>
    <w:unhideWhenUsed/>
    <w:qFormat/>
    <w:uiPriority w:val="0"/>
    <w:pPr>
      <w:spacing w:after="120"/>
    </w:pPr>
    <w:rPr>
      <w:sz w:val="24"/>
      <w:szCs w:val="24"/>
    </w:rPr>
  </w:style>
  <w:style w:type="paragraph" w:styleId="17">
    <w:name w:val="table of authorities"/>
    <w:basedOn w:val="1"/>
    <w:next w:val="1"/>
    <w:qFormat/>
    <w:uiPriority w:val="0"/>
    <w:pPr>
      <w:ind w:left="420" w:leftChars="200"/>
    </w:pPr>
    <w:rPr>
      <w:rFonts w:ascii="Times New Roman" w:hAnsi="Times New Roman"/>
      <w:szCs w:val="24"/>
    </w:rPr>
  </w:style>
  <w:style w:type="paragraph" w:styleId="18">
    <w:name w:val="Normal Indent"/>
    <w:basedOn w:val="1"/>
    <w:qFormat/>
    <w:uiPriority w:val="0"/>
    <w:pPr>
      <w:ind w:firstLine="420"/>
    </w:pPr>
    <w:rPr>
      <w:rFonts w:ascii="Times New Roman" w:hAnsi="Times New Roman"/>
      <w:szCs w:val="20"/>
    </w:rPr>
  </w:style>
  <w:style w:type="paragraph" w:styleId="19">
    <w:name w:val="caption"/>
    <w:basedOn w:val="1"/>
    <w:next w:val="1"/>
    <w:qFormat/>
    <w:uiPriority w:val="0"/>
    <w:rPr>
      <w:rFonts w:ascii="Arial" w:hAnsi="Arial" w:eastAsia="黑体" w:cs="Arial"/>
      <w:sz w:val="20"/>
      <w:szCs w:val="20"/>
    </w:rPr>
  </w:style>
  <w:style w:type="paragraph" w:styleId="20">
    <w:name w:val="index 5"/>
    <w:basedOn w:val="1"/>
    <w:next w:val="1"/>
    <w:qFormat/>
    <w:uiPriority w:val="0"/>
    <w:pPr>
      <w:ind w:left="800" w:leftChars="800"/>
    </w:pPr>
    <w:rPr>
      <w:rFonts w:ascii="Times New Roman" w:hAnsi="Times New Roman"/>
      <w:szCs w:val="24"/>
    </w:rPr>
  </w:style>
  <w:style w:type="paragraph" w:styleId="21">
    <w:name w:val="List Bullet"/>
    <w:basedOn w:val="1"/>
    <w:qFormat/>
    <w:uiPriority w:val="0"/>
    <w:pPr>
      <w:numPr>
        <w:ilvl w:val="0"/>
        <w:numId w:val="2"/>
      </w:numPr>
    </w:pPr>
  </w:style>
  <w:style w:type="paragraph" w:styleId="22">
    <w:name w:val="Document Map"/>
    <w:basedOn w:val="1"/>
    <w:link w:val="74"/>
    <w:qFormat/>
    <w:uiPriority w:val="0"/>
    <w:pPr>
      <w:shd w:val="clear" w:color="auto" w:fill="000080"/>
    </w:pPr>
    <w:rPr>
      <w:rFonts w:ascii="Times New Roman" w:hAnsi="Times New Roman"/>
      <w:kern w:val="0"/>
      <w:sz w:val="20"/>
      <w:szCs w:val="20"/>
    </w:rPr>
  </w:style>
  <w:style w:type="paragraph" w:styleId="23">
    <w:name w:val="Body Text 3"/>
    <w:basedOn w:val="1"/>
    <w:link w:val="86"/>
    <w:qFormat/>
    <w:uiPriority w:val="0"/>
    <w:pPr>
      <w:adjustRightInd w:val="0"/>
      <w:spacing w:after="120" w:line="360" w:lineRule="atLeast"/>
      <w:textAlignment w:val="baseline"/>
    </w:pPr>
    <w:rPr>
      <w:rFonts w:ascii="Times New Roman" w:hAnsi="Times New Roman"/>
      <w:kern w:val="0"/>
      <w:sz w:val="16"/>
      <w:szCs w:val="16"/>
    </w:rPr>
  </w:style>
  <w:style w:type="paragraph" w:styleId="24">
    <w:name w:val="Body Text Indent"/>
    <w:basedOn w:val="1"/>
    <w:link w:val="82"/>
    <w:qFormat/>
    <w:uiPriority w:val="0"/>
    <w:pPr>
      <w:ind w:firstLine="560" w:firstLineChars="200"/>
    </w:pPr>
    <w:rPr>
      <w:rFonts w:ascii="宋体" w:hAnsi="宋体"/>
      <w:kern w:val="0"/>
      <w:sz w:val="28"/>
      <w:szCs w:val="28"/>
    </w:rPr>
  </w:style>
  <w:style w:type="paragraph" w:styleId="25">
    <w:name w:val="List 2"/>
    <w:basedOn w:val="1"/>
    <w:qFormat/>
    <w:uiPriority w:val="0"/>
    <w:pPr>
      <w:ind w:left="100" w:leftChars="200" w:hanging="200" w:hangingChars="200"/>
    </w:pPr>
    <w:rPr>
      <w:rFonts w:ascii="Times New Roman" w:hAnsi="Times New Roman"/>
      <w:szCs w:val="24"/>
    </w:rPr>
  </w:style>
  <w:style w:type="paragraph" w:styleId="26">
    <w:name w:val="List Continue"/>
    <w:basedOn w:val="1"/>
    <w:qFormat/>
    <w:uiPriority w:val="0"/>
    <w:pPr>
      <w:spacing w:after="120"/>
      <w:ind w:left="420" w:leftChars="200"/>
    </w:pPr>
    <w:rPr>
      <w:rFonts w:ascii="Times New Roman" w:hAnsi="Times New Roman"/>
      <w:szCs w:val="24"/>
    </w:rPr>
  </w:style>
  <w:style w:type="paragraph" w:styleId="27">
    <w:name w:val="Block Text"/>
    <w:basedOn w:val="1"/>
    <w:qFormat/>
    <w:uiPriority w:val="0"/>
    <w:pPr>
      <w:spacing w:before="120" w:after="120" w:line="360" w:lineRule="auto"/>
      <w:ind w:left="525" w:right="202"/>
    </w:pPr>
    <w:rPr>
      <w:rFonts w:ascii="宋体" w:hAnsi="宋体"/>
      <w:spacing w:val="-4"/>
      <w:sz w:val="24"/>
      <w:szCs w:val="24"/>
    </w:rPr>
  </w:style>
  <w:style w:type="paragraph" w:styleId="28">
    <w:name w:val="List Bullet 2"/>
    <w:basedOn w:val="1"/>
    <w:unhideWhenUsed/>
    <w:qFormat/>
    <w:uiPriority w:val="0"/>
    <w:pPr>
      <w:numPr>
        <w:ilvl w:val="0"/>
        <w:numId w:val="3"/>
      </w:numPr>
    </w:pPr>
  </w:style>
  <w:style w:type="paragraph" w:styleId="29">
    <w:name w:val="toc 5"/>
    <w:basedOn w:val="1"/>
    <w:next w:val="1"/>
    <w:qFormat/>
    <w:uiPriority w:val="0"/>
    <w:pPr>
      <w:ind w:left="840"/>
      <w:jc w:val="left"/>
    </w:pPr>
    <w:rPr>
      <w:rFonts w:ascii="Times New Roman" w:hAnsi="Times New Roman"/>
      <w:sz w:val="20"/>
      <w:szCs w:val="20"/>
    </w:rPr>
  </w:style>
  <w:style w:type="paragraph" w:styleId="30">
    <w:name w:val="toc 3"/>
    <w:basedOn w:val="1"/>
    <w:next w:val="1"/>
    <w:qFormat/>
    <w:uiPriority w:val="0"/>
    <w:pPr>
      <w:tabs>
        <w:tab w:val="left" w:pos="1050"/>
        <w:tab w:val="right" w:leader="dot" w:pos="8636"/>
      </w:tabs>
      <w:spacing w:line="360" w:lineRule="auto"/>
      <w:jc w:val="left"/>
    </w:pPr>
    <w:rPr>
      <w:rFonts w:ascii="楷体_GB2312" w:hAnsi="黑体" w:eastAsia="楷体_GB2312"/>
      <w:sz w:val="28"/>
      <w:szCs w:val="20"/>
    </w:rPr>
  </w:style>
  <w:style w:type="paragraph" w:styleId="31">
    <w:name w:val="Plain Text"/>
    <w:basedOn w:val="1"/>
    <w:link w:val="77"/>
    <w:qFormat/>
    <w:uiPriority w:val="0"/>
    <w:rPr>
      <w:rFonts w:ascii="宋体" w:hAnsi="Courier New"/>
      <w:kern w:val="0"/>
      <w:sz w:val="20"/>
      <w:szCs w:val="21"/>
    </w:rPr>
  </w:style>
  <w:style w:type="paragraph" w:styleId="32">
    <w:name w:val="toc 8"/>
    <w:basedOn w:val="1"/>
    <w:next w:val="1"/>
    <w:qFormat/>
    <w:uiPriority w:val="0"/>
    <w:pPr>
      <w:ind w:left="1470"/>
      <w:jc w:val="left"/>
    </w:pPr>
    <w:rPr>
      <w:rFonts w:ascii="Times New Roman" w:hAnsi="Times New Roman"/>
      <w:sz w:val="20"/>
      <w:szCs w:val="20"/>
    </w:rPr>
  </w:style>
  <w:style w:type="paragraph" w:styleId="33">
    <w:name w:val="Date"/>
    <w:basedOn w:val="1"/>
    <w:next w:val="1"/>
    <w:link w:val="71"/>
    <w:qFormat/>
    <w:uiPriority w:val="0"/>
    <w:pPr>
      <w:ind w:left="100" w:leftChars="2500"/>
    </w:pPr>
    <w:rPr>
      <w:rFonts w:ascii="Times New Roman" w:hAnsi="Times New Roman"/>
      <w:kern w:val="0"/>
      <w:sz w:val="20"/>
      <w:szCs w:val="20"/>
    </w:rPr>
  </w:style>
  <w:style w:type="paragraph" w:styleId="34">
    <w:name w:val="Body Text Indent 2"/>
    <w:basedOn w:val="1"/>
    <w:link w:val="95"/>
    <w:qFormat/>
    <w:uiPriority w:val="0"/>
    <w:pPr>
      <w:spacing w:after="120" w:line="480" w:lineRule="auto"/>
      <w:ind w:left="420" w:leftChars="200"/>
    </w:pPr>
    <w:rPr>
      <w:rFonts w:ascii="Times New Roman" w:hAnsi="Times New Roman"/>
      <w:kern w:val="0"/>
      <w:sz w:val="20"/>
      <w:szCs w:val="20"/>
    </w:rPr>
  </w:style>
  <w:style w:type="paragraph" w:styleId="35">
    <w:name w:val="Balloon Text"/>
    <w:basedOn w:val="1"/>
    <w:link w:val="72"/>
    <w:semiHidden/>
    <w:qFormat/>
    <w:uiPriority w:val="0"/>
    <w:rPr>
      <w:rFonts w:ascii="Times New Roman" w:hAnsi="Times New Roman"/>
      <w:kern w:val="0"/>
      <w:sz w:val="18"/>
      <w:szCs w:val="18"/>
    </w:rPr>
  </w:style>
  <w:style w:type="paragraph" w:styleId="36">
    <w:name w:val="footer"/>
    <w:basedOn w:val="1"/>
    <w:link w:val="69"/>
    <w:unhideWhenUsed/>
    <w:qFormat/>
    <w:uiPriority w:val="99"/>
    <w:pPr>
      <w:tabs>
        <w:tab w:val="center" w:pos="4153"/>
        <w:tab w:val="right" w:pos="8306"/>
      </w:tabs>
      <w:snapToGrid w:val="0"/>
      <w:jc w:val="left"/>
    </w:pPr>
    <w:rPr>
      <w:sz w:val="18"/>
      <w:szCs w:val="18"/>
    </w:rPr>
  </w:style>
  <w:style w:type="paragraph" w:styleId="37">
    <w:name w:val="Body Text First Indent 2"/>
    <w:basedOn w:val="24"/>
    <w:link w:val="81"/>
    <w:qFormat/>
    <w:uiPriority w:val="0"/>
    <w:pPr>
      <w:spacing w:after="120"/>
      <w:ind w:left="420" w:leftChars="200" w:firstLine="420"/>
    </w:pPr>
    <w:rPr>
      <w:szCs w:val="20"/>
    </w:rPr>
  </w:style>
  <w:style w:type="paragraph" w:styleId="38">
    <w:name w:val="header"/>
    <w:basedOn w:val="1"/>
    <w:link w:val="68"/>
    <w:unhideWhenUsed/>
    <w:qFormat/>
    <w:uiPriority w:val="0"/>
    <w:pPr>
      <w:pBdr>
        <w:bottom w:val="single" w:color="auto" w:sz="6" w:space="1"/>
      </w:pBdr>
      <w:tabs>
        <w:tab w:val="center" w:pos="4153"/>
        <w:tab w:val="right" w:pos="8306"/>
      </w:tabs>
      <w:snapToGrid w:val="0"/>
      <w:jc w:val="center"/>
    </w:pPr>
    <w:rPr>
      <w:sz w:val="18"/>
      <w:szCs w:val="18"/>
    </w:rPr>
  </w:style>
  <w:style w:type="paragraph" w:styleId="39">
    <w:name w:val="toc 1"/>
    <w:basedOn w:val="1"/>
    <w:next w:val="1"/>
    <w:qFormat/>
    <w:uiPriority w:val="39"/>
    <w:pPr>
      <w:adjustRightInd w:val="0"/>
      <w:snapToGrid w:val="0"/>
    </w:pPr>
    <w:rPr>
      <w:rFonts w:ascii="Times New Roman" w:hAnsi="Times New Roman" w:eastAsia="仿宋"/>
      <w:szCs w:val="24"/>
    </w:rPr>
  </w:style>
  <w:style w:type="paragraph" w:styleId="40">
    <w:name w:val="toc 4"/>
    <w:basedOn w:val="1"/>
    <w:next w:val="1"/>
    <w:qFormat/>
    <w:uiPriority w:val="0"/>
    <w:pPr>
      <w:ind w:left="630"/>
      <w:jc w:val="left"/>
    </w:pPr>
    <w:rPr>
      <w:rFonts w:ascii="楷体_GB2312" w:hAnsi="Times New Roman" w:eastAsia="楷体_GB2312"/>
      <w:sz w:val="28"/>
      <w:szCs w:val="20"/>
    </w:rPr>
  </w:style>
  <w:style w:type="paragraph" w:styleId="41">
    <w:name w:val="List"/>
    <w:basedOn w:val="1"/>
    <w:qFormat/>
    <w:uiPriority w:val="0"/>
    <w:pPr>
      <w:ind w:left="200" w:hanging="200" w:hangingChars="200"/>
    </w:pPr>
    <w:rPr>
      <w:rFonts w:ascii="Times New Roman" w:hAnsi="Times New Roman"/>
      <w:szCs w:val="24"/>
    </w:rPr>
  </w:style>
  <w:style w:type="paragraph" w:styleId="42">
    <w:name w:val="toc 6"/>
    <w:basedOn w:val="1"/>
    <w:next w:val="1"/>
    <w:qFormat/>
    <w:uiPriority w:val="0"/>
    <w:pPr>
      <w:ind w:left="1050"/>
      <w:jc w:val="left"/>
    </w:pPr>
    <w:rPr>
      <w:rFonts w:ascii="Times New Roman" w:hAnsi="Times New Roman"/>
      <w:sz w:val="20"/>
      <w:szCs w:val="20"/>
    </w:rPr>
  </w:style>
  <w:style w:type="paragraph" w:styleId="43">
    <w:name w:val="Body Text Indent 3"/>
    <w:basedOn w:val="1"/>
    <w:link w:val="90"/>
    <w:qFormat/>
    <w:uiPriority w:val="0"/>
    <w:pPr>
      <w:spacing w:after="120"/>
      <w:ind w:left="420" w:leftChars="200"/>
    </w:pPr>
    <w:rPr>
      <w:rFonts w:ascii="Times New Roman" w:hAnsi="Times New Roman"/>
      <w:kern w:val="0"/>
      <w:sz w:val="16"/>
      <w:szCs w:val="16"/>
    </w:rPr>
  </w:style>
  <w:style w:type="paragraph" w:styleId="44">
    <w:name w:val="toc 2"/>
    <w:basedOn w:val="1"/>
    <w:next w:val="1"/>
    <w:qFormat/>
    <w:uiPriority w:val="0"/>
    <w:pPr>
      <w:tabs>
        <w:tab w:val="left" w:pos="0"/>
        <w:tab w:val="left" w:pos="840"/>
        <w:tab w:val="right" w:leader="dot" w:pos="8688"/>
      </w:tabs>
      <w:adjustRightInd w:val="0"/>
      <w:snapToGrid w:val="0"/>
      <w:spacing w:before="120"/>
      <w:jc w:val="left"/>
    </w:pPr>
    <w:rPr>
      <w:rFonts w:ascii="楷体_GB2312" w:hAnsi="Times New Roman" w:eastAsia="仿宋"/>
      <w:sz w:val="24"/>
      <w:szCs w:val="28"/>
    </w:rPr>
  </w:style>
  <w:style w:type="paragraph" w:styleId="45">
    <w:name w:val="toc 9"/>
    <w:basedOn w:val="1"/>
    <w:next w:val="1"/>
    <w:qFormat/>
    <w:uiPriority w:val="0"/>
    <w:pPr>
      <w:ind w:left="1680"/>
      <w:jc w:val="left"/>
    </w:pPr>
    <w:rPr>
      <w:rFonts w:ascii="Times New Roman" w:hAnsi="Times New Roman"/>
      <w:sz w:val="20"/>
      <w:szCs w:val="20"/>
    </w:rPr>
  </w:style>
  <w:style w:type="paragraph" w:styleId="46">
    <w:name w:val="Body Text 2"/>
    <w:basedOn w:val="1"/>
    <w:link w:val="73"/>
    <w:unhideWhenUsed/>
    <w:qFormat/>
    <w:uiPriority w:val="0"/>
    <w:pPr>
      <w:spacing w:after="120" w:line="480" w:lineRule="auto"/>
    </w:pPr>
    <w:rPr>
      <w:rFonts w:ascii="Times New Roman" w:hAnsi="Times New Roman"/>
      <w:kern w:val="0"/>
      <w:sz w:val="20"/>
      <w:szCs w:val="20"/>
    </w:rPr>
  </w:style>
  <w:style w:type="paragraph" w:styleId="47">
    <w:name w:val="List 4"/>
    <w:basedOn w:val="1"/>
    <w:qFormat/>
    <w:uiPriority w:val="0"/>
    <w:pPr>
      <w:ind w:left="100" w:leftChars="600" w:hanging="200" w:hangingChars="200"/>
    </w:pPr>
    <w:rPr>
      <w:rFonts w:ascii="Times New Roman" w:hAnsi="Times New Roman"/>
      <w:szCs w:val="24"/>
    </w:rPr>
  </w:style>
  <w:style w:type="paragraph" w:styleId="48">
    <w:name w:val="List Continue 2"/>
    <w:basedOn w:val="1"/>
    <w:qFormat/>
    <w:uiPriority w:val="0"/>
    <w:pPr>
      <w:spacing w:after="120"/>
      <w:ind w:left="840" w:leftChars="400"/>
    </w:pPr>
    <w:rPr>
      <w:rFonts w:ascii="Times New Roman" w:hAnsi="Times New Roman"/>
      <w:szCs w:val="24"/>
    </w:rPr>
  </w:style>
  <w:style w:type="paragraph" w:styleId="49">
    <w:name w:val="Normal (Web)"/>
    <w:basedOn w:val="1"/>
    <w:qFormat/>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50">
    <w:name w:val="index 1"/>
    <w:basedOn w:val="1"/>
    <w:next w:val="1"/>
    <w:qFormat/>
    <w:uiPriority w:val="0"/>
    <w:pPr>
      <w:adjustRightInd w:val="0"/>
      <w:snapToGrid w:val="0"/>
      <w:jc w:val="center"/>
    </w:pPr>
    <w:rPr>
      <w:rFonts w:ascii="Times New Roman" w:hAnsi="Times New Roman"/>
      <w:szCs w:val="20"/>
    </w:rPr>
  </w:style>
  <w:style w:type="paragraph" w:styleId="51">
    <w:name w:val="Title"/>
    <w:basedOn w:val="1"/>
    <w:next w:val="1"/>
    <w:link w:val="97"/>
    <w:qFormat/>
    <w:uiPriority w:val="0"/>
    <w:pPr>
      <w:spacing w:before="60" w:after="60"/>
      <w:jc w:val="center"/>
      <w:outlineLvl w:val="0"/>
    </w:pPr>
    <w:rPr>
      <w:rFonts w:ascii="Cambria" w:hAnsi="Cambria" w:eastAsia="黑体"/>
      <w:b/>
      <w:bCs/>
      <w:kern w:val="0"/>
      <w:sz w:val="32"/>
      <w:szCs w:val="32"/>
    </w:rPr>
  </w:style>
  <w:style w:type="character" w:styleId="53">
    <w:name w:val="Strong"/>
    <w:qFormat/>
    <w:uiPriority w:val="0"/>
    <w:rPr>
      <w:rFonts w:ascii="Times New Roman" w:hAnsi="Times New Roman" w:eastAsia="宋体" w:cs="Times New Roman"/>
      <w:b/>
      <w:bCs/>
      <w:lang w:val="en-US" w:eastAsia="zh-CN" w:bidi="ar-SA"/>
    </w:rPr>
  </w:style>
  <w:style w:type="character" w:styleId="54">
    <w:name w:val="page number"/>
    <w:qFormat/>
    <w:uiPriority w:val="0"/>
    <w:rPr>
      <w:rFonts w:ascii="Times New Roman" w:hAnsi="Times New Roman" w:eastAsia="宋体" w:cs="Times New Roman"/>
      <w:lang w:val="en-US" w:eastAsia="zh-CN" w:bidi="ar-SA"/>
    </w:rPr>
  </w:style>
  <w:style w:type="character" w:styleId="55">
    <w:name w:val="Emphasis"/>
    <w:basedOn w:val="52"/>
    <w:qFormat/>
    <w:uiPriority w:val="20"/>
    <w:rPr>
      <w:rFonts w:ascii="Times New Roman" w:hAnsi="Times New Roman" w:eastAsia="宋体" w:cs="Times New Roman"/>
      <w:i/>
      <w:iCs/>
      <w:lang w:val="en-US" w:eastAsia="zh-CN" w:bidi="ar-SA"/>
    </w:rPr>
  </w:style>
  <w:style w:type="character" w:styleId="56">
    <w:name w:val="Hyperlink"/>
    <w:qFormat/>
    <w:uiPriority w:val="99"/>
    <w:rPr>
      <w:rFonts w:ascii="Times New Roman" w:hAnsi="Times New Roman" w:eastAsia="宋体" w:cs="Times New Roman"/>
      <w:color w:val="0000FF"/>
      <w:u w:val="single"/>
      <w:lang w:val="en-US" w:eastAsia="zh-CN" w:bidi="ar-SA"/>
    </w:rPr>
  </w:style>
  <w:style w:type="character" w:styleId="57">
    <w:name w:val="annotation reference"/>
    <w:semiHidden/>
    <w:qFormat/>
    <w:uiPriority w:val="0"/>
    <w:rPr>
      <w:rFonts w:ascii="Times New Roman" w:hAnsi="Times New Roman" w:eastAsia="宋体" w:cs="Times New Roman"/>
      <w:sz w:val="21"/>
      <w:szCs w:val="21"/>
      <w:lang w:val="en-US" w:eastAsia="zh-CN" w:bidi="ar-SA"/>
    </w:rPr>
  </w:style>
  <w:style w:type="character" w:customStyle="1" w:styleId="59">
    <w:name w:val="标题 1 字符"/>
    <w:link w:val="2"/>
    <w:qFormat/>
    <w:uiPriority w:val="0"/>
    <w:rPr>
      <w:rFonts w:ascii="Times New Roman" w:hAnsi="Times New Roman" w:eastAsia="宋体" w:cs="Times New Roman"/>
      <w:b/>
      <w:bCs/>
      <w:kern w:val="44"/>
      <w:sz w:val="30"/>
      <w:szCs w:val="44"/>
      <w:lang w:val="en-US" w:eastAsia="zh-CN" w:bidi="ar-SA"/>
    </w:rPr>
  </w:style>
  <w:style w:type="character" w:customStyle="1" w:styleId="60">
    <w:name w:val="标题 2 字符"/>
    <w:link w:val="3"/>
    <w:qFormat/>
    <w:uiPriority w:val="0"/>
    <w:rPr>
      <w:rFonts w:ascii="Arial" w:hAnsi="Arial" w:eastAsia="宋体" w:cs="Times New Roman"/>
      <w:b/>
      <w:bCs/>
      <w:kern w:val="0"/>
      <w:sz w:val="28"/>
      <w:szCs w:val="32"/>
      <w:lang w:val="en-US" w:eastAsia="zh-CN" w:bidi="ar-SA"/>
    </w:rPr>
  </w:style>
  <w:style w:type="character" w:customStyle="1" w:styleId="61">
    <w:name w:val="标题 3 字符"/>
    <w:link w:val="4"/>
    <w:qFormat/>
    <w:uiPriority w:val="0"/>
    <w:rPr>
      <w:rFonts w:ascii="宋体" w:hAnsi="Times New Roman" w:eastAsia="宋体" w:cs="Times New Roman"/>
      <w:b/>
      <w:kern w:val="0"/>
      <w:sz w:val="28"/>
      <w:szCs w:val="20"/>
      <w:lang w:val="en-US" w:eastAsia="zh-CN" w:bidi="ar-SA"/>
    </w:rPr>
  </w:style>
  <w:style w:type="character" w:customStyle="1" w:styleId="62">
    <w:name w:val="标题 4 字符"/>
    <w:link w:val="5"/>
    <w:qFormat/>
    <w:uiPriority w:val="0"/>
    <w:rPr>
      <w:rFonts w:ascii="Arial" w:hAnsi="Arial" w:eastAsia="黑体" w:cs="Times New Roman"/>
      <w:b/>
      <w:bCs/>
      <w:kern w:val="0"/>
      <w:sz w:val="28"/>
      <w:szCs w:val="28"/>
      <w:lang w:val="en-US" w:eastAsia="zh-CN" w:bidi="ar-SA"/>
    </w:rPr>
  </w:style>
  <w:style w:type="character" w:customStyle="1" w:styleId="63">
    <w:name w:val="标题 5 字符"/>
    <w:link w:val="6"/>
    <w:qFormat/>
    <w:uiPriority w:val="0"/>
    <w:rPr>
      <w:rFonts w:ascii="Times New Roman" w:hAnsi="Times New Roman" w:eastAsia="宋体" w:cs="Times New Roman"/>
      <w:b/>
      <w:bCs/>
      <w:kern w:val="0"/>
      <w:sz w:val="28"/>
      <w:szCs w:val="28"/>
      <w:lang w:val="en-US" w:eastAsia="zh-CN" w:bidi="ar-SA"/>
    </w:rPr>
  </w:style>
  <w:style w:type="character" w:customStyle="1" w:styleId="64">
    <w:name w:val="标题 6 字符"/>
    <w:link w:val="7"/>
    <w:qFormat/>
    <w:uiPriority w:val="0"/>
    <w:rPr>
      <w:rFonts w:ascii="Arial" w:hAnsi="Arial" w:eastAsia="黑体" w:cs="Times New Roman"/>
      <w:b/>
      <w:bCs/>
      <w:kern w:val="0"/>
      <w:sz w:val="24"/>
      <w:szCs w:val="24"/>
      <w:lang w:val="en-US" w:eastAsia="zh-CN" w:bidi="ar-SA"/>
    </w:rPr>
  </w:style>
  <w:style w:type="character" w:customStyle="1" w:styleId="65">
    <w:name w:val="标题 7 字符"/>
    <w:link w:val="8"/>
    <w:qFormat/>
    <w:uiPriority w:val="0"/>
    <w:rPr>
      <w:rFonts w:ascii="Times New Roman" w:hAnsi="Times New Roman" w:eastAsia="宋体" w:cs="Times New Roman"/>
      <w:b/>
      <w:bCs/>
      <w:kern w:val="0"/>
      <w:sz w:val="24"/>
      <w:szCs w:val="24"/>
      <w:lang w:val="en-US" w:eastAsia="zh-CN" w:bidi="ar-SA"/>
    </w:rPr>
  </w:style>
  <w:style w:type="character" w:customStyle="1" w:styleId="66">
    <w:name w:val="标题 8 字符"/>
    <w:link w:val="9"/>
    <w:qFormat/>
    <w:uiPriority w:val="0"/>
    <w:rPr>
      <w:rFonts w:ascii="Arial" w:hAnsi="Arial" w:eastAsia="黑体" w:cs="Times New Roman"/>
      <w:kern w:val="0"/>
      <w:sz w:val="24"/>
      <w:szCs w:val="24"/>
      <w:lang w:val="en-US" w:eastAsia="zh-CN" w:bidi="ar-SA"/>
    </w:rPr>
  </w:style>
  <w:style w:type="character" w:customStyle="1" w:styleId="67">
    <w:name w:val="标题 9 字符"/>
    <w:link w:val="10"/>
    <w:qFormat/>
    <w:uiPriority w:val="0"/>
    <w:rPr>
      <w:rFonts w:ascii="Arial" w:hAnsi="Arial" w:eastAsia="黑体" w:cs="Times New Roman"/>
      <w:kern w:val="0"/>
      <w:sz w:val="20"/>
      <w:szCs w:val="21"/>
      <w:lang w:val="en-US" w:eastAsia="zh-CN" w:bidi="ar-SA"/>
    </w:rPr>
  </w:style>
  <w:style w:type="character" w:customStyle="1" w:styleId="68">
    <w:name w:val="页眉 字符"/>
    <w:link w:val="38"/>
    <w:qFormat/>
    <w:uiPriority w:val="0"/>
    <w:rPr>
      <w:rFonts w:ascii="Times New Roman" w:hAnsi="Times New Roman" w:eastAsia="宋体" w:cs="Times New Roman"/>
      <w:sz w:val="18"/>
      <w:szCs w:val="18"/>
      <w:lang w:val="en-US" w:eastAsia="zh-CN" w:bidi="ar-SA"/>
    </w:rPr>
  </w:style>
  <w:style w:type="character" w:customStyle="1" w:styleId="69">
    <w:name w:val="页脚 字符"/>
    <w:link w:val="36"/>
    <w:qFormat/>
    <w:uiPriority w:val="99"/>
    <w:rPr>
      <w:rFonts w:ascii="Times New Roman" w:hAnsi="Times New Roman" w:eastAsia="宋体" w:cs="Times New Roman"/>
      <w:sz w:val="18"/>
      <w:szCs w:val="18"/>
      <w:lang w:val="en-US" w:eastAsia="zh-CN" w:bidi="ar-SA"/>
    </w:rPr>
  </w:style>
  <w:style w:type="character" w:customStyle="1" w:styleId="70">
    <w:name w:val="访问过的超链接1"/>
    <w:unhideWhenUsed/>
    <w:qFormat/>
    <w:uiPriority w:val="99"/>
    <w:rPr>
      <w:rFonts w:ascii="Times New Roman" w:hAnsi="Times New Roman" w:eastAsia="宋体" w:cs="Times New Roman"/>
      <w:color w:val="800080"/>
      <w:u w:val="single"/>
      <w:lang w:val="en-US" w:eastAsia="zh-CN" w:bidi="ar-SA"/>
    </w:rPr>
  </w:style>
  <w:style w:type="character" w:customStyle="1" w:styleId="71">
    <w:name w:val="日期 字符"/>
    <w:link w:val="33"/>
    <w:qFormat/>
    <w:uiPriority w:val="0"/>
    <w:rPr>
      <w:rFonts w:ascii="Times New Roman" w:hAnsi="Times New Roman" w:eastAsia="宋体" w:cs="Times New Roman"/>
      <w:kern w:val="0"/>
      <w:sz w:val="20"/>
      <w:szCs w:val="20"/>
      <w:lang w:val="en-US" w:eastAsia="zh-CN" w:bidi="ar-SA"/>
    </w:rPr>
  </w:style>
  <w:style w:type="character" w:customStyle="1" w:styleId="72">
    <w:name w:val="批注框文本 字符"/>
    <w:link w:val="35"/>
    <w:semiHidden/>
    <w:qFormat/>
    <w:uiPriority w:val="0"/>
    <w:rPr>
      <w:rFonts w:ascii="Times New Roman" w:hAnsi="Times New Roman" w:eastAsia="宋体" w:cs="Times New Roman"/>
      <w:kern w:val="0"/>
      <w:sz w:val="18"/>
      <w:szCs w:val="18"/>
      <w:lang w:val="en-US" w:eastAsia="zh-CN" w:bidi="ar-SA"/>
    </w:rPr>
  </w:style>
  <w:style w:type="character" w:customStyle="1" w:styleId="73">
    <w:name w:val="正文文本 2 字符"/>
    <w:link w:val="46"/>
    <w:qFormat/>
    <w:uiPriority w:val="0"/>
    <w:rPr>
      <w:rFonts w:ascii="Times New Roman" w:hAnsi="Times New Roman" w:eastAsia="宋体" w:cs="Times New Roman"/>
      <w:kern w:val="0"/>
      <w:sz w:val="20"/>
      <w:szCs w:val="20"/>
      <w:lang w:val="en-US" w:eastAsia="zh-CN" w:bidi="ar-SA"/>
    </w:rPr>
  </w:style>
  <w:style w:type="character" w:customStyle="1" w:styleId="74">
    <w:name w:val="文档结构图 字符"/>
    <w:link w:val="22"/>
    <w:qFormat/>
    <w:uiPriority w:val="0"/>
    <w:rPr>
      <w:rFonts w:ascii="Times New Roman" w:hAnsi="Times New Roman" w:eastAsia="宋体" w:cs="Times New Roman"/>
      <w:kern w:val="0"/>
      <w:sz w:val="20"/>
      <w:szCs w:val="20"/>
      <w:lang w:val="en-US" w:eastAsia="zh-CN" w:bidi="ar-SA"/>
    </w:rPr>
  </w:style>
  <w:style w:type="character" w:customStyle="1" w:styleId="75">
    <w:name w:val="font51"/>
    <w:qFormat/>
    <w:uiPriority w:val="0"/>
    <w:rPr>
      <w:rFonts w:hint="default" w:ascii="Times New Roman" w:hAnsi="Times New Roman" w:eastAsia="宋体" w:cs="Times New Roman"/>
      <w:b/>
      <w:color w:val="000000"/>
      <w:sz w:val="24"/>
      <w:szCs w:val="24"/>
      <w:u w:val="none"/>
      <w:lang w:val="en-US" w:eastAsia="zh-CN" w:bidi="ar-SA"/>
    </w:rPr>
  </w:style>
  <w:style w:type="character" w:customStyle="1" w:styleId="76">
    <w:name w:val="Char Char"/>
    <w:qFormat/>
    <w:uiPriority w:val="0"/>
    <w:rPr>
      <w:rFonts w:ascii="宋体" w:hAnsi="Courier New" w:eastAsia="宋体" w:cs="Courier New"/>
      <w:kern w:val="2"/>
      <w:sz w:val="21"/>
      <w:szCs w:val="21"/>
      <w:lang w:val="en-US" w:eastAsia="zh-CN" w:bidi="ar-SA"/>
    </w:rPr>
  </w:style>
  <w:style w:type="character" w:customStyle="1" w:styleId="77">
    <w:name w:val="纯文本 字符"/>
    <w:link w:val="31"/>
    <w:qFormat/>
    <w:uiPriority w:val="0"/>
    <w:rPr>
      <w:rFonts w:ascii="宋体" w:hAnsi="Courier New" w:eastAsia="宋体" w:cs="Times New Roman"/>
      <w:kern w:val="0"/>
      <w:sz w:val="20"/>
      <w:szCs w:val="21"/>
      <w:lang w:val="en-US" w:eastAsia="zh-CN" w:bidi="ar-SA"/>
    </w:rPr>
  </w:style>
  <w:style w:type="character" w:customStyle="1" w:styleId="78">
    <w:name w:val="注释文本字符"/>
    <w:semiHidden/>
    <w:qFormat/>
    <w:uiPriority w:val="0"/>
    <w:rPr>
      <w:rFonts w:ascii="Times New Roman" w:hAnsi="Times New Roman" w:eastAsia="宋体" w:cs="Times New Roman"/>
      <w:kern w:val="0"/>
      <w:sz w:val="20"/>
      <w:szCs w:val="24"/>
      <w:lang w:val="en-US" w:eastAsia="zh-CN" w:bidi="ar-SA"/>
    </w:rPr>
  </w:style>
  <w:style w:type="character" w:customStyle="1" w:styleId="79">
    <w:name w:val="Char Char3"/>
    <w:qFormat/>
    <w:uiPriority w:val="0"/>
    <w:rPr>
      <w:rFonts w:ascii="Times New Roman" w:hAnsi="Times New Roman" w:eastAsia="宋体" w:cs="Times New Roman"/>
      <w:kern w:val="2"/>
      <w:sz w:val="18"/>
      <w:szCs w:val="18"/>
      <w:lang w:val="en-US" w:eastAsia="zh-CN" w:bidi="ar-SA"/>
    </w:rPr>
  </w:style>
  <w:style w:type="character" w:customStyle="1" w:styleId="80">
    <w:name w:val="font61"/>
    <w:qFormat/>
    <w:uiPriority w:val="0"/>
    <w:rPr>
      <w:rFonts w:hint="default" w:ascii="Times New Roman" w:hAnsi="Times New Roman" w:eastAsia="宋体" w:cs="Times New Roman"/>
      <w:color w:val="000000"/>
      <w:sz w:val="24"/>
      <w:szCs w:val="24"/>
      <w:u w:val="none"/>
      <w:lang w:val="en-US" w:eastAsia="zh-CN" w:bidi="ar-SA"/>
    </w:rPr>
  </w:style>
  <w:style w:type="character" w:customStyle="1" w:styleId="81">
    <w:name w:val="正文首行缩进 2 字符"/>
    <w:link w:val="37"/>
    <w:qFormat/>
    <w:uiPriority w:val="0"/>
    <w:rPr>
      <w:rFonts w:ascii="Times New Roman" w:hAnsi="Times New Roman" w:eastAsia="宋体" w:cs="Times New Roman"/>
      <w:szCs w:val="20"/>
      <w:lang w:val="en-US" w:eastAsia="zh-CN" w:bidi="ar-SA"/>
    </w:rPr>
  </w:style>
  <w:style w:type="character" w:customStyle="1" w:styleId="82">
    <w:name w:val="正文文本缩进 字符"/>
    <w:link w:val="24"/>
    <w:qFormat/>
    <w:uiPriority w:val="0"/>
    <w:rPr>
      <w:rFonts w:ascii="宋体" w:hAnsi="宋体" w:eastAsia="宋体" w:cs="Times New Roman"/>
      <w:kern w:val="0"/>
      <w:sz w:val="28"/>
      <w:szCs w:val="28"/>
      <w:lang w:val="en-US" w:eastAsia="zh-CN" w:bidi="ar-SA"/>
    </w:rPr>
  </w:style>
  <w:style w:type="character" w:customStyle="1" w:styleId="83">
    <w:name w:val="font21"/>
    <w:qFormat/>
    <w:uiPriority w:val="0"/>
    <w:rPr>
      <w:rFonts w:hint="default" w:ascii="Times New Roman" w:hAnsi="Times New Roman" w:eastAsia="宋体" w:cs="Times New Roman"/>
      <w:color w:val="000000"/>
      <w:sz w:val="24"/>
      <w:szCs w:val="24"/>
      <w:u w:val="none"/>
      <w:vertAlign w:val="superscript"/>
      <w:lang w:val="en-US" w:eastAsia="zh-CN" w:bidi="ar-SA"/>
    </w:rPr>
  </w:style>
  <w:style w:type="character" w:customStyle="1" w:styleId="84">
    <w:name w:val="font71"/>
    <w:qFormat/>
    <w:uiPriority w:val="0"/>
    <w:rPr>
      <w:rFonts w:hint="eastAsia" w:ascii="宋体" w:hAnsi="宋体" w:eastAsia="宋体" w:cs="宋体"/>
      <w:color w:val="000000"/>
      <w:sz w:val="24"/>
      <w:szCs w:val="24"/>
      <w:u w:val="none"/>
      <w:lang w:val="en-US" w:eastAsia="zh-CN" w:bidi="ar-SA"/>
    </w:rPr>
  </w:style>
  <w:style w:type="character" w:customStyle="1" w:styleId="85">
    <w:name w:val="zbggmain style9"/>
    <w:qFormat/>
    <w:uiPriority w:val="0"/>
    <w:rPr>
      <w:rFonts w:ascii="Times New Roman" w:hAnsi="Times New Roman" w:eastAsia="宋体" w:cs="Times New Roman"/>
      <w:lang w:val="en-US" w:eastAsia="zh-CN" w:bidi="ar-SA"/>
    </w:rPr>
  </w:style>
  <w:style w:type="character" w:customStyle="1" w:styleId="86">
    <w:name w:val="正文文本 3 字符"/>
    <w:link w:val="23"/>
    <w:qFormat/>
    <w:uiPriority w:val="0"/>
    <w:rPr>
      <w:rFonts w:ascii="Times New Roman" w:hAnsi="Times New Roman" w:eastAsia="宋体" w:cs="Times New Roman"/>
      <w:kern w:val="0"/>
      <w:sz w:val="16"/>
      <w:szCs w:val="16"/>
      <w:lang w:val="en-US" w:eastAsia="zh-CN" w:bidi="ar-SA"/>
    </w:rPr>
  </w:style>
  <w:style w:type="character" w:customStyle="1" w:styleId="87">
    <w:name w:val="px1233"/>
    <w:qFormat/>
    <w:uiPriority w:val="0"/>
    <w:rPr>
      <w:rFonts w:ascii="Times New Roman" w:hAnsi="Times New Roman" w:eastAsia="宋体" w:cs="Times New Roman"/>
      <w:lang w:val="en-US" w:eastAsia="zh-CN" w:bidi="ar-SA"/>
    </w:rPr>
  </w:style>
  <w:style w:type="character" w:customStyle="1" w:styleId="88">
    <w:name w:val="font11"/>
    <w:qFormat/>
    <w:uiPriority w:val="0"/>
    <w:rPr>
      <w:rFonts w:hint="default" w:ascii="Times New Roman" w:hAnsi="Times New Roman" w:eastAsia="宋体" w:cs="Times New Roman"/>
      <w:color w:val="000000"/>
      <w:sz w:val="21"/>
      <w:szCs w:val="21"/>
      <w:u w:val="none"/>
      <w:lang w:val="en-US" w:eastAsia="zh-CN" w:bidi="ar-SA"/>
    </w:rPr>
  </w:style>
  <w:style w:type="character" w:customStyle="1" w:styleId="89">
    <w:name w:val="font41"/>
    <w:qFormat/>
    <w:uiPriority w:val="0"/>
    <w:rPr>
      <w:rFonts w:hint="eastAsia" w:ascii="宋体" w:hAnsi="宋体" w:eastAsia="宋体" w:cs="宋体"/>
      <w:b/>
      <w:color w:val="000000"/>
      <w:sz w:val="24"/>
      <w:szCs w:val="24"/>
      <w:u w:val="none"/>
      <w:lang w:val="en-US" w:eastAsia="zh-CN" w:bidi="ar-SA"/>
    </w:rPr>
  </w:style>
  <w:style w:type="character" w:customStyle="1" w:styleId="90">
    <w:name w:val="正文文本缩进 3 字符"/>
    <w:link w:val="43"/>
    <w:qFormat/>
    <w:uiPriority w:val="0"/>
    <w:rPr>
      <w:rFonts w:ascii="Times New Roman" w:hAnsi="Times New Roman" w:eastAsia="宋体" w:cs="Times New Roman"/>
      <w:kern w:val="0"/>
      <w:sz w:val="16"/>
      <w:szCs w:val="16"/>
      <w:lang w:val="en-US" w:eastAsia="zh-CN" w:bidi="ar-SA"/>
    </w:rPr>
  </w:style>
  <w:style w:type="character" w:customStyle="1" w:styleId="91">
    <w:name w:val="正文首行缩进 字符"/>
    <w:link w:val="15"/>
    <w:qFormat/>
    <w:uiPriority w:val="0"/>
    <w:rPr>
      <w:rFonts w:ascii="Times New Roman" w:hAnsi="Times New Roman" w:eastAsia="宋体" w:cs="Times New Roman"/>
      <w:kern w:val="0"/>
      <w:sz w:val="20"/>
      <w:szCs w:val="20"/>
      <w:lang w:val="en-US" w:eastAsia="zh-CN" w:bidi="ar-SA"/>
    </w:rPr>
  </w:style>
  <w:style w:type="character" w:customStyle="1" w:styleId="92">
    <w:name w:val="正文文本字符"/>
    <w:qFormat/>
    <w:uiPriority w:val="0"/>
    <w:rPr>
      <w:rFonts w:ascii="Times New Roman" w:hAnsi="Times New Roman" w:eastAsia="宋体" w:cs="Times New Roman"/>
      <w:kern w:val="0"/>
      <w:sz w:val="20"/>
      <w:szCs w:val="24"/>
      <w:lang w:val="en-US" w:eastAsia="zh-CN" w:bidi="ar-SA"/>
    </w:rPr>
  </w:style>
  <w:style w:type="character" w:customStyle="1" w:styleId="93">
    <w:name w:val="Char Char2"/>
    <w:qFormat/>
    <w:uiPriority w:val="0"/>
    <w:rPr>
      <w:rFonts w:ascii="Times New Roman" w:hAnsi="Times New Roman" w:eastAsia="宋体" w:cs="Times New Roman"/>
      <w:kern w:val="2"/>
      <w:sz w:val="18"/>
      <w:szCs w:val="18"/>
      <w:lang w:val="en-US" w:eastAsia="zh-CN" w:bidi="ar-SA"/>
    </w:rPr>
  </w:style>
  <w:style w:type="character" w:customStyle="1" w:styleId="94">
    <w:name w:val="font01"/>
    <w:qFormat/>
    <w:uiPriority w:val="0"/>
    <w:rPr>
      <w:rFonts w:hint="eastAsia" w:ascii="宋体" w:hAnsi="宋体" w:eastAsia="宋体" w:cs="宋体"/>
      <w:color w:val="000000"/>
      <w:sz w:val="21"/>
      <w:szCs w:val="21"/>
      <w:u w:val="none"/>
      <w:lang w:val="en-US" w:eastAsia="zh-CN" w:bidi="ar-SA"/>
    </w:rPr>
  </w:style>
  <w:style w:type="character" w:customStyle="1" w:styleId="95">
    <w:name w:val="正文文本缩进 2 字符"/>
    <w:link w:val="34"/>
    <w:qFormat/>
    <w:uiPriority w:val="0"/>
    <w:rPr>
      <w:rFonts w:ascii="Times New Roman" w:hAnsi="Times New Roman" w:eastAsia="宋体" w:cs="Times New Roman"/>
      <w:kern w:val="0"/>
      <w:sz w:val="20"/>
      <w:szCs w:val="20"/>
      <w:lang w:val="en-US" w:eastAsia="zh-CN" w:bidi="ar-SA"/>
    </w:rPr>
  </w:style>
  <w:style w:type="character" w:customStyle="1" w:styleId="96">
    <w:name w:val="批注主题 字符"/>
    <w:link w:val="12"/>
    <w:semiHidden/>
    <w:qFormat/>
    <w:uiPriority w:val="0"/>
    <w:rPr>
      <w:rFonts w:ascii="Times New Roman" w:hAnsi="Times New Roman" w:eastAsia="宋体" w:cs="Times New Roman"/>
      <w:b/>
      <w:bCs/>
      <w:kern w:val="0"/>
      <w:sz w:val="20"/>
      <w:szCs w:val="20"/>
      <w:lang w:val="en-US" w:eastAsia="zh-CN" w:bidi="ar-SA"/>
    </w:rPr>
  </w:style>
  <w:style w:type="character" w:customStyle="1" w:styleId="97">
    <w:name w:val="标题 字符"/>
    <w:link w:val="51"/>
    <w:qFormat/>
    <w:uiPriority w:val="0"/>
    <w:rPr>
      <w:rFonts w:ascii="Cambria" w:hAnsi="Cambria" w:eastAsia="黑体" w:cs="Times New Roman"/>
      <w:b/>
      <w:bCs/>
      <w:kern w:val="0"/>
      <w:sz w:val="32"/>
      <w:szCs w:val="32"/>
      <w:lang w:val="en-US" w:eastAsia="zh-CN" w:bidi="ar-SA"/>
    </w:rPr>
  </w:style>
  <w:style w:type="paragraph" w:customStyle="1" w:styleId="98">
    <w:name w:val="样式1"/>
    <w:basedOn w:val="5"/>
    <w:qFormat/>
    <w:uiPriority w:val="0"/>
    <w:pPr>
      <w:tabs>
        <w:tab w:val="left" w:pos="864"/>
      </w:tabs>
      <w:spacing w:before="120" w:after="120" w:line="360" w:lineRule="auto"/>
      <w:ind w:left="864" w:hanging="864"/>
    </w:pPr>
    <w:rPr>
      <w:b w:val="0"/>
      <w:bCs w:val="0"/>
    </w:rPr>
  </w:style>
  <w:style w:type="paragraph" w:customStyle="1" w:styleId="99">
    <w:name w:val="Char Char Char1 Char Char Char Char"/>
    <w:basedOn w:val="1"/>
    <w:qFormat/>
    <w:uiPriority w:val="0"/>
    <w:rPr>
      <w:rFonts w:ascii="Times New Roman" w:hAnsi="Times New Roman"/>
      <w:szCs w:val="24"/>
    </w:rPr>
  </w:style>
  <w:style w:type="paragraph" w:customStyle="1" w:styleId="100">
    <w:name w:val="Char Char Char Char Char Char"/>
    <w:basedOn w:val="1"/>
    <w:qFormat/>
    <w:uiPriority w:val="0"/>
    <w:rPr>
      <w:rFonts w:ascii="Times New Roman" w:hAnsi="Times New Roman"/>
      <w:szCs w:val="24"/>
    </w:rPr>
  </w:style>
  <w:style w:type="character" w:customStyle="1" w:styleId="101">
    <w:name w:val="批注框文本 Char1"/>
    <w:semiHidden/>
    <w:qFormat/>
    <w:uiPriority w:val="99"/>
    <w:rPr>
      <w:rFonts w:ascii="Times New Roman" w:hAnsi="Times New Roman" w:eastAsia="宋体" w:cs="Times New Roman"/>
      <w:kern w:val="2"/>
      <w:sz w:val="18"/>
      <w:szCs w:val="18"/>
      <w:lang w:val="en-US" w:eastAsia="zh-CN" w:bidi="ar-SA"/>
    </w:rPr>
  </w:style>
  <w:style w:type="character" w:customStyle="1" w:styleId="102">
    <w:name w:val="批注框文本字符1"/>
    <w:semiHidden/>
    <w:qFormat/>
    <w:uiPriority w:val="99"/>
    <w:rPr>
      <w:rFonts w:ascii="Heiti SC Light" w:hAnsi="Times New Roman" w:eastAsia="Heiti SC Light" w:cs="Times New Roman"/>
      <w:sz w:val="18"/>
      <w:szCs w:val="18"/>
      <w:lang w:val="en-US" w:eastAsia="zh-CN" w:bidi="ar-SA"/>
    </w:rPr>
  </w:style>
  <w:style w:type="character" w:customStyle="1" w:styleId="103">
    <w:name w:val="日期 Char1"/>
    <w:semiHidden/>
    <w:qFormat/>
    <w:uiPriority w:val="99"/>
    <w:rPr>
      <w:rFonts w:ascii="Times New Roman" w:hAnsi="Times New Roman" w:eastAsia="宋体" w:cs="Times New Roman"/>
      <w:kern w:val="2"/>
      <w:sz w:val="21"/>
      <w:szCs w:val="22"/>
      <w:lang w:val="en-US" w:eastAsia="zh-CN" w:bidi="ar-SA"/>
    </w:rPr>
  </w:style>
  <w:style w:type="character" w:customStyle="1" w:styleId="104">
    <w:name w:val="日期字符1"/>
    <w:semiHidden/>
    <w:qFormat/>
    <w:uiPriority w:val="99"/>
    <w:rPr>
      <w:rFonts w:ascii="Times New Roman" w:hAnsi="Times New Roman" w:eastAsia="宋体" w:cs="Times New Roman"/>
      <w:lang w:val="en-US" w:eastAsia="zh-CN" w:bidi="ar-SA"/>
    </w:rPr>
  </w:style>
  <w:style w:type="character" w:customStyle="1" w:styleId="105">
    <w:name w:val="纯文本 Char1"/>
    <w:semiHidden/>
    <w:qFormat/>
    <w:uiPriority w:val="99"/>
    <w:rPr>
      <w:rFonts w:ascii="宋体" w:hAnsi="Courier New" w:eastAsia="宋体" w:cs="Courier New"/>
      <w:kern w:val="2"/>
      <w:sz w:val="21"/>
      <w:szCs w:val="21"/>
      <w:lang w:val="en-US" w:eastAsia="zh-CN" w:bidi="ar-SA"/>
    </w:rPr>
  </w:style>
  <w:style w:type="character" w:customStyle="1" w:styleId="106">
    <w:name w:val="纯文本字符1"/>
    <w:semiHidden/>
    <w:qFormat/>
    <w:uiPriority w:val="99"/>
    <w:rPr>
      <w:rFonts w:ascii="宋体" w:hAnsi="Courier" w:eastAsia="宋体" w:cs="Times New Roman"/>
      <w:lang w:val="en-US" w:eastAsia="zh-CN" w:bidi="ar-SA"/>
    </w:rPr>
  </w:style>
  <w:style w:type="character" w:customStyle="1" w:styleId="107">
    <w:name w:val="批注文字 字符"/>
    <w:link w:val="13"/>
    <w:qFormat/>
    <w:uiPriority w:val="0"/>
    <w:rPr>
      <w:rFonts w:ascii="Times New Roman" w:hAnsi="Times New Roman" w:eastAsia="宋体" w:cs="Times New Roman"/>
      <w:sz w:val="24"/>
      <w:szCs w:val="24"/>
      <w:lang w:val="en-US" w:eastAsia="zh-CN" w:bidi="ar-SA"/>
    </w:rPr>
  </w:style>
  <w:style w:type="character" w:customStyle="1" w:styleId="108">
    <w:name w:val="批注主题 Char1"/>
    <w:semiHidden/>
    <w:qFormat/>
    <w:uiPriority w:val="99"/>
    <w:rPr>
      <w:rFonts w:ascii="Times New Roman" w:hAnsi="Times New Roman" w:eastAsia="宋体" w:cs="Times New Roman"/>
      <w:b/>
      <w:bCs/>
      <w:kern w:val="2"/>
      <w:sz w:val="24"/>
      <w:szCs w:val="24"/>
      <w:lang w:val="en-US" w:eastAsia="zh-CN" w:bidi="ar-SA"/>
    </w:rPr>
  </w:style>
  <w:style w:type="character" w:customStyle="1" w:styleId="109">
    <w:name w:val="批注主题字符1"/>
    <w:semiHidden/>
    <w:qFormat/>
    <w:uiPriority w:val="99"/>
    <w:rPr>
      <w:rFonts w:ascii="Times New Roman" w:hAnsi="Times New Roman" w:eastAsia="宋体" w:cs="Times New Roman"/>
      <w:b/>
      <w:bCs/>
      <w:kern w:val="2"/>
      <w:sz w:val="24"/>
      <w:szCs w:val="24"/>
      <w:lang w:val="en-US" w:eastAsia="zh-CN" w:bidi="ar-SA"/>
    </w:rPr>
  </w:style>
  <w:style w:type="paragraph" w:customStyle="1" w:styleId="110">
    <w:name w:val="Char Char Char Char"/>
    <w:basedOn w:val="1"/>
    <w:uiPriority w:val="0"/>
    <w:rPr>
      <w:rFonts w:ascii="Times New Roman" w:hAnsi="Times New Roman"/>
      <w:szCs w:val="24"/>
    </w:rPr>
  </w:style>
  <w:style w:type="character" w:customStyle="1" w:styleId="111">
    <w:name w:val="正文文本 字符"/>
    <w:link w:val="16"/>
    <w:qFormat/>
    <w:uiPriority w:val="0"/>
    <w:rPr>
      <w:rFonts w:ascii="Times New Roman" w:hAnsi="Times New Roman" w:eastAsia="宋体" w:cs="Times New Roman"/>
      <w:sz w:val="24"/>
      <w:szCs w:val="24"/>
      <w:lang w:val="en-US" w:eastAsia="zh-CN" w:bidi="ar-SA"/>
    </w:rPr>
  </w:style>
  <w:style w:type="character" w:customStyle="1" w:styleId="112">
    <w:name w:val="正文首行缩进 Char1"/>
    <w:basedOn w:val="111"/>
    <w:semiHidden/>
    <w:qFormat/>
    <w:uiPriority w:val="99"/>
    <w:rPr>
      <w:rFonts w:ascii="Times New Roman" w:hAnsi="Times New Roman" w:eastAsia="宋体" w:cs="Times New Roman"/>
      <w:kern w:val="2"/>
      <w:sz w:val="24"/>
      <w:szCs w:val="24"/>
      <w:lang w:val="en-US" w:eastAsia="zh-CN" w:bidi="ar-SA"/>
    </w:rPr>
  </w:style>
  <w:style w:type="character" w:customStyle="1" w:styleId="113">
    <w:name w:val="正文首行缩进字符1"/>
    <w:semiHidden/>
    <w:qFormat/>
    <w:uiPriority w:val="99"/>
    <w:rPr>
      <w:rFonts w:ascii="Times New Roman" w:hAnsi="Times New Roman" w:eastAsia="宋体" w:cs="Times New Roman"/>
      <w:kern w:val="2"/>
      <w:sz w:val="24"/>
      <w:szCs w:val="24"/>
      <w:lang w:val="en-US" w:eastAsia="zh-CN" w:bidi="ar-SA"/>
    </w:rPr>
  </w:style>
  <w:style w:type="character" w:customStyle="1" w:styleId="114">
    <w:name w:val="正文文本缩进 3 Char1"/>
    <w:semiHidden/>
    <w:qFormat/>
    <w:uiPriority w:val="99"/>
    <w:rPr>
      <w:rFonts w:ascii="Times New Roman" w:hAnsi="Times New Roman" w:eastAsia="宋体" w:cs="Times New Roman"/>
      <w:kern w:val="2"/>
      <w:sz w:val="16"/>
      <w:szCs w:val="16"/>
      <w:lang w:val="en-US" w:eastAsia="zh-CN" w:bidi="ar-SA"/>
    </w:rPr>
  </w:style>
  <w:style w:type="character" w:customStyle="1" w:styleId="115">
    <w:name w:val="正文文本缩进 3字符1"/>
    <w:semiHidden/>
    <w:qFormat/>
    <w:uiPriority w:val="99"/>
    <w:rPr>
      <w:rFonts w:ascii="Times New Roman" w:hAnsi="Times New Roman" w:eastAsia="宋体" w:cs="Times New Roman"/>
      <w:sz w:val="16"/>
      <w:szCs w:val="16"/>
      <w:lang w:val="en-US" w:eastAsia="zh-CN" w:bidi="ar-SA"/>
    </w:rPr>
  </w:style>
  <w:style w:type="paragraph" w:customStyle="1" w:styleId="116">
    <w:name w:val="p0"/>
    <w:basedOn w:val="1"/>
    <w:qFormat/>
    <w:uiPriority w:val="0"/>
    <w:pPr>
      <w:widowControl/>
    </w:pPr>
    <w:rPr>
      <w:rFonts w:ascii="Times New Roman" w:hAnsi="Times New Roman"/>
      <w:kern w:val="0"/>
      <w:szCs w:val="21"/>
    </w:rPr>
  </w:style>
  <w:style w:type="character" w:customStyle="1" w:styleId="117">
    <w:name w:val="文档结构图 Char1"/>
    <w:semiHidden/>
    <w:qFormat/>
    <w:uiPriority w:val="99"/>
    <w:rPr>
      <w:rFonts w:ascii="宋体" w:hAnsi="Times New Roman" w:eastAsia="宋体" w:cs="Times New Roman"/>
      <w:kern w:val="2"/>
      <w:sz w:val="18"/>
      <w:szCs w:val="18"/>
      <w:lang w:val="en-US" w:eastAsia="zh-CN" w:bidi="ar-SA"/>
    </w:rPr>
  </w:style>
  <w:style w:type="character" w:customStyle="1" w:styleId="118">
    <w:name w:val="文档结构图 字符1"/>
    <w:semiHidden/>
    <w:qFormat/>
    <w:uiPriority w:val="99"/>
    <w:rPr>
      <w:rFonts w:ascii="Heiti SC Light" w:hAnsi="Times New Roman" w:eastAsia="Heiti SC Light" w:cs="Times New Roman"/>
      <w:lang w:val="en-US" w:eastAsia="zh-CN" w:bidi="ar-SA"/>
    </w:rPr>
  </w:style>
  <w:style w:type="character" w:customStyle="1" w:styleId="119">
    <w:name w:val="正文文本 3 Char1"/>
    <w:semiHidden/>
    <w:qFormat/>
    <w:uiPriority w:val="99"/>
    <w:rPr>
      <w:rFonts w:ascii="Times New Roman" w:hAnsi="Times New Roman" w:eastAsia="宋体" w:cs="Times New Roman"/>
      <w:kern w:val="2"/>
      <w:sz w:val="16"/>
      <w:szCs w:val="16"/>
      <w:lang w:val="en-US" w:eastAsia="zh-CN" w:bidi="ar-SA"/>
    </w:rPr>
  </w:style>
  <w:style w:type="character" w:customStyle="1" w:styleId="120">
    <w:name w:val="正文文本 3字符1"/>
    <w:semiHidden/>
    <w:qFormat/>
    <w:uiPriority w:val="99"/>
    <w:rPr>
      <w:rFonts w:ascii="Times New Roman" w:hAnsi="Times New Roman" w:eastAsia="宋体" w:cs="Times New Roman"/>
      <w:sz w:val="16"/>
      <w:szCs w:val="16"/>
      <w:lang w:val="en-US" w:eastAsia="zh-CN" w:bidi="ar-SA"/>
    </w:rPr>
  </w:style>
  <w:style w:type="character" w:customStyle="1" w:styleId="121">
    <w:name w:val="正文文本缩进 Char1"/>
    <w:semiHidden/>
    <w:qFormat/>
    <w:uiPriority w:val="99"/>
    <w:rPr>
      <w:rFonts w:ascii="Times New Roman" w:hAnsi="Times New Roman" w:eastAsia="宋体" w:cs="Times New Roman"/>
      <w:kern w:val="2"/>
      <w:sz w:val="21"/>
      <w:szCs w:val="22"/>
      <w:lang w:val="en-US" w:eastAsia="zh-CN" w:bidi="ar-SA"/>
    </w:rPr>
  </w:style>
  <w:style w:type="character" w:customStyle="1" w:styleId="122">
    <w:name w:val="正文文本缩进字符1"/>
    <w:semiHidden/>
    <w:qFormat/>
    <w:uiPriority w:val="99"/>
    <w:rPr>
      <w:rFonts w:ascii="Times New Roman" w:hAnsi="Times New Roman" w:eastAsia="宋体" w:cs="Times New Roman"/>
      <w:lang w:val="en-US" w:eastAsia="zh-CN" w:bidi="ar-SA"/>
    </w:rPr>
  </w:style>
  <w:style w:type="character" w:customStyle="1" w:styleId="123">
    <w:name w:val="正文文本缩进 2 Char1"/>
    <w:semiHidden/>
    <w:qFormat/>
    <w:uiPriority w:val="99"/>
    <w:rPr>
      <w:rFonts w:ascii="Times New Roman" w:hAnsi="Times New Roman" w:eastAsia="宋体" w:cs="Times New Roman"/>
      <w:kern w:val="2"/>
      <w:sz w:val="21"/>
      <w:szCs w:val="22"/>
      <w:lang w:val="en-US" w:eastAsia="zh-CN" w:bidi="ar-SA"/>
    </w:rPr>
  </w:style>
  <w:style w:type="character" w:customStyle="1" w:styleId="124">
    <w:name w:val="正文文本缩进 2字符1"/>
    <w:semiHidden/>
    <w:qFormat/>
    <w:uiPriority w:val="99"/>
    <w:rPr>
      <w:rFonts w:ascii="Times New Roman" w:hAnsi="Times New Roman" w:eastAsia="宋体" w:cs="Times New Roman"/>
      <w:lang w:val="en-US" w:eastAsia="zh-CN" w:bidi="ar-SA"/>
    </w:rPr>
  </w:style>
  <w:style w:type="paragraph" w:customStyle="1" w:styleId="125">
    <w:name w:val="Legal 3"/>
    <w:basedOn w:val="126"/>
    <w:next w:val="126"/>
    <w:qFormat/>
    <w:uiPriority w:val="0"/>
    <w:pPr>
      <w:spacing w:after="120"/>
    </w:pPr>
    <w:rPr>
      <w:rFonts w:cs="Times New Roman"/>
      <w:color w:val="auto"/>
    </w:rPr>
  </w:style>
  <w:style w:type="paragraph" w:customStyle="1" w:styleId="1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27">
    <w:name w:val="页脚字符1"/>
    <w:semiHidden/>
    <w:qFormat/>
    <w:uiPriority w:val="99"/>
    <w:rPr>
      <w:rFonts w:ascii="Times New Roman" w:hAnsi="Times New Roman" w:eastAsia="宋体" w:cs="Times New Roman"/>
      <w:sz w:val="18"/>
      <w:szCs w:val="18"/>
      <w:lang w:val="en-US" w:eastAsia="zh-CN" w:bidi="ar-SA"/>
    </w:rPr>
  </w:style>
  <w:style w:type="character" w:customStyle="1" w:styleId="128">
    <w:name w:val="正文首行缩进 2 Char1"/>
    <w:basedOn w:val="121"/>
    <w:semiHidden/>
    <w:qFormat/>
    <w:uiPriority w:val="99"/>
    <w:rPr>
      <w:rFonts w:ascii="Times New Roman" w:hAnsi="Times New Roman" w:eastAsia="宋体" w:cs="Times New Roman"/>
      <w:kern w:val="2"/>
      <w:sz w:val="21"/>
      <w:szCs w:val="22"/>
      <w:lang w:val="en-US" w:eastAsia="zh-CN" w:bidi="ar-SA"/>
    </w:rPr>
  </w:style>
  <w:style w:type="character" w:customStyle="1" w:styleId="129">
    <w:name w:val="正文首行缩进 2字符1"/>
    <w:semiHidden/>
    <w:qFormat/>
    <w:uiPriority w:val="99"/>
    <w:rPr>
      <w:rFonts w:ascii="Times New Roman" w:hAnsi="Times New Roman" w:eastAsia="宋体" w:cs="Times New Roman"/>
      <w:lang w:val="en-US" w:eastAsia="zh-CN" w:bidi="ar-SA"/>
    </w:rPr>
  </w:style>
  <w:style w:type="character" w:customStyle="1" w:styleId="130">
    <w:name w:val="页眉字符1"/>
    <w:semiHidden/>
    <w:qFormat/>
    <w:uiPriority w:val="99"/>
    <w:rPr>
      <w:rFonts w:ascii="Times New Roman" w:hAnsi="Times New Roman" w:eastAsia="宋体" w:cs="Times New Roman"/>
      <w:sz w:val="18"/>
      <w:szCs w:val="18"/>
      <w:lang w:val="en-US" w:eastAsia="zh-CN" w:bidi="ar-SA"/>
    </w:rPr>
  </w:style>
  <w:style w:type="character" w:customStyle="1" w:styleId="131">
    <w:name w:val="正文文本 2 Char1"/>
    <w:semiHidden/>
    <w:qFormat/>
    <w:uiPriority w:val="99"/>
    <w:rPr>
      <w:rFonts w:ascii="Times New Roman" w:hAnsi="Times New Roman" w:eastAsia="宋体" w:cs="Times New Roman"/>
      <w:kern w:val="2"/>
      <w:sz w:val="21"/>
      <w:szCs w:val="22"/>
      <w:lang w:val="en-US" w:eastAsia="zh-CN" w:bidi="ar-SA"/>
    </w:rPr>
  </w:style>
  <w:style w:type="character" w:customStyle="1" w:styleId="132">
    <w:name w:val="正文文本 2字符1"/>
    <w:semiHidden/>
    <w:qFormat/>
    <w:uiPriority w:val="99"/>
    <w:rPr>
      <w:rFonts w:ascii="Times New Roman" w:hAnsi="Times New Roman" w:eastAsia="宋体" w:cs="Times New Roman"/>
      <w:lang w:val="en-US" w:eastAsia="zh-CN" w:bidi="ar-SA"/>
    </w:rPr>
  </w:style>
  <w:style w:type="character" w:customStyle="1" w:styleId="133">
    <w:name w:val="标题 Char1"/>
    <w:qFormat/>
    <w:uiPriority w:val="10"/>
    <w:rPr>
      <w:rFonts w:ascii="Cambria" w:hAnsi="Cambria" w:eastAsia="宋体" w:cs="Times New Roman"/>
      <w:b/>
      <w:bCs/>
      <w:kern w:val="2"/>
      <w:sz w:val="32"/>
      <w:szCs w:val="32"/>
      <w:lang w:val="en-US" w:eastAsia="zh-CN" w:bidi="ar-SA"/>
    </w:rPr>
  </w:style>
  <w:style w:type="character" w:customStyle="1" w:styleId="134">
    <w:name w:val="标题字符1"/>
    <w:qFormat/>
    <w:uiPriority w:val="10"/>
    <w:rPr>
      <w:rFonts w:ascii="Cambria" w:hAnsi="Cambria" w:eastAsia="宋体" w:cs="Times New Roman"/>
      <w:b/>
      <w:bCs/>
      <w:sz w:val="32"/>
      <w:szCs w:val="32"/>
      <w:lang w:val="en-US" w:eastAsia="zh-CN" w:bidi="ar-SA"/>
    </w:rPr>
  </w:style>
  <w:style w:type="paragraph" w:customStyle="1" w:styleId="135">
    <w:name w:val="列出段落1"/>
    <w:basedOn w:val="1"/>
    <w:unhideWhenUsed/>
    <w:qFormat/>
    <w:uiPriority w:val="99"/>
    <w:pPr>
      <w:ind w:firstLine="420" w:firstLineChars="200"/>
    </w:pPr>
  </w:style>
  <w:style w:type="paragraph" w:customStyle="1" w:styleId="136">
    <w:name w:val="图表标题"/>
    <w:basedOn w:val="1"/>
    <w:next w:val="16"/>
    <w:qFormat/>
    <w:uiPriority w:val="0"/>
    <w:rPr>
      <w:rFonts w:ascii="Times New Roman" w:hAnsi="Times New Roman"/>
      <w:sz w:val="30"/>
      <w:szCs w:val="20"/>
    </w:rPr>
  </w:style>
  <w:style w:type="paragraph" w:customStyle="1" w:styleId="137">
    <w:name w:val="样式 正文文本"/>
    <w:basedOn w:val="1"/>
    <w:qFormat/>
    <w:uiPriority w:val="0"/>
    <w:pPr>
      <w:adjustRightInd w:val="0"/>
      <w:snapToGrid w:val="0"/>
      <w:spacing w:line="400" w:lineRule="exact"/>
      <w:ind w:firstLine="200" w:firstLineChars="200"/>
    </w:pPr>
    <w:rPr>
      <w:rFonts w:ascii="Arial" w:hAnsi="Arial"/>
      <w:color w:val="000000"/>
      <w:szCs w:val="20"/>
    </w:rPr>
  </w:style>
  <w:style w:type="paragraph" w:customStyle="1" w:styleId="138">
    <w:name w:val="Char"/>
    <w:basedOn w:val="1"/>
    <w:qFormat/>
    <w:uiPriority w:val="0"/>
    <w:rPr>
      <w:rFonts w:ascii="仿宋_GB2312" w:hAnsi="Times New Roman" w:eastAsia="仿宋_GB2312"/>
      <w:b/>
      <w:sz w:val="32"/>
      <w:szCs w:val="32"/>
    </w:rPr>
  </w:style>
  <w:style w:type="paragraph" w:customStyle="1" w:styleId="139">
    <w:name w:val="Char4 Char Char Char"/>
    <w:basedOn w:val="22"/>
    <w:qFormat/>
    <w:uiPriority w:val="0"/>
    <w:rPr>
      <w:rFonts w:ascii="Tahoma" w:hAnsi="Tahoma"/>
      <w:sz w:val="24"/>
    </w:rPr>
  </w:style>
  <w:style w:type="paragraph" w:customStyle="1" w:styleId="140">
    <w:name w:val="表内文字"/>
    <w:basedOn w:val="1"/>
    <w:qFormat/>
    <w:uiPriority w:val="0"/>
    <w:pPr>
      <w:widowControl/>
      <w:ind w:firstLine="120" w:firstLineChars="50"/>
    </w:pPr>
    <w:rPr>
      <w:rFonts w:ascii="宋体" w:hAnsi="宋体"/>
      <w:sz w:val="24"/>
      <w:szCs w:val="20"/>
    </w:rPr>
  </w:style>
  <w:style w:type="paragraph" w:customStyle="1" w:styleId="141">
    <w:name w:val="Char Char Char"/>
    <w:basedOn w:val="1"/>
    <w:qFormat/>
    <w:uiPriority w:val="0"/>
    <w:pPr>
      <w:ind w:firstLine="360" w:firstLineChars="150"/>
    </w:pPr>
    <w:rPr>
      <w:rFonts w:ascii="Tahoma" w:hAnsi="Tahoma"/>
      <w:sz w:val="24"/>
      <w:szCs w:val="20"/>
    </w:rPr>
  </w:style>
  <w:style w:type="paragraph" w:customStyle="1" w:styleId="142">
    <w:name w:val="样式 样式1 + 首行缩进:  2 字符"/>
    <w:basedOn w:val="1"/>
    <w:qFormat/>
    <w:uiPriority w:val="0"/>
    <w:pPr>
      <w:spacing w:line="360" w:lineRule="exact"/>
      <w:ind w:firstLine="420" w:firstLineChars="200"/>
    </w:pPr>
    <w:rPr>
      <w:rFonts w:ascii="Arial" w:hAnsi="Arial"/>
      <w:szCs w:val="20"/>
    </w:rPr>
  </w:style>
  <w:style w:type="paragraph" w:customStyle="1" w:styleId="143">
    <w:name w:val="legal 2"/>
    <w:basedOn w:val="126"/>
    <w:next w:val="126"/>
    <w:qFormat/>
    <w:uiPriority w:val="0"/>
    <w:pPr>
      <w:spacing w:after="120"/>
    </w:pPr>
    <w:rPr>
      <w:rFonts w:cs="Times New Roman"/>
      <w:color w:val="auto"/>
    </w:rPr>
  </w:style>
  <w:style w:type="paragraph" w:customStyle="1" w:styleId="144">
    <w:name w:val="列表延续"/>
    <w:basedOn w:val="1"/>
    <w:qFormat/>
    <w:uiPriority w:val="0"/>
    <w:pPr>
      <w:numPr>
        <w:ilvl w:val="8"/>
        <w:numId w:val="4"/>
      </w:numPr>
      <w:adjustRightInd w:val="0"/>
      <w:spacing w:line="360" w:lineRule="auto"/>
      <w:textAlignment w:val="baseline"/>
    </w:pPr>
    <w:rPr>
      <w:rFonts w:ascii="Times New Roman" w:hAnsi="Tms Rmn" w:eastAsia="楷体_GB2312"/>
      <w:kern w:val="28"/>
      <w:sz w:val="28"/>
      <w:szCs w:val="20"/>
    </w:rPr>
  </w:style>
  <w:style w:type="paragraph" w:customStyle="1" w:styleId="145">
    <w:name w:val="Legal 5"/>
    <w:basedOn w:val="126"/>
    <w:next w:val="126"/>
    <w:qFormat/>
    <w:uiPriority w:val="0"/>
    <w:pPr>
      <w:spacing w:after="120"/>
    </w:pPr>
    <w:rPr>
      <w:rFonts w:cs="Times New Roman"/>
      <w:color w:val="auto"/>
    </w:rPr>
  </w:style>
  <w:style w:type="paragraph" w:customStyle="1" w:styleId="14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7">
    <w:name w:val="Legal 4"/>
    <w:basedOn w:val="126"/>
    <w:next w:val="126"/>
    <w:qFormat/>
    <w:uiPriority w:val="0"/>
    <w:pPr>
      <w:spacing w:after="120"/>
    </w:pPr>
    <w:rPr>
      <w:rFonts w:cs="Times New Roman"/>
      <w:color w:val="auto"/>
    </w:rPr>
  </w:style>
  <w:style w:type="paragraph" w:customStyle="1" w:styleId="148">
    <w:name w:val="_Style 4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9">
    <w:name w:val="正文文字3"/>
    <w:basedOn w:val="16"/>
    <w:qFormat/>
    <w:uiPriority w:val="0"/>
    <w:pPr>
      <w:adjustRightInd w:val="0"/>
      <w:spacing w:after="0" w:line="360" w:lineRule="atLeast"/>
      <w:ind w:left="30" w:leftChars="30" w:right="30" w:rightChars="30"/>
      <w:textAlignment w:val="baseline"/>
    </w:pPr>
    <w:rPr>
      <w:rFonts w:ascii="Times New Roman" w:hAnsi="Times New Roman"/>
      <w:kern w:val="0"/>
      <w:sz w:val="20"/>
      <w:szCs w:val="20"/>
    </w:rPr>
  </w:style>
  <w:style w:type="paragraph" w:customStyle="1" w:styleId="150">
    <w:name w:val="1"/>
    <w:basedOn w:val="1"/>
    <w:qFormat/>
    <w:uiPriority w:val="0"/>
    <w:rPr>
      <w:rFonts w:ascii="仿宋_GB2312" w:hAnsi="Times New Roman" w:eastAsia="仿宋_GB2312"/>
      <w:b/>
      <w:sz w:val="32"/>
      <w:szCs w:val="32"/>
    </w:rPr>
  </w:style>
  <w:style w:type="paragraph" w:customStyle="1" w:styleId="151">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2">
    <w:name w:val="p16"/>
    <w:basedOn w:val="1"/>
    <w:qFormat/>
    <w:uiPriority w:val="0"/>
    <w:pPr>
      <w:widowControl/>
      <w:spacing w:line="360" w:lineRule="auto"/>
      <w:ind w:left="-2" w:firstLine="2"/>
      <w:jc w:val="left"/>
    </w:pPr>
    <w:rPr>
      <w:rFonts w:ascii="宋体" w:hAnsi="宋体" w:cs="宋体"/>
      <w:kern w:val="0"/>
      <w:sz w:val="30"/>
      <w:szCs w:val="30"/>
    </w:rPr>
  </w:style>
  <w:style w:type="paragraph" w:customStyle="1" w:styleId="153">
    <w:name w:val="Char Char Char1"/>
    <w:basedOn w:val="1"/>
    <w:qFormat/>
    <w:uiPriority w:val="0"/>
    <w:rPr>
      <w:rFonts w:ascii="仿宋_GB2312" w:hAnsi="Times New Roman" w:eastAsia="仿宋_GB2312"/>
      <w:b/>
      <w:sz w:val="32"/>
      <w:szCs w:val="32"/>
    </w:rPr>
  </w:style>
  <w:style w:type="paragraph" w:customStyle="1" w:styleId="15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5">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56</Pages>
  <Words>34686</Words>
  <Characters>37585</Characters>
  <Lines>306</Lines>
  <Paragraphs>86</Paragraphs>
  <TotalTime>0</TotalTime>
  <ScaleCrop>false</ScaleCrop>
  <LinksUpToDate>false</LinksUpToDate>
  <CharactersWithSpaces>40905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2019-04-12T05:48:00Z</dcterms:created>
  <dc:creator>俞楚石</dc:creator>
  <cp:lastModifiedBy>贾思勰</cp:lastModifiedBy>
  <cp:lastPrinted>2019-05-29T02:10:00Z</cp:lastPrinted>
  <dcterms:modified xsi:type="dcterms:W3CDTF">2020-05-06T06:38:18Z</dcterms:modified>
  <cp:revision>166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