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28451845"/>
      <w:bookmarkStart w:id="2" w:name="_Toc140045840"/>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杭州萧山国际机场航站楼地下车库进出口伸缩缝排水沟清淤项目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9"/>
        <w:spacing w:line="480" w:lineRule="auto"/>
        <w:jc w:val="center"/>
        <w:rPr>
          <w:rFonts w:ascii="Calibri" w:hAnsi="Calibri" w:eastAsia="隶书" w:cs="Calibri"/>
          <w:sz w:val="32"/>
        </w:rPr>
      </w:pPr>
    </w:p>
    <w:p>
      <w:pPr>
        <w:pStyle w:val="9"/>
        <w:spacing w:line="480" w:lineRule="auto"/>
        <w:jc w:val="center"/>
        <w:rPr>
          <w:rFonts w:ascii="Calibri" w:hAnsi="Calibri" w:eastAsia="隶书" w:cs="Calibri"/>
          <w:sz w:val="32"/>
        </w:rPr>
      </w:pPr>
    </w:p>
    <w:p>
      <w:pPr>
        <w:pStyle w:val="9"/>
        <w:spacing w:line="480" w:lineRule="auto"/>
        <w:jc w:val="center"/>
        <w:rPr>
          <w:rFonts w:ascii="Calibri" w:hAnsi="Calibri" w:eastAsia="隶书" w:cs="Calibri"/>
          <w:sz w:val="32"/>
        </w:rPr>
      </w:pPr>
    </w:p>
    <w:p>
      <w:pPr>
        <w:pStyle w:val="9"/>
        <w:spacing w:line="480" w:lineRule="auto"/>
        <w:jc w:val="center"/>
        <w:rPr>
          <w:rFonts w:ascii="Calibri" w:hAnsi="Calibri" w:eastAsia="隶书" w:cs="Calibri"/>
          <w:sz w:val="32"/>
        </w:rPr>
      </w:pPr>
    </w:p>
    <w:p>
      <w:pPr>
        <w:pStyle w:val="9"/>
        <w:spacing w:line="480" w:lineRule="auto"/>
        <w:jc w:val="center"/>
        <w:rPr>
          <w:rFonts w:ascii="Calibri" w:hAnsi="Calibri" w:eastAsia="隶书" w:cs="Calibri"/>
          <w:sz w:val="32"/>
        </w:rPr>
      </w:pPr>
    </w:p>
    <w:p>
      <w:pPr>
        <w:pStyle w:val="9"/>
        <w:spacing w:line="480" w:lineRule="auto"/>
        <w:rPr>
          <w:rFonts w:ascii="Calibri" w:hAnsi="Calibri" w:eastAsia="隶书" w:cs="Calibri"/>
          <w:sz w:val="32"/>
        </w:rPr>
      </w:pPr>
    </w:p>
    <w:p>
      <w:pPr>
        <w:pStyle w:val="9"/>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9"/>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rPr>
        <w:t>二</w:t>
      </w:r>
      <w:r>
        <w:rPr>
          <w:rFonts w:hint="eastAsia" w:ascii="Calibri" w:hAnsi="Calibri" w:eastAsia="黑体" w:cs="Calibri"/>
          <w:sz w:val="32"/>
          <w:szCs w:val="32"/>
        </w:rPr>
        <w:t>年</w:t>
      </w:r>
      <w:r>
        <w:rPr>
          <w:rFonts w:hint="eastAsia" w:ascii="Calibri" w:hAnsi="Calibri" w:eastAsia="黑体" w:cs="Calibri"/>
          <w:sz w:val="32"/>
          <w:szCs w:val="32"/>
          <w:u w:val="single"/>
        </w:rPr>
        <w:t>八</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3"/>
        <w:rPr>
          <w:rFonts w:ascii="Calibri" w:cs="Calibri"/>
          <w:b/>
          <w:color w:val="000000"/>
          <w:sz w:val="44"/>
        </w:rPr>
      </w:pPr>
      <w:bookmarkStart w:id="3" w:name="_Toc349011855"/>
      <w:bookmarkStart w:id="4" w:name="_Toc386359390"/>
      <w:bookmarkStart w:id="5" w:name="_Toc386363314"/>
      <w:bookmarkStart w:id="6" w:name="_Toc349007685"/>
      <w:r>
        <w:rPr>
          <w:rFonts w:hint="eastAsia" w:ascii="Calibri" w:cs="Calibri"/>
          <w:b/>
          <w:color w:val="000000"/>
          <w:sz w:val="44"/>
        </w:rPr>
        <w:t xml:space="preserve"> </w:t>
      </w:r>
    </w:p>
    <w:p>
      <w:pPr>
        <w:pStyle w:val="13"/>
        <w:rPr>
          <w:rFonts w:ascii="Calibri" w:hAnsi="Calibri" w:cs="Calibri"/>
          <w:b/>
          <w:color w:val="000000"/>
          <w:sz w:val="44"/>
        </w:rPr>
      </w:pPr>
      <w:bookmarkStart w:id="7" w:name="_Toc444174976"/>
      <w:bookmarkStart w:id="8" w:name="_Toc400369182"/>
      <w:bookmarkStart w:id="9" w:name="_Toc448002981"/>
      <w:bookmarkStart w:id="10" w:name="_Toc444811406"/>
      <w:bookmarkStart w:id="11" w:name="_Toc44417345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13"/>
        <w:spacing w:line="480" w:lineRule="auto"/>
        <w:rPr>
          <w:rFonts w:ascii="黑体" w:hAnsi="黑体" w:eastAsia="黑体" w:cs="宋体"/>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13"/>
        <w:spacing w:line="480" w:lineRule="auto"/>
        <w:rPr>
          <w:rFonts w:ascii="黑体" w:hAnsi="黑体" w:eastAsia="黑体" w:cs="宋体"/>
          <w:bCs w:val="0"/>
          <w:kern w:val="2"/>
          <w:sz w:val="22"/>
          <w:szCs w:val="22"/>
        </w:rPr>
      </w:pPr>
      <w:r>
        <w:fldChar w:fldCharType="begin"/>
      </w:r>
      <w:r>
        <w:instrText xml:space="preserve"> HYPERLINK \l "_Toc448002982" </w:instrText>
      </w:r>
      <w:r>
        <w:fldChar w:fldCharType="separate"/>
      </w:r>
      <w:r>
        <w:rPr>
          <w:rStyle w:val="19"/>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3"/>
        <w:spacing w:line="480" w:lineRule="auto"/>
        <w:rPr>
          <w:rFonts w:ascii="黑体" w:hAnsi="黑体" w:eastAsia="黑体" w:cs="宋体"/>
          <w:bCs w:val="0"/>
          <w:kern w:val="2"/>
          <w:sz w:val="22"/>
          <w:szCs w:val="22"/>
        </w:rPr>
      </w:pPr>
      <w:r>
        <w:fldChar w:fldCharType="begin"/>
      </w:r>
      <w:r>
        <w:instrText xml:space="preserve"> HYPERLINK \l "_Toc448002983" </w:instrText>
      </w:r>
      <w:r>
        <w:fldChar w:fldCharType="separate"/>
      </w:r>
      <w:r>
        <w:rPr>
          <w:rStyle w:val="19"/>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4</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3"/>
        <w:spacing w:line="480" w:lineRule="auto"/>
        <w:rPr>
          <w:rFonts w:ascii="黑体" w:hAnsi="黑体" w:eastAsia="黑体" w:cs="宋体"/>
          <w:bCs w:val="0"/>
          <w:kern w:val="2"/>
          <w:sz w:val="22"/>
          <w:szCs w:val="22"/>
        </w:rPr>
      </w:pPr>
      <w:r>
        <w:fldChar w:fldCharType="begin"/>
      </w:r>
      <w:r>
        <w:instrText xml:space="preserve"> HYPERLINK \l "_Toc448002985" </w:instrText>
      </w:r>
      <w:r>
        <w:fldChar w:fldCharType="separate"/>
      </w:r>
      <w:r>
        <w:rPr>
          <w:rStyle w:val="19"/>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2</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3"/>
        <w:spacing w:line="480" w:lineRule="auto"/>
        <w:rPr>
          <w:rFonts w:ascii="黑体" w:hAnsi="黑体" w:eastAsia="黑体" w:cs="宋体"/>
          <w:bCs w:val="0"/>
          <w:kern w:val="2"/>
          <w:sz w:val="22"/>
          <w:szCs w:val="22"/>
        </w:rPr>
      </w:pPr>
      <w:r>
        <w:fldChar w:fldCharType="begin"/>
      </w:r>
      <w:r>
        <w:instrText xml:space="preserve"> HYPERLINK \l "_Toc448002986" </w:instrText>
      </w:r>
      <w:r>
        <w:fldChar w:fldCharType="separate"/>
      </w:r>
      <w:r>
        <w:rPr>
          <w:rStyle w:val="19"/>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4</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3"/>
        <w:spacing w:line="480" w:lineRule="auto"/>
        <w:rPr>
          <w:rFonts w:ascii="黑体" w:hAnsi="黑体" w:eastAsia="黑体" w:cs="宋体"/>
          <w:bCs w:val="0"/>
          <w:kern w:val="2"/>
          <w:sz w:val="22"/>
          <w:szCs w:val="22"/>
        </w:rPr>
      </w:pPr>
      <w:r>
        <w:fldChar w:fldCharType="begin"/>
      </w:r>
      <w:r>
        <w:instrText xml:space="preserve"> HYPERLINK \l "_Toc448002987" </w:instrText>
      </w:r>
      <w:r>
        <w:fldChar w:fldCharType="separate"/>
      </w:r>
      <w:r>
        <w:rPr>
          <w:rStyle w:val="19"/>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lang w:val="en-US" w:eastAsia="zh-CN"/>
        </w:rPr>
        <w:t>30</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3"/>
        <w:spacing w:line="480" w:lineRule="auto"/>
        <w:rPr>
          <w:rFonts w:ascii="黑体" w:hAnsi="黑体" w:eastAsia="黑体" w:cs="宋体"/>
          <w:bCs w:val="0"/>
          <w:kern w:val="2"/>
          <w:sz w:val="22"/>
          <w:szCs w:val="22"/>
        </w:rPr>
      </w:pPr>
      <w:r>
        <w:fldChar w:fldCharType="begin"/>
      </w:r>
      <w:r>
        <w:instrText xml:space="preserve"> HYPERLINK \l "_Toc448002988" </w:instrText>
      </w:r>
      <w:r>
        <w:fldChar w:fldCharType="separate"/>
      </w:r>
      <w:r>
        <w:rPr>
          <w:rStyle w:val="19"/>
          <w:rFonts w:hint="eastAsia" w:ascii="黑体" w:hAnsi="黑体" w:eastAsia="黑体" w:cs="Calibri"/>
          <w:kern w:val="0"/>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lang w:val="en-US" w:eastAsia="zh-CN"/>
        </w:rPr>
        <w:t>33</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3"/>
        <w:spacing w:before="0" w:after="0" w:line="360" w:lineRule="auto"/>
        <w:jc w:val="center"/>
        <w:rPr>
          <w:rFonts w:ascii="Calibri" w:eastAsia="黑体" w:cs="Calibri"/>
          <w:kern w:val="0"/>
          <w:sz w:val="32"/>
        </w:rPr>
      </w:pPr>
      <w:r>
        <w:rPr>
          <w:rFonts w:ascii="Calibri" w:hAnsi="Calibri" w:cs="Calibri"/>
          <w:color w:val="000000"/>
        </w:rPr>
        <w:br w:type="page"/>
      </w:r>
      <w:bookmarkStart w:id="12" w:name="_Toc7641"/>
      <w:bookmarkStart w:id="13" w:name="_Toc14628"/>
      <w:bookmarkStart w:id="14" w:name="_Toc24932"/>
      <w:bookmarkStart w:id="15" w:name="_Toc8110"/>
      <w:bookmarkStart w:id="16" w:name="_Toc24784"/>
      <w:bookmarkStart w:id="17" w:name="_Toc18642"/>
      <w:bookmarkStart w:id="18" w:name="_Toc6832"/>
      <w:bookmarkStart w:id="19" w:name="_Toc6581"/>
      <w:bookmarkStart w:id="20" w:name="_Toc22293"/>
      <w:bookmarkStart w:id="21" w:name="_Toc448002982"/>
      <w:bookmarkStart w:id="22" w:name="_Toc248766631"/>
      <w:bookmarkStart w:id="23" w:name="_Toc249322950"/>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numPr>
          <w:ilvl w:val="0"/>
          <w:numId w:val="1"/>
        </w:numPr>
        <w:snapToGrid w:val="0"/>
        <w:spacing w:line="340" w:lineRule="exact"/>
        <w:ind w:firstLine="442" w:firstLineChars="200"/>
        <w:jc w:val="left"/>
        <w:rPr>
          <w:b/>
          <w:bCs/>
          <w:lang w:val="en-US"/>
        </w:rPr>
      </w:pPr>
      <w:r>
        <w:rPr>
          <w:rFonts w:hint="eastAsia" w:ascii="Arial" w:hAnsi="Arial" w:cs="Arial"/>
          <w:b/>
          <w:bCs/>
          <w:kern w:val="0"/>
          <w:sz w:val="22"/>
        </w:rPr>
        <w:t>招标</w:t>
      </w:r>
      <w:r>
        <w:rPr>
          <w:rFonts w:hint="eastAsia" w:ascii="Arial" w:hAnsi="Arial" w:cs="Arial"/>
          <w:b/>
          <w:bCs/>
          <w:kern w:val="0"/>
          <w:sz w:val="22"/>
          <w:lang w:val="en-US" w:eastAsia="zh-CN"/>
        </w:rPr>
        <w:t>条件</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440" w:firstLineChars="200"/>
        <w:jc w:val="both"/>
        <w:textAlignment w:val="auto"/>
        <w:outlineLvl w:val="9"/>
        <w:rPr>
          <w:rFonts w:hint="eastAsia" w:ascii="宋体" w:hAnsi="宋体" w:cs="Arial"/>
          <w:kern w:val="0"/>
          <w:sz w:val="22"/>
        </w:rPr>
      </w:pPr>
      <w:r>
        <w:rPr>
          <w:rFonts w:hint="eastAsia" w:ascii="宋体" w:hAnsi="宋体" w:cs="Arial"/>
          <w:kern w:val="0"/>
          <w:sz w:val="22"/>
        </w:rPr>
        <w:t>（1）杭州萧山国际机场</w:t>
      </w:r>
      <w:r>
        <w:rPr>
          <w:rFonts w:hint="eastAsia" w:ascii="宋体" w:hAnsi="宋体" w:cs="Arial"/>
          <w:kern w:val="0"/>
          <w:sz w:val="22"/>
          <w:u w:val="single"/>
          <w:lang w:val="en-US" w:eastAsia="zh-CN"/>
        </w:rPr>
        <w:t xml:space="preserve"> </w:t>
      </w:r>
      <w:r>
        <w:rPr>
          <w:rFonts w:hint="eastAsia" w:ascii="宋体" w:hAnsi="宋体" w:cs="Arial"/>
          <w:kern w:val="0"/>
          <w:sz w:val="22"/>
          <w:u w:val="single"/>
        </w:rPr>
        <w:t xml:space="preserve">杭州萧山国际机场航站楼地下车库进出口伸缩缝排水沟清淤项目 </w:t>
      </w:r>
      <w:r>
        <w:rPr>
          <w:rFonts w:hint="eastAsia" w:ascii="宋体" w:hAnsi="宋体" w:cs="Arial"/>
          <w:kern w:val="0"/>
          <w:sz w:val="22"/>
        </w:rPr>
        <w:t>已批准</w:t>
      </w:r>
      <w:r>
        <w:rPr>
          <w:rFonts w:hint="eastAsia" w:ascii="宋体" w:hAnsi="宋体" w:cs="Arial"/>
          <w:kern w:val="0"/>
          <w:sz w:val="22"/>
          <w:lang w:val="en-US" w:eastAsia="zh-CN"/>
        </w:rPr>
        <w:t>实施</w:t>
      </w:r>
      <w:r>
        <w:rPr>
          <w:rFonts w:hint="eastAsia" w:ascii="宋体" w:hAnsi="宋体" w:cs="Arial"/>
          <w:kern w:val="0"/>
          <w:sz w:val="22"/>
        </w:rPr>
        <w:t>，</w:t>
      </w:r>
      <w:r>
        <w:rPr>
          <w:rFonts w:hint="eastAsia" w:ascii="宋体" w:hAnsi="宋体" w:cs="Arial"/>
          <w:kern w:val="0"/>
          <w:sz w:val="22"/>
          <w:lang w:val="en-US" w:eastAsia="zh-CN"/>
        </w:rPr>
        <w:t>招标人</w:t>
      </w:r>
      <w:r>
        <w:rPr>
          <w:rFonts w:hint="eastAsia" w:ascii="宋体" w:hAnsi="宋体" w:cs="Arial"/>
          <w:kern w:val="0"/>
          <w:sz w:val="22"/>
        </w:rPr>
        <w:t>为杭州萧山国际机场有限公司，</w:t>
      </w:r>
      <w:r>
        <w:rPr>
          <w:rFonts w:hint="eastAsia" w:ascii="宋体" w:hAnsi="宋体" w:cs="Arial"/>
          <w:kern w:val="0"/>
          <w:sz w:val="22"/>
          <w:lang w:val="en-US" w:eastAsia="zh-CN"/>
        </w:rPr>
        <w:t>招标项目</w:t>
      </w:r>
      <w:r>
        <w:rPr>
          <w:rFonts w:hint="eastAsia" w:ascii="宋体" w:hAnsi="宋体" w:cs="Arial"/>
          <w:kern w:val="0"/>
          <w:sz w:val="22"/>
        </w:rPr>
        <w:t>资金来源为自筹，出资比例为100%。项目已具备招标条件，现对本项目进行公开招标。</w:t>
      </w:r>
    </w:p>
    <w:p>
      <w:pPr>
        <w:widowControl/>
        <w:numPr>
          <w:ilvl w:val="0"/>
          <w:numId w:val="1"/>
        </w:numPr>
        <w:snapToGrid w:val="0"/>
        <w:spacing w:line="340" w:lineRule="exact"/>
        <w:ind w:firstLine="442" w:firstLineChars="200"/>
        <w:jc w:val="left"/>
        <w:rPr>
          <w:rFonts w:hint="eastAsia"/>
          <w:b/>
          <w:bCs/>
        </w:rPr>
      </w:pPr>
      <w:r>
        <w:rPr>
          <w:rFonts w:hint="eastAsia" w:ascii="宋体" w:hAnsi="宋体" w:cs="宋体"/>
          <w:b/>
          <w:bCs/>
          <w:sz w:val="22"/>
          <w:szCs w:val="22"/>
        </w:rPr>
        <w:t>项目概况与招标范围</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440" w:firstLineChars="200"/>
        <w:jc w:val="both"/>
        <w:textAlignment w:val="auto"/>
        <w:outlineLvl w:val="9"/>
        <w:rPr>
          <w:rFonts w:hint="eastAsia" w:ascii="宋体" w:hAnsi="宋体" w:cs="Arial"/>
          <w:kern w:val="0"/>
          <w:sz w:val="22"/>
        </w:rPr>
      </w:pPr>
      <w:r>
        <w:rPr>
          <w:rFonts w:hint="eastAsia" w:ascii="宋体" w:hAnsi="宋体" w:cs="Arial"/>
          <w:kern w:val="0"/>
          <w:sz w:val="22"/>
        </w:rPr>
        <w:t>（2）项目概况：本项目位于杭州萧山国际机场内，具体要求详见第三章“服务技术标准及要求”。</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440" w:firstLineChars="200"/>
        <w:jc w:val="both"/>
        <w:textAlignment w:val="auto"/>
        <w:outlineLvl w:val="9"/>
        <w:rPr>
          <w:rFonts w:hint="eastAsia" w:ascii="宋体" w:hAnsi="宋体" w:cs="Arial"/>
          <w:kern w:val="0"/>
          <w:sz w:val="22"/>
        </w:rPr>
      </w:pPr>
      <w:r>
        <w:rPr>
          <w:rFonts w:hint="eastAsia" w:ascii="宋体" w:hAnsi="宋体" w:cs="Arial"/>
          <w:kern w:val="0"/>
          <w:sz w:val="22"/>
        </w:rPr>
        <w:t>（3）招标内容：杭州萧山国际机场航站楼地下车库进出口伸缩缝排水沟清淤项目。</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440" w:firstLineChars="200"/>
        <w:jc w:val="both"/>
        <w:textAlignment w:val="auto"/>
        <w:outlineLvl w:val="9"/>
        <w:rPr>
          <w:rFonts w:hint="eastAsia" w:ascii="宋体" w:hAnsi="宋体" w:cs="Arial"/>
          <w:kern w:val="0"/>
          <w:sz w:val="22"/>
        </w:rPr>
      </w:pPr>
      <w:r>
        <w:rPr>
          <w:rFonts w:hint="eastAsia" w:ascii="宋体" w:hAnsi="宋体" w:cs="Arial"/>
          <w:kern w:val="0"/>
          <w:sz w:val="22"/>
        </w:rPr>
        <w:t>（4）服务期：</w:t>
      </w:r>
      <w:r>
        <w:rPr>
          <w:rFonts w:hint="eastAsia" w:ascii="宋体" w:hAnsi="宋体" w:cs="Arial"/>
          <w:color w:val="auto"/>
          <w:kern w:val="0"/>
          <w:sz w:val="22"/>
        </w:rPr>
        <w:t>十八个自然月。</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440" w:firstLineChars="200"/>
        <w:jc w:val="both"/>
        <w:textAlignment w:val="auto"/>
        <w:outlineLvl w:val="9"/>
        <w:rPr>
          <w:rFonts w:hint="eastAsia" w:ascii="宋体" w:hAnsi="宋体" w:cs="Arial"/>
          <w:kern w:val="0"/>
          <w:sz w:val="22"/>
        </w:rPr>
      </w:pPr>
      <w:r>
        <w:rPr>
          <w:rFonts w:hint="eastAsia" w:ascii="宋体" w:hAnsi="宋体" w:cs="Arial"/>
          <w:kern w:val="0"/>
          <w:sz w:val="22"/>
        </w:rPr>
        <w:t>（5）数量：1家。</w:t>
      </w:r>
    </w:p>
    <w:p>
      <w:pPr>
        <w:widowControl/>
        <w:numPr>
          <w:ilvl w:val="0"/>
          <w:numId w:val="1"/>
        </w:numPr>
        <w:snapToGrid w:val="0"/>
        <w:spacing w:line="340" w:lineRule="exact"/>
        <w:ind w:firstLine="442" w:firstLineChars="200"/>
        <w:jc w:val="left"/>
        <w:rPr>
          <w:rFonts w:ascii="Arial" w:hAnsi="Arial" w:cs="Arial"/>
          <w:b/>
          <w:bCs/>
          <w:kern w:val="0"/>
          <w:sz w:val="22"/>
        </w:rPr>
      </w:pPr>
      <w:r>
        <w:rPr>
          <w:rFonts w:hint="eastAsia" w:ascii="Arial" w:hAnsi="Arial" w:cs="Arial"/>
          <w:b/>
          <w:bCs/>
          <w:kern w:val="0"/>
          <w:sz w:val="22"/>
        </w:rPr>
        <w:t>投标人资格要求</w:t>
      </w:r>
    </w:p>
    <w:p>
      <w:pPr>
        <w:widowControl/>
        <w:snapToGrid w:val="0"/>
        <w:spacing w:line="340" w:lineRule="exact"/>
        <w:ind w:firstLine="440" w:firstLineChars="200"/>
        <w:jc w:val="both"/>
        <w:rPr>
          <w:rFonts w:ascii="Arial" w:hAnsi="Arial" w:cs="Arial"/>
          <w:kern w:val="0"/>
          <w:sz w:val="22"/>
        </w:rPr>
      </w:pPr>
      <w:r>
        <w:rPr>
          <w:rFonts w:hint="eastAsia" w:ascii="Arial" w:hAnsi="Arial" w:cs="Arial"/>
          <w:kern w:val="0"/>
          <w:sz w:val="22"/>
        </w:rPr>
        <w:t>（1）具有独立法人资格，持有有效营业执照</w:t>
      </w:r>
      <w:r>
        <w:rPr>
          <w:rFonts w:hint="eastAsia" w:ascii="Arial" w:hAnsi="Arial" w:cs="Arial"/>
          <w:kern w:val="0"/>
          <w:sz w:val="22"/>
          <w:lang w:eastAsia="zh-CN"/>
        </w:rPr>
        <w:t>（</w:t>
      </w:r>
      <w:r>
        <w:rPr>
          <w:rFonts w:hint="eastAsia" w:ascii="Arial" w:hAnsi="Arial" w:cs="Arial"/>
          <w:kern w:val="0"/>
          <w:sz w:val="22"/>
        </w:rPr>
        <w:t>提供营业执照复印件并加盖投标人公章，原件备查</w:t>
      </w:r>
      <w:r>
        <w:rPr>
          <w:rFonts w:hint="eastAsia" w:ascii="Arial" w:hAnsi="Arial" w:cs="Arial"/>
          <w:kern w:val="0"/>
          <w:sz w:val="22"/>
          <w:lang w:eastAsia="zh-CN"/>
        </w:rPr>
        <w:t>），具有</w:t>
      </w:r>
      <w:r>
        <w:rPr>
          <w:rFonts w:hint="eastAsia" w:ascii="Arial" w:hAnsi="Arial" w:cs="Arial"/>
          <w:kern w:val="0"/>
          <w:sz w:val="22"/>
          <w:lang w:val="en-US" w:eastAsia="zh-CN"/>
        </w:rPr>
        <w:t>市政</w:t>
      </w:r>
      <w:r>
        <w:rPr>
          <w:rFonts w:hint="eastAsia" w:ascii="Arial" w:hAnsi="Arial" w:cs="Arial"/>
          <w:kern w:val="0"/>
          <w:sz w:val="22"/>
          <w:lang w:eastAsia="zh-CN"/>
        </w:rPr>
        <w:t>工程专业承包三级及以上资质</w:t>
      </w:r>
      <w:r>
        <w:rPr>
          <w:rFonts w:hint="eastAsia" w:ascii="Arial" w:hAnsi="Arial" w:cs="Arial"/>
          <w:kern w:val="0"/>
          <w:sz w:val="22"/>
        </w:rPr>
        <w:t>并须有类似清淤项目已完成业绩。</w:t>
      </w:r>
    </w:p>
    <w:p>
      <w:pPr>
        <w:widowControl/>
        <w:snapToGrid w:val="0"/>
        <w:spacing w:line="340" w:lineRule="exact"/>
        <w:ind w:firstLine="440" w:firstLineChars="200"/>
        <w:jc w:val="both"/>
        <w:rPr>
          <w:rFonts w:ascii="Arial" w:hAnsi="Arial" w:cs="Arial"/>
          <w:kern w:val="0"/>
          <w:sz w:val="22"/>
        </w:rPr>
      </w:pPr>
      <w:r>
        <w:rPr>
          <w:rFonts w:hint="eastAsia" w:ascii="Arial" w:hAnsi="Arial"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widowControl/>
        <w:snapToGrid w:val="0"/>
        <w:spacing w:line="340" w:lineRule="exact"/>
        <w:ind w:firstLine="440" w:firstLineChars="200"/>
        <w:jc w:val="both"/>
        <w:rPr>
          <w:rFonts w:ascii="Arial" w:hAnsi="Arial" w:cs="Arial"/>
          <w:kern w:val="0"/>
          <w:sz w:val="22"/>
        </w:rPr>
      </w:pPr>
      <w:r>
        <w:rPr>
          <w:rFonts w:hint="eastAsia" w:ascii="Arial" w:hAnsi="Arial" w:cs="Arial"/>
          <w:kern w:val="0"/>
          <w:sz w:val="22"/>
        </w:rPr>
        <w:t>（3）近年（20</w:t>
      </w:r>
      <w:r>
        <w:rPr>
          <w:rFonts w:hint="eastAsia" w:ascii="Arial" w:hAnsi="Arial" w:cs="Arial"/>
          <w:kern w:val="0"/>
          <w:sz w:val="22"/>
          <w:lang w:val="en-US" w:eastAsia="zh-CN"/>
        </w:rPr>
        <w:t>19</w:t>
      </w:r>
      <w:r>
        <w:rPr>
          <w:rFonts w:hint="eastAsia" w:ascii="Arial" w:hAnsi="Arial" w:cs="Arial"/>
          <w:kern w:val="0"/>
          <w:sz w:val="22"/>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pStyle w:val="8"/>
        <w:keepNext w:val="0"/>
        <w:keepLines w:val="0"/>
        <w:pageBreakBefore w:val="0"/>
        <w:widowControl w:val="0"/>
        <w:tabs>
          <w:tab w:val="left" w:pos="4394"/>
          <w:tab w:val="left" w:pos="5990"/>
        </w:tabs>
        <w:kinsoku/>
        <w:wordWrap/>
        <w:overflowPunct/>
        <w:topLinePunct w:val="0"/>
        <w:autoSpaceDE/>
        <w:autoSpaceDN/>
        <w:bidi w:val="0"/>
        <w:adjustRightInd/>
        <w:snapToGrid/>
        <w:spacing w:after="120" w:line="300" w:lineRule="exact"/>
        <w:ind w:left="0" w:leftChars="0" w:right="157" w:rightChars="0" w:firstLine="419" w:firstLineChars="0"/>
        <w:jc w:val="both"/>
        <w:textAlignment w:val="auto"/>
        <w:outlineLvl w:val="9"/>
        <w:rPr>
          <w:rFonts w:ascii="宋体" w:hAnsi="宋体" w:cs="Arial"/>
          <w:kern w:val="0"/>
          <w:sz w:val="22"/>
        </w:rPr>
      </w:pPr>
      <w:r>
        <w:rPr>
          <w:rFonts w:hint="eastAsia" w:ascii="宋体" w:hAnsi="宋体" w:cs="Arial"/>
          <w:kern w:val="0"/>
          <w:sz w:val="22"/>
        </w:rPr>
        <w:t>（4）</w:t>
      </w:r>
      <w:r>
        <w:rPr>
          <w:rFonts w:hint="eastAsia" w:cs="宋体"/>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）本次招标不接受联合体投标。</w:t>
      </w:r>
    </w:p>
    <w:p>
      <w:pPr>
        <w:widowControl/>
        <w:snapToGrid w:val="0"/>
        <w:spacing w:line="340" w:lineRule="exact"/>
        <w:ind w:firstLine="440" w:firstLineChars="200"/>
        <w:jc w:val="both"/>
        <w:rPr>
          <w:rFonts w:hint="eastAsia" w:ascii="Arial" w:hAnsi="Arial"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6</w:t>
      </w:r>
      <w:r>
        <w:rPr>
          <w:rFonts w:hint="eastAsia" w:ascii="宋体" w:hAnsi="宋体" w:cs="Arial"/>
          <w:kern w:val="0"/>
          <w:sz w:val="22"/>
          <w:lang w:eastAsia="zh-CN"/>
        </w:rPr>
        <w:t>）</w:t>
      </w:r>
      <w:r>
        <w:rPr>
          <w:rFonts w:hint="eastAsia" w:ascii="宋体" w:hAnsi="宋体" w:cs="Arial"/>
          <w:kern w:val="0"/>
          <w:sz w:val="22"/>
        </w:rPr>
        <w:t>根</w:t>
      </w:r>
      <w:r>
        <w:rPr>
          <w:rFonts w:hint="eastAsia" w:ascii="Arial" w:hAnsi="Arial" w:cs="Arial"/>
          <w:kern w:val="0"/>
          <w:sz w:val="22"/>
        </w:rPr>
        <w:t>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widowControl/>
        <w:numPr>
          <w:ilvl w:val="0"/>
          <w:numId w:val="1"/>
        </w:numPr>
        <w:snapToGrid w:val="0"/>
        <w:spacing w:line="340" w:lineRule="exact"/>
        <w:ind w:firstLine="442" w:firstLineChars="200"/>
        <w:jc w:val="left"/>
        <w:rPr>
          <w:rFonts w:hint="eastAsia" w:ascii="Arial" w:hAnsi="Arial" w:cs="Arial"/>
          <w:b/>
          <w:bCs/>
          <w:kern w:val="0"/>
          <w:sz w:val="22"/>
        </w:rPr>
      </w:pPr>
      <w:r>
        <w:rPr>
          <w:rFonts w:hint="eastAsia" w:ascii="Arial" w:hAnsi="Arial" w:cs="Arial"/>
          <w:b/>
          <w:bCs/>
          <w:kern w:val="0"/>
          <w:sz w:val="22"/>
        </w:rPr>
        <w:t>招标文件获取</w:t>
      </w:r>
    </w:p>
    <w:p>
      <w:pPr>
        <w:widowControl/>
        <w:adjustRightInd w:val="0"/>
        <w:snapToGrid w:val="0"/>
        <w:spacing w:line="340" w:lineRule="exact"/>
        <w:ind w:firstLine="440" w:firstLineChars="200"/>
        <w:rPr>
          <w:rFonts w:hint="eastAsia" w:ascii="宋体" w:hAnsi="宋体" w:cs="Arial"/>
          <w:kern w:val="0"/>
          <w:sz w:val="22"/>
          <w:lang w:eastAsia="zh-CN"/>
        </w:rPr>
      </w:pPr>
      <w:r>
        <w:rPr>
          <w:rFonts w:hint="eastAsia" w:ascii="宋体" w:hAnsi="宋体" w:cs="Arial"/>
          <w:kern w:val="0"/>
          <w:sz w:val="22"/>
          <w:lang w:eastAsia="zh-CN"/>
        </w:rPr>
        <w:t>（</w:t>
      </w:r>
      <w:r>
        <w:rPr>
          <w:rFonts w:hint="eastAsia" w:ascii="宋体" w:hAnsi="宋体" w:cs="Arial"/>
          <w:kern w:val="0"/>
          <w:sz w:val="22"/>
          <w:lang w:val="en-US" w:eastAsia="zh-CN"/>
        </w:rPr>
        <w:t>1</w:t>
      </w:r>
      <w:r>
        <w:rPr>
          <w:rFonts w:hint="eastAsia" w:ascii="宋体" w:hAnsi="宋体" w:cs="Arial"/>
          <w:kern w:val="0"/>
          <w:sz w:val="22"/>
          <w:lang w:eastAsia="zh-CN"/>
        </w:rPr>
        <w:t>）本项目招标文件和补充（答疑、澄清）、修改文件通过网络下载方式发放。</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2</w:t>
      </w:r>
      <w:r>
        <w:rPr>
          <w:rFonts w:hint="eastAsia" w:ascii="宋体" w:hAnsi="宋体" w:cs="Arial"/>
          <w:kern w:val="0"/>
          <w:sz w:val="22"/>
          <w:lang w:eastAsia="zh-CN"/>
        </w:rPr>
        <w:t>）</w:t>
      </w: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招标文件下载</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3</w:t>
      </w:r>
      <w:r>
        <w:rPr>
          <w:rFonts w:hint="eastAsia" w:ascii="宋体" w:hAnsi="宋体" w:cs="Arial"/>
          <w:kern w:val="0"/>
          <w:sz w:val="22"/>
          <w:lang w:eastAsia="zh-CN"/>
        </w:rPr>
        <w:t>）</w:t>
      </w:r>
      <w:r>
        <w:rPr>
          <w:rFonts w:hint="eastAsia" w:ascii="宋体" w:hAnsi="宋体" w:cs="Arial"/>
          <w:kern w:val="0"/>
          <w:sz w:val="22"/>
        </w:rPr>
        <w:t>补充（答疑、澄清）、修改文件，潜在投标人应自行关注网站公告，招标人不再一一通知。投标人因自身贻误行为导致投标失败的，责任自负。</w:t>
      </w:r>
    </w:p>
    <w:p>
      <w:pPr>
        <w:widowControl/>
        <w:numPr>
          <w:ilvl w:val="0"/>
          <w:numId w:val="1"/>
        </w:numPr>
        <w:snapToGrid w:val="0"/>
        <w:spacing w:line="340" w:lineRule="exact"/>
        <w:ind w:firstLine="442" w:firstLineChars="200"/>
        <w:jc w:val="left"/>
        <w:rPr>
          <w:rFonts w:hint="eastAsia" w:ascii="Arial" w:hAnsi="Arial" w:cs="Arial"/>
          <w:b/>
          <w:bCs/>
          <w:kern w:val="0"/>
          <w:sz w:val="22"/>
        </w:rPr>
      </w:pP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w:t>
      </w:r>
      <w:r>
        <w:rPr>
          <w:rFonts w:hint="eastAsia" w:ascii="宋体" w:hAnsi="宋体" w:cs="Arial"/>
          <w:color w:val="FF0000"/>
          <w:kern w:val="0"/>
          <w:sz w:val="22"/>
          <w:lang w:val="en-US" w:eastAsia="zh-CN"/>
        </w:rPr>
        <w:t>2022</w:t>
      </w:r>
      <w:r>
        <w:rPr>
          <w:rFonts w:hint="eastAsia" w:ascii="宋体" w:hAnsi="宋体" w:cs="Arial"/>
          <w:color w:val="FF0000"/>
          <w:kern w:val="0"/>
          <w:sz w:val="22"/>
        </w:rPr>
        <w:t>年</w:t>
      </w:r>
      <w:r>
        <w:rPr>
          <w:rFonts w:hint="eastAsia" w:ascii="宋体" w:hAnsi="宋体" w:cs="Arial"/>
          <w:color w:val="FF0000"/>
          <w:kern w:val="0"/>
          <w:sz w:val="22"/>
          <w:lang w:val="en-US" w:eastAsia="zh-CN"/>
        </w:rPr>
        <w:t>9</w:t>
      </w:r>
      <w:r>
        <w:rPr>
          <w:rFonts w:hint="eastAsia" w:ascii="宋体" w:hAnsi="宋体" w:cs="Arial"/>
          <w:color w:val="FF0000"/>
          <w:kern w:val="0"/>
          <w:sz w:val="22"/>
        </w:rPr>
        <w:t>月</w:t>
      </w:r>
      <w:r>
        <w:rPr>
          <w:rFonts w:hint="eastAsia" w:ascii="宋体" w:hAnsi="宋体" w:cs="Arial"/>
          <w:color w:val="FF0000"/>
          <w:kern w:val="0"/>
          <w:sz w:val="22"/>
          <w:lang w:val="en-US" w:eastAsia="zh-CN"/>
        </w:rPr>
        <w:t>19</w:t>
      </w:r>
      <w:r>
        <w:rPr>
          <w:rFonts w:hint="eastAsia" w:ascii="宋体" w:hAnsi="宋体" w:cs="Arial"/>
          <w:color w:val="FF0000"/>
          <w:kern w:val="0"/>
          <w:sz w:val="22"/>
        </w:rPr>
        <w:t>日</w:t>
      </w:r>
      <w:r>
        <w:rPr>
          <w:rFonts w:hint="eastAsia" w:ascii="宋体" w:hAnsi="宋体" w:cs="Arial"/>
          <w:color w:val="FF0000"/>
          <w:kern w:val="0"/>
          <w:sz w:val="22"/>
          <w:lang w:val="en-US" w:eastAsia="zh-CN"/>
        </w:rPr>
        <w:t>9</w:t>
      </w:r>
      <w:r>
        <w:rPr>
          <w:rFonts w:hint="eastAsia" w:ascii="宋体" w:hAnsi="宋体" w:cs="Arial"/>
          <w:color w:val="FF0000"/>
          <w:kern w:val="0"/>
          <w:sz w:val="22"/>
        </w:rPr>
        <w:t>时</w:t>
      </w:r>
      <w:r>
        <w:rPr>
          <w:rFonts w:hint="eastAsia" w:ascii="宋体" w:hAnsi="宋体" w:cs="Arial"/>
          <w:color w:val="FF0000"/>
          <w:kern w:val="0"/>
          <w:sz w:val="22"/>
          <w:lang w:val="en-US" w:eastAsia="zh-CN"/>
        </w:rPr>
        <w:t>30</w:t>
      </w:r>
      <w:r>
        <w:rPr>
          <w:rFonts w:hint="eastAsia" w:ascii="宋体" w:hAnsi="宋体" w:cs="Arial"/>
          <w:color w:val="FF0000"/>
          <w:kern w:val="0"/>
          <w:sz w:val="22"/>
        </w:rPr>
        <w:t>分</w:t>
      </w:r>
      <w:r>
        <w:rPr>
          <w:rFonts w:hint="eastAsia" w:ascii="宋体" w:hAnsi="宋体" w:cs="Arial"/>
          <w:kern w:val="0"/>
          <w:sz w:val="22"/>
        </w:rPr>
        <w:t>（北京时间）。投标文件在封口处加盖公章，并派专人于</w:t>
      </w:r>
      <w:r>
        <w:rPr>
          <w:rFonts w:hint="eastAsia" w:ascii="宋体" w:hAnsi="宋体" w:cs="Arial"/>
          <w:color w:val="FF0000"/>
          <w:kern w:val="0"/>
          <w:sz w:val="22"/>
          <w:lang w:val="en-US" w:eastAsia="zh-CN"/>
        </w:rPr>
        <w:t>2022</w:t>
      </w:r>
      <w:r>
        <w:rPr>
          <w:rFonts w:hint="eastAsia" w:ascii="宋体" w:hAnsi="宋体" w:cs="Arial"/>
          <w:color w:val="FF0000"/>
          <w:kern w:val="0"/>
          <w:sz w:val="22"/>
        </w:rPr>
        <w:t>年</w:t>
      </w:r>
      <w:r>
        <w:rPr>
          <w:rFonts w:hint="eastAsia" w:ascii="宋体" w:hAnsi="宋体" w:cs="Arial"/>
          <w:color w:val="FF0000"/>
          <w:kern w:val="0"/>
          <w:sz w:val="22"/>
          <w:lang w:val="en-US" w:eastAsia="zh-CN"/>
        </w:rPr>
        <w:t>9</w:t>
      </w:r>
      <w:r>
        <w:rPr>
          <w:rFonts w:hint="eastAsia" w:ascii="宋体" w:hAnsi="宋体" w:cs="Arial"/>
          <w:color w:val="FF0000"/>
          <w:kern w:val="0"/>
          <w:sz w:val="22"/>
        </w:rPr>
        <w:t>月</w:t>
      </w:r>
      <w:r>
        <w:rPr>
          <w:rFonts w:hint="eastAsia" w:ascii="宋体" w:hAnsi="宋体" w:cs="Arial"/>
          <w:color w:val="FF0000"/>
          <w:kern w:val="0"/>
          <w:sz w:val="22"/>
          <w:lang w:val="en-US" w:eastAsia="zh-CN"/>
        </w:rPr>
        <w:t>19</w:t>
      </w:r>
      <w:r>
        <w:rPr>
          <w:rFonts w:hint="eastAsia" w:ascii="宋体" w:hAnsi="宋体" w:cs="Arial"/>
          <w:color w:val="FF0000"/>
          <w:kern w:val="0"/>
          <w:sz w:val="22"/>
        </w:rPr>
        <w:t>日</w:t>
      </w:r>
      <w:r>
        <w:rPr>
          <w:rFonts w:hint="eastAsia" w:ascii="宋体" w:hAnsi="宋体" w:cs="Arial"/>
          <w:color w:val="FF0000"/>
          <w:kern w:val="0"/>
          <w:sz w:val="22"/>
          <w:lang w:val="en-US" w:eastAsia="zh-CN"/>
        </w:rPr>
        <w:t>9</w:t>
      </w:r>
      <w:r>
        <w:rPr>
          <w:rFonts w:hint="eastAsia" w:ascii="宋体" w:hAnsi="宋体" w:cs="Arial"/>
          <w:color w:val="FF0000"/>
          <w:kern w:val="0"/>
          <w:sz w:val="22"/>
        </w:rPr>
        <w:t>时</w:t>
      </w:r>
      <w:r>
        <w:rPr>
          <w:rFonts w:hint="eastAsia" w:ascii="宋体" w:hAnsi="宋体" w:cs="Arial"/>
          <w:color w:val="FF0000"/>
          <w:kern w:val="0"/>
          <w:sz w:val="22"/>
          <w:lang w:val="en-US" w:eastAsia="zh-CN"/>
        </w:rPr>
        <w:t>30</w:t>
      </w:r>
      <w:r>
        <w:rPr>
          <w:rFonts w:hint="eastAsia" w:ascii="宋体" w:hAnsi="宋体" w:cs="Arial"/>
          <w:color w:val="FF0000"/>
          <w:kern w:val="0"/>
          <w:sz w:val="22"/>
        </w:rPr>
        <w:t>分</w:t>
      </w:r>
      <w:r>
        <w:rPr>
          <w:rFonts w:hint="eastAsia" w:ascii="宋体" w:hAnsi="宋体" w:cs="Arial"/>
          <w:kern w:val="0"/>
          <w:sz w:val="22"/>
        </w:rPr>
        <w:t>（北京时间）前送至杭州萧山国际机场</w:t>
      </w:r>
      <w:r>
        <w:rPr>
          <w:rFonts w:hint="eastAsia" w:ascii="宋体" w:hAnsi="宋体" w:cs="Arial"/>
          <w:kern w:val="0"/>
          <w:sz w:val="22"/>
          <w:lang w:val="en-US" w:eastAsia="zh-CN"/>
        </w:rPr>
        <w:t>物业维修中心</w:t>
      </w:r>
      <w:r>
        <w:rPr>
          <w:rFonts w:hint="eastAsia" w:ascii="宋体" w:hAnsi="宋体" w:cs="Arial"/>
          <w:kern w:val="0"/>
          <w:sz w:val="22"/>
        </w:rPr>
        <w:t>，逾期无效；</w:t>
      </w:r>
      <w:r>
        <w:rPr>
          <w:rFonts w:hint="eastAsia" w:ascii="宋体" w:hAnsi="宋体" w:cs="Arial"/>
          <w:b/>
          <w:bCs/>
          <w:kern w:val="0"/>
          <w:sz w:val="22"/>
        </w:rPr>
        <w:t>特别说明：因疫情防控工作需要，建议各投标人优先采用投递（邮寄）方式递交投标文件</w:t>
      </w:r>
      <w:r>
        <w:rPr>
          <w:rFonts w:hint="eastAsia" w:ascii="宋体" w:hAnsi="宋体" w:cs="Arial"/>
          <w:kern w:val="0"/>
          <w:sz w:val="22"/>
        </w:rPr>
        <w:t>，若采用投递方式的，请于</w:t>
      </w:r>
      <w:r>
        <w:rPr>
          <w:rFonts w:hint="eastAsia" w:ascii="宋体" w:hAnsi="宋体" w:cs="Arial"/>
          <w:color w:val="FF0000"/>
          <w:kern w:val="0"/>
          <w:sz w:val="22"/>
          <w:lang w:val="en-US" w:eastAsia="zh-CN"/>
        </w:rPr>
        <w:t>2022</w:t>
      </w:r>
      <w:r>
        <w:rPr>
          <w:rFonts w:hint="eastAsia" w:ascii="宋体" w:hAnsi="宋体" w:cs="Arial"/>
          <w:color w:val="FF0000"/>
          <w:kern w:val="0"/>
          <w:sz w:val="22"/>
        </w:rPr>
        <w:t>年</w:t>
      </w:r>
      <w:r>
        <w:rPr>
          <w:rFonts w:hint="eastAsia" w:ascii="宋体" w:hAnsi="宋体" w:cs="Arial"/>
          <w:color w:val="FF0000"/>
          <w:kern w:val="0"/>
          <w:sz w:val="22"/>
          <w:lang w:val="en-US" w:eastAsia="zh-CN"/>
        </w:rPr>
        <w:t>9</w:t>
      </w:r>
      <w:r>
        <w:rPr>
          <w:rFonts w:hint="eastAsia" w:ascii="宋体" w:hAnsi="宋体" w:cs="Arial"/>
          <w:color w:val="FF0000"/>
          <w:kern w:val="0"/>
          <w:sz w:val="22"/>
        </w:rPr>
        <w:t>月</w:t>
      </w:r>
      <w:r>
        <w:rPr>
          <w:rFonts w:hint="eastAsia" w:ascii="宋体" w:hAnsi="宋体" w:cs="Arial"/>
          <w:color w:val="FF0000"/>
          <w:kern w:val="0"/>
          <w:sz w:val="22"/>
          <w:lang w:val="en-US" w:eastAsia="zh-CN"/>
        </w:rPr>
        <w:t>19</w:t>
      </w:r>
      <w:r>
        <w:rPr>
          <w:rFonts w:hint="eastAsia" w:ascii="宋体" w:hAnsi="宋体" w:cs="Arial"/>
          <w:color w:val="FF0000"/>
          <w:kern w:val="0"/>
          <w:sz w:val="22"/>
        </w:rPr>
        <w:t>日</w:t>
      </w:r>
      <w:r>
        <w:rPr>
          <w:rFonts w:hint="eastAsia" w:ascii="宋体" w:hAnsi="宋体" w:cs="Arial"/>
          <w:color w:val="FF0000"/>
          <w:kern w:val="0"/>
          <w:sz w:val="22"/>
          <w:lang w:val="en-US" w:eastAsia="zh-CN"/>
        </w:rPr>
        <w:t>9</w:t>
      </w:r>
      <w:r>
        <w:rPr>
          <w:rFonts w:hint="eastAsia" w:ascii="宋体" w:hAnsi="宋体" w:cs="Arial"/>
          <w:color w:val="FF0000"/>
          <w:kern w:val="0"/>
          <w:sz w:val="22"/>
        </w:rPr>
        <w:t>时</w:t>
      </w:r>
      <w:r>
        <w:rPr>
          <w:rFonts w:hint="eastAsia" w:ascii="宋体" w:hAnsi="宋体" w:cs="Arial"/>
          <w:color w:val="FF0000"/>
          <w:kern w:val="0"/>
          <w:sz w:val="22"/>
          <w:lang w:val="en-US" w:eastAsia="zh-CN"/>
        </w:rPr>
        <w:t>30</w:t>
      </w:r>
      <w:r>
        <w:rPr>
          <w:rFonts w:hint="eastAsia" w:ascii="宋体" w:hAnsi="宋体" w:cs="Arial"/>
          <w:color w:val="FF0000"/>
          <w:kern w:val="0"/>
          <w:sz w:val="22"/>
        </w:rPr>
        <w:t>分</w:t>
      </w:r>
      <w:r>
        <w:rPr>
          <w:rFonts w:hint="eastAsia" w:ascii="宋体" w:hAnsi="宋体" w:cs="Arial"/>
          <w:kern w:val="0"/>
          <w:sz w:val="22"/>
        </w:rPr>
        <w:t>（北京时间）前投递至</w:t>
      </w:r>
      <w:r>
        <w:rPr>
          <w:rFonts w:hint="eastAsia" w:ascii="宋体" w:hAnsi="宋体" w:cs="Arial"/>
          <w:kern w:val="0"/>
          <w:sz w:val="22"/>
          <w:u w:val="single"/>
        </w:rPr>
        <w:t>杭州萧山国际机场物业维修中心吴淼清收18757196572</w:t>
      </w:r>
      <w:r>
        <w:rPr>
          <w:rFonts w:hint="eastAsia" w:ascii="宋体" w:hAnsi="宋体" w:cs="Arial"/>
          <w:kern w:val="0"/>
          <w:sz w:val="22"/>
        </w:rPr>
        <w:t>，逾期无效。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 w:val="22"/>
        </w:rPr>
        <w:t>逾期送达</w:t>
      </w:r>
      <w:r>
        <w:rPr>
          <w:rFonts w:hint="eastAsia" w:ascii="宋体" w:hAnsi="宋体"/>
          <w:sz w:val="22"/>
          <w:lang w:eastAsia="zh-CN"/>
        </w:rPr>
        <w:t>、</w:t>
      </w:r>
      <w:r>
        <w:rPr>
          <w:rFonts w:hint="eastAsia" w:ascii="宋体" w:hAnsi="宋体"/>
          <w:sz w:val="22"/>
        </w:rPr>
        <w:t>未送达指定地点的</w:t>
      </w:r>
      <w:r>
        <w:rPr>
          <w:rFonts w:hint="eastAsia" w:ascii="宋体" w:hAnsi="宋体"/>
          <w:sz w:val="22"/>
          <w:lang w:val="en-US" w:eastAsia="zh-CN"/>
        </w:rPr>
        <w:t>或者</w:t>
      </w:r>
      <w:r>
        <w:rPr>
          <w:rFonts w:hint="eastAsia" w:ascii="Calibri" w:hAnsi="Calibri" w:eastAsia="宋体" w:cs="宋体"/>
          <w:kern w:val="2"/>
          <w:sz w:val="21"/>
          <w:szCs w:val="24"/>
          <w:lang w:val="en-US" w:eastAsia="zh-CN" w:bidi="ar"/>
        </w:rPr>
        <w:t>不按照招标文件要求密封的</w:t>
      </w:r>
      <w:r>
        <w:rPr>
          <w:rFonts w:hint="eastAsia" w:ascii="宋体" w:hAnsi="宋体"/>
          <w:sz w:val="22"/>
        </w:rPr>
        <w:t>投标文件，招标人不予受理。</w:t>
      </w:r>
    </w:p>
    <w:p>
      <w:pPr>
        <w:widowControl/>
        <w:numPr>
          <w:ilvl w:val="0"/>
          <w:numId w:val="1"/>
        </w:numPr>
        <w:snapToGrid w:val="0"/>
        <w:spacing w:line="340" w:lineRule="exact"/>
        <w:ind w:firstLine="442" w:firstLineChars="200"/>
        <w:jc w:val="left"/>
        <w:rPr>
          <w:rFonts w:hint="eastAsia" w:ascii="Arial" w:hAnsi="Arial" w:cs="Arial"/>
          <w:b/>
          <w:bCs/>
          <w:kern w:val="0"/>
          <w:sz w:val="22"/>
        </w:rPr>
      </w:pPr>
      <w:r>
        <w:rPr>
          <w:rFonts w:hint="eastAsia" w:ascii="Arial" w:hAnsi="Arial" w:cs="Arial"/>
          <w:b/>
          <w:bCs/>
          <w:kern w:val="0"/>
          <w:sz w:val="22"/>
        </w:rPr>
        <w:t>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杭州萧山机场有限公司</w:t>
      </w:r>
      <w:r>
        <w:rPr>
          <w:rFonts w:hint="eastAsia" w:ascii="宋体" w:hAnsi="宋体" w:cs="Arial"/>
          <w:kern w:val="0"/>
          <w:sz w:val="22"/>
        </w:rPr>
        <w:t>主页上发布</w:t>
      </w:r>
    </w:p>
    <w:p>
      <w:pPr>
        <w:widowControl/>
        <w:spacing w:line="340" w:lineRule="exact"/>
        <w:ind w:firstLine="440"/>
        <w:rPr>
          <w:rFonts w:ascii="宋体" w:hAnsi="宋体" w:cs="Arial"/>
          <w:kern w:val="0"/>
          <w:sz w:val="22"/>
        </w:rPr>
      </w:pPr>
      <w:r>
        <w:rPr>
          <w:rFonts w:ascii="宋体" w:hAnsi="宋体" w:cs="宋体"/>
          <w:sz w:val="22"/>
        </w:rPr>
        <w:t>杭州萧山国际机场有限公司主页 http://www.hzairport.com</w:t>
      </w:r>
    </w:p>
    <w:p>
      <w:pPr>
        <w:widowControl/>
        <w:numPr>
          <w:ilvl w:val="0"/>
          <w:numId w:val="1"/>
        </w:numPr>
        <w:snapToGrid w:val="0"/>
        <w:spacing w:line="340" w:lineRule="exact"/>
        <w:ind w:firstLine="442" w:firstLineChars="200"/>
        <w:jc w:val="left"/>
        <w:rPr>
          <w:rFonts w:hint="eastAsia" w:ascii="Arial" w:hAnsi="Arial" w:cs="Arial"/>
          <w:b/>
          <w:bCs/>
          <w:kern w:val="0"/>
          <w:sz w:val="22"/>
        </w:rPr>
      </w:pPr>
      <w:r>
        <w:rPr>
          <w:rFonts w:hint="eastAsia" w:ascii="Arial" w:hAnsi="Arial" w:cs="Arial"/>
          <w:b/>
          <w:bCs/>
          <w:kern w:val="0"/>
          <w:sz w:val="22"/>
        </w:rPr>
        <w:t>联系方式</w:t>
      </w:r>
    </w:p>
    <w:p>
      <w:pPr>
        <w:widowControl/>
        <w:spacing w:line="340" w:lineRule="exact"/>
        <w:ind w:firstLine="440"/>
        <w:rPr>
          <w:rFonts w:ascii="宋体" w:hAnsi="宋体" w:cs="宋体"/>
          <w:sz w:val="22"/>
        </w:rPr>
      </w:pPr>
      <w:r>
        <w:rPr>
          <w:rFonts w:hint="eastAsia" w:ascii="宋体" w:hAnsi="宋体" w:cs="宋体"/>
          <w:sz w:val="22"/>
        </w:rPr>
        <w:t>投标联系人：</w:t>
      </w:r>
      <w:r>
        <w:rPr>
          <w:rFonts w:hint="eastAsia" w:ascii="宋体" w:hAnsi="宋体" w:cs="宋体"/>
          <w:sz w:val="22"/>
          <w:lang w:val="en-US" w:eastAsia="zh-CN"/>
        </w:rPr>
        <w:t>吴淼清</w:t>
      </w:r>
      <w:r>
        <w:rPr>
          <w:rFonts w:hint="eastAsia" w:ascii="宋体" w:hAnsi="宋体" w:cs="宋体"/>
          <w:sz w:val="22"/>
        </w:rPr>
        <w:t xml:space="preserve">  联系电话：0571-86662348</w:t>
      </w:r>
    </w:p>
    <w:p>
      <w:pPr>
        <w:widowControl/>
        <w:spacing w:line="340" w:lineRule="exact"/>
        <w:ind w:firstLine="440"/>
        <w:rPr>
          <w:rFonts w:ascii="宋体" w:hAnsi="宋体" w:cs="宋体"/>
          <w:sz w:val="22"/>
        </w:rPr>
      </w:pPr>
      <w:r>
        <w:rPr>
          <w:rFonts w:hint="eastAsia" w:ascii="宋体" w:hAnsi="宋体" w:cs="宋体"/>
          <w:sz w:val="22"/>
        </w:rPr>
        <w:t>技术联系人：沈可唯  联系电话：0571-86662348</w:t>
      </w:r>
    </w:p>
    <w:p>
      <w:pPr>
        <w:widowControl/>
        <w:spacing w:line="340" w:lineRule="exact"/>
        <w:ind w:firstLine="440"/>
        <w:rPr>
          <w:rFonts w:ascii="宋体" w:hAnsi="宋体" w:cs="宋体"/>
          <w:sz w:val="22"/>
        </w:rPr>
      </w:pPr>
      <w:r>
        <w:rPr>
          <w:rFonts w:hint="eastAsia" w:ascii="宋体" w:hAnsi="宋体" w:cs="宋体"/>
          <w:sz w:val="22"/>
        </w:rPr>
        <w:t>监督联系人：闻晓丽  联系电话：0571-86662361</w:t>
      </w:r>
    </w:p>
    <w:p>
      <w:pPr>
        <w:widowControl/>
        <w:adjustRightInd w:val="0"/>
        <w:snapToGrid w:val="0"/>
        <w:spacing w:line="340" w:lineRule="exact"/>
        <w:ind w:firstLine="440" w:firstLineChars="200"/>
        <w:rPr>
          <w:rFonts w:ascii="宋体" w:hAnsi="宋体"/>
          <w:sz w:val="22"/>
        </w:rPr>
      </w:pP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40" w:firstLineChars="200"/>
        <w:jc w:val="left"/>
        <w:textAlignment w:val="auto"/>
        <w:outlineLvl w:val="0"/>
        <w:rPr>
          <w:rFonts w:ascii="Calibri" w:hAnsi="Calibri" w:eastAsia="黑体" w:cs="Calibri"/>
          <w:kern w:val="0"/>
          <w:sz w:val="32"/>
        </w:rPr>
      </w:pPr>
      <w:r>
        <w:rPr>
          <w:rFonts w:hint="eastAsia" w:ascii="宋体" w:hAnsi="宋体" w:eastAsia="宋体" w:cs="宋体"/>
          <w:b w:val="0"/>
          <w:bCs w:val="0"/>
          <w:kern w:val="2"/>
          <w:sz w:val="22"/>
          <w:szCs w:val="22"/>
          <w:lang w:val="en-US" w:eastAsia="zh-CN" w:bidi="ar-SA"/>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r>
        <w:rPr>
          <w:rFonts w:ascii="宋体" w:hAnsi="宋体" w:eastAsia="宋体" w:cs="宋体"/>
          <w:b w:val="0"/>
          <w:bCs w:val="0"/>
          <w:kern w:val="2"/>
          <w:sz w:val="22"/>
          <w:szCs w:val="22"/>
          <w:lang w:val="en-US" w:eastAsia="zh-CN" w:bidi="ar-SA"/>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21"/>
        <w:jc w:val="center"/>
        <w:rPr>
          <w:rFonts w:ascii="Calibri" w:hAnsi="Calibri" w:eastAsia="黑体" w:cs="Calibri"/>
          <w:kern w:val="2"/>
          <w:sz w:val="28"/>
          <w:szCs w:val="32"/>
        </w:rPr>
      </w:pPr>
      <w:bookmarkStart w:id="26" w:name="_Toc386359393"/>
      <w:bookmarkStart w:id="27" w:name="_Toc349007688"/>
      <w:bookmarkStart w:id="28" w:name="_Toc349011858"/>
      <w:bookmarkStart w:id="29" w:name="_Toc400369185"/>
      <w:bookmarkStart w:id="30" w:name="_Toc444174979"/>
      <w:bookmarkStart w:id="31" w:name="_Toc386363317"/>
      <w:bookmarkStart w:id="32" w:name="_Toc448002984"/>
      <w:bookmarkStart w:id="33" w:name="_Toc11881"/>
      <w:bookmarkStart w:id="34" w:name="_Toc444811409"/>
      <w:bookmarkStart w:id="35" w:name="_Toc444173459"/>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20"/>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 xml:space="preserve"> </w:t>
            </w:r>
            <w:r>
              <w:rPr>
                <w:rFonts w:hint="eastAsia" w:ascii="宋体" w:hAnsi="宋体" w:cs="Arial"/>
                <w:kern w:val="0"/>
                <w:sz w:val="22"/>
                <w:u w:val="single"/>
              </w:rPr>
              <w:t>杭州萧山国际机场航站楼地下车库进出口伸缩缝排水沟清淤项目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2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000000"/>
                <w:sz w:val="22"/>
                <w:u w:val="single"/>
              </w:rPr>
            </w:pPr>
            <w:r>
              <w:rPr>
                <w:rFonts w:hint="eastAsia" w:ascii="宋体" w:hAnsi="宋体" w:cs="Arial"/>
                <w:kern w:val="0"/>
                <w:sz w:val="22"/>
                <w:u w:val="single"/>
              </w:rPr>
              <w:t>十八个自然月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color w:val="000000"/>
                <w:sz w:val="22"/>
                <w:lang w:val="en-US" w:eastAsia="zh-CN"/>
              </w:rPr>
              <w:t>在服务期内，</w:t>
            </w:r>
            <w:r>
              <w:rPr>
                <w:rFonts w:hint="eastAsia" w:ascii="宋体" w:hAnsi="宋体"/>
                <w:color w:val="000000"/>
                <w:sz w:val="22"/>
              </w:rPr>
              <w:t>保证排水沟及相关集水井排水畅通，</w:t>
            </w:r>
            <w:r>
              <w:rPr>
                <w:rFonts w:hint="eastAsia" w:ascii="宋体" w:hAnsi="宋体"/>
                <w:color w:val="000000"/>
                <w:sz w:val="22"/>
                <w:lang w:val="en-US" w:eastAsia="zh-CN"/>
              </w:rPr>
              <w:t>无淤泥和垃圾堆积，</w:t>
            </w:r>
            <w:r>
              <w:rPr>
                <w:rFonts w:hint="eastAsia" w:ascii="宋体" w:hAnsi="宋体"/>
                <w:color w:val="000000"/>
                <w:sz w:val="22"/>
              </w:rPr>
              <w:t>地下车库进出口无积水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组织，踏勘时间：</w:t>
            </w:r>
            <w:r>
              <w:rPr>
                <w:rFonts w:hint="eastAsia" w:ascii="Times New Roman" w:hAnsi="Times New Roman"/>
                <w:color w:val="auto"/>
                <w:sz w:val="22"/>
                <w:highlight w:val="none"/>
                <w:lang w:val="en-US" w:eastAsia="zh-CN"/>
              </w:rPr>
              <w:t>2022</w:t>
            </w:r>
            <w:r>
              <w:rPr>
                <w:rFonts w:hint="eastAsia" w:ascii="Times New Roman" w:hAnsi="Times New Roman"/>
                <w:color w:val="FF0000"/>
                <w:sz w:val="22"/>
                <w:highlight w:val="none"/>
              </w:rPr>
              <w:t>年</w:t>
            </w:r>
            <w:r>
              <w:rPr>
                <w:rFonts w:hint="eastAsia" w:ascii="Times New Roman" w:hAnsi="Times New Roman"/>
                <w:color w:val="FF0000"/>
                <w:sz w:val="22"/>
                <w:highlight w:val="none"/>
                <w:lang w:val="en-US" w:eastAsia="zh-CN"/>
              </w:rPr>
              <w:t>9</w:t>
            </w:r>
            <w:r>
              <w:rPr>
                <w:rFonts w:hint="eastAsia" w:ascii="Times New Roman" w:hAnsi="Times New Roman"/>
                <w:color w:val="FF0000"/>
                <w:sz w:val="22"/>
                <w:highlight w:val="none"/>
              </w:rPr>
              <w:t>月</w:t>
            </w:r>
            <w:r>
              <w:rPr>
                <w:rFonts w:hint="eastAsia" w:ascii="Times New Roman" w:hAnsi="Times New Roman"/>
                <w:color w:val="FF0000"/>
                <w:sz w:val="22"/>
                <w:highlight w:val="none"/>
                <w:lang w:val="en-US" w:eastAsia="zh-CN"/>
              </w:rPr>
              <w:t>9</w:t>
            </w:r>
            <w:r>
              <w:rPr>
                <w:rFonts w:hint="eastAsia" w:ascii="Times New Roman" w:hAnsi="Times New Roman"/>
                <w:color w:val="FF0000"/>
                <w:sz w:val="22"/>
                <w:highlight w:val="none"/>
              </w:rPr>
              <w:t>日</w:t>
            </w:r>
            <w:r>
              <w:rPr>
                <w:rFonts w:hint="eastAsia" w:ascii="Times New Roman" w:hAnsi="Times New Roman"/>
                <w:color w:val="FF0000"/>
                <w:sz w:val="22"/>
                <w:highlight w:val="none"/>
                <w:lang w:val="en-US" w:eastAsia="zh-CN"/>
              </w:rPr>
              <w:t>10</w:t>
            </w:r>
            <w:r>
              <w:rPr>
                <w:rFonts w:hint="eastAsia" w:ascii="Times New Roman" w:hAnsi="Times New Roman"/>
                <w:color w:val="FF0000"/>
                <w:sz w:val="22"/>
                <w:highlight w:val="none"/>
              </w:rPr>
              <w:t>时</w:t>
            </w:r>
            <w:r>
              <w:rPr>
                <w:rFonts w:hint="eastAsia" w:ascii="Times New Roman" w:hAnsi="Times New Roman"/>
                <w:color w:val="FF0000"/>
                <w:sz w:val="22"/>
                <w:highlight w:val="none"/>
                <w:lang w:val="en-US" w:eastAsia="zh-CN"/>
              </w:rPr>
              <w:t>00</w:t>
            </w:r>
            <w:r>
              <w:rPr>
                <w:rFonts w:hint="eastAsia" w:ascii="Times New Roman" w:hAnsi="Times New Roman"/>
                <w:color w:val="FF0000"/>
                <w:sz w:val="22"/>
                <w:highlight w:val="none"/>
              </w:rPr>
              <w:t>分</w:t>
            </w:r>
            <w:r>
              <w:rPr>
                <w:rFonts w:hint="eastAsia" w:ascii="Times New Roman" w:hAnsi="Times New Roman"/>
                <w:color w:val="auto"/>
                <w:sz w:val="22"/>
                <w:highlight w:val="none"/>
              </w:rPr>
              <w:t>(北京时间)</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Calibri"/>
                <w:kern w:val="0"/>
                <w:sz w:val="22"/>
                <w:u w:val="single"/>
                <w:lang w:val="en-US" w:eastAsia="zh-CN"/>
              </w:rPr>
              <w:t>杭州萧山国际机场物业维修中心</w:t>
            </w:r>
            <w:r>
              <w:rPr>
                <w:rFonts w:ascii="宋体" w:hAnsi="宋体" w:cs="Calibri"/>
                <w:kern w:val="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spacing w:line="360" w:lineRule="exact"/>
              <w:ind w:firstLine="420" w:firstLineChars="200"/>
              <w:jc w:val="left"/>
              <w:rPr>
                <w:rFonts w:ascii="宋体" w:hAnsi="宋体"/>
                <w:b w:val="0"/>
                <w:bCs w:val="0"/>
                <w:snapToGrid w:val="0"/>
                <w:kern w:val="0"/>
                <w:szCs w:val="21"/>
              </w:rPr>
            </w:pPr>
            <w:r>
              <w:rPr>
                <w:rFonts w:hint="eastAsia" w:ascii="宋体" w:hAnsi="宋体"/>
                <w:b w:val="0"/>
                <w:bCs w:val="0"/>
                <w:snapToGrid w:val="0"/>
                <w:color w:val="FF0000"/>
                <w:kern w:val="0"/>
                <w:szCs w:val="21"/>
                <w:lang w:val="en-US" w:eastAsia="zh-CN"/>
              </w:rPr>
              <w:t>2022</w:t>
            </w:r>
            <w:r>
              <w:rPr>
                <w:rFonts w:hint="eastAsia" w:ascii="宋体" w:hAnsi="宋体"/>
                <w:b w:val="0"/>
                <w:bCs w:val="0"/>
                <w:snapToGrid w:val="0"/>
                <w:color w:val="FF0000"/>
                <w:kern w:val="0"/>
                <w:szCs w:val="21"/>
              </w:rPr>
              <w:t>年</w:t>
            </w:r>
            <w:r>
              <w:rPr>
                <w:rFonts w:hint="eastAsia" w:ascii="宋体" w:hAnsi="宋体"/>
                <w:b w:val="0"/>
                <w:bCs w:val="0"/>
                <w:snapToGrid w:val="0"/>
                <w:color w:val="FF0000"/>
                <w:kern w:val="0"/>
                <w:szCs w:val="21"/>
                <w:lang w:val="en-US" w:eastAsia="zh-CN"/>
              </w:rPr>
              <w:t>9</w:t>
            </w:r>
            <w:r>
              <w:rPr>
                <w:rFonts w:hint="eastAsia" w:ascii="宋体" w:hAnsi="宋体"/>
                <w:b w:val="0"/>
                <w:bCs w:val="0"/>
                <w:snapToGrid w:val="0"/>
                <w:color w:val="FF0000"/>
                <w:kern w:val="0"/>
                <w:szCs w:val="21"/>
              </w:rPr>
              <w:t>月</w:t>
            </w:r>
            <w:r>
              <w:rPr>
                <w:rFonts w:hint="eastAsia" w:ascii="宋体" w:hAnsi="宋体"/>
                <w:b w:val="0"/>
                <w:bCs w:val="0"/>
                <w:snapToGrid w:val="0"/>
                <w:color w:val="FF0000"/>
                <w:kern w:val="0"/>
                <w:szCs w:val="21"/>
                <w:lang w:val="en-US" w:eastAsia="zh-CN"/>
              </w:rPr>
              <w:t>15</w:t>
            </w:r>
            <w:r>
              <w:rPr>
                <w:rFonts w:hint="eastAsia" w:ascii="宋体" w:hAnsi="宋体"/>
                <w:b w:val="0"/>
                <w:bCs w:val="0"/>
                <w:snapToGrid w:val="0"/>
                <w:color w:val="FF0000"/>
                <w:kern w:val="0"/>
                <w:szCs w:val="21"/>
              </w:rPr>
              <w:t>日</w:t>
            </w:r>
            <w:r>
              <w:rPr>
                <w:rFonts w:hint="eastAsia" w:ascii="宋体" w:hAnsi="宋体"/>
                <w:b w:val="0"/>
                <w:bCs w:val="0"/>
                <w:snapToGrid w:val="0"/>
                <w:color w:val="FF0000"/>
                <w:kern w:val="0"/>
                <w:szCs w:val="21"/>
                <w:lang w:val="en-US" w:eastAsia="zh-CN"/>
              </w:rPr>
              <w:t>10</w:t>
            </w:r>
            <w:r>
              <w:rPr>
                <w:rFonts w:hint="eastAsia" w:ascii="宋体" w:hAnsi="宋体"/>
                <w:b w:val="0"/>
                <w:bCs w:val="0"/>
                <w:snapToGrid w:val="0"/>
                <w:color w:val="FF0000"/>
                <w:kern w:val="0"/>
                <w:szCs w:val="21"/>
              </w:rPr>
              <w:t>时</w:t>
            </w:r>
            <w:r>
              <w:rPr>
                <w:rFonts w:hint="eastAsia" w:ascii="宋体" w:hAnsi="宋体"/>
                <w:b w:val="0"/>
                <w:bCs w:val="0"/>
                <w:snapToGrid w:val="0"/>
                <w:color w:val="FF0000"/>
                <w:kern w:val="0"/>
                <w:szCs w:val="21"/>
                <w:lang w:val="en-US" w:eastAsia="zh-CN"/>
              </w:rPr>
              <w:t>00</w:t>
            </w:r>
            <w:r>
              <w:rPr>
                <w:rFonts w:hint="eastAsia" w:ascii="宋体" w:hAnsi="宋体"/>
                <w:b w:val="0"/>
                <w:bCs w:val="0"/>
                <w:snapToGrid w:val="0"/>
                <w:color w:val="FF0000"/>
                <w:kern w:val="0"/>
                <w:szCs w:val="21"/>
              </w:rPr>
              <w:t>分</w:t>
            </w:r>
            <w:r>
              <w:rPr>
                <w:rFonts w:hint="eastAsia" w:ascii="宋体" w:hAnsi="宋体"/>
                <w:b w:val="0"/>
                <w:bCs w:val="0"/>
                <w:snapToGrid w:val="0"/>
                <w:kern w:val="0"/>
                <w:szCs w:val="21"/>
              </w:rPr>
              <w:t>前</w:t>
            </w:r>
          </w:p>
          <w:p>
            <w:pPr>
              <w:spacing w:line="360" w:lineRule="exact"/>
              <w:jc w:val="left"/>
              <w:rPr>
                <w:rFonts w:ascii="宋体" w:hAnsi="宋体" w:cs="Calibri"/>
                <w:b w:val="0"/>
                <w:bCs w:val="0"/>
                <w:kern w:val="0"/>
                <w:sz w:val="22"/>
              </w:rPr>
            </w:pPr>
            <w:r>
              <w:rPr>
                <w:rFonts w:hint="eastAsia" w:ascii="Arial" w:hAnsi="Arial" w:cs="Arial"/>
                <w:b w:val="0"/>
                <w:bCs w:val="0"/>
                <w:szCs w:val="21"/>
              </w:rPr>
              <w:t>各</w:t>
            </w:r>
            <w:r>
              <w:rPr>
                <w:rFonts w:ascii="Arial" w:hAnsi="Arial" w:cs="Arial"/>
                <w:b w:val="0"/>
                <w:bCs w:val="0"/>
                <w:szCs w:val="21"/>
              </w:rPr>
              <w:t>投标人对招标文件有疑问</w:t>
            </w:r>
            <w:r>
              <w:rPr>
                <w:rFonts w:hint="eastAsia" w:ascii="Arial" w:hAnsi="Arial" w:cs="Arial"/>
                <w:b w:val="0"/>
                <w:bCs w:val="0"/>
                <w:szCs w:val="21"/>
              </w:rPr>
              <w:t>的</w:t>
            </w:r>
            <w:r>
              <w:rPr>
                <w:rFonts w:ascii="Arial" w:hAnsi="Arial" w:cs="Arial"/>
                <w:b w:val="0"/>
                <w:bCs w:val="0"/>
                <w:szCs w:val="21"/>
              </w:rPr>
              <w:t>，请在</w:t>
            </w:r>
            <w:r>
              <w:rPr>
                <w:rFonts w:hint="eastAsia" w:ascii="Arial" w:hAnsi="Arial" w:cs="Arial"/>
                <w:b w:val="0"/>
                <w:bCs w:val="0"/>
                <w:szCs w:val="21"/>
              </w:rPr>
              <w:t>上述时间</w:t>
            </w:r>
            <w:r>
              <w:rPr>
                <w:rFonts w:ascii="Arial" w:hAnsi="Arial" w:cs="Arial"/>
                <w:b w:val="0"/>
                <w:bCs w:val="0"/>
                <w:szCs w:val="21"/>
              </w:rPr>
              <w:t>前以书面形式提交</w:t>
            </w:r>
            <w:r>
              <w:rPr>
                <w:rFonts w:hint="eastAsia" w:ascii="Arial" w:hAnsi="Arial" w:cs="Arial"/>
                <w:b w:val="0"/>
                <w:bCs w:val="0"/>
                <w:szCs w:val="21"/>
              </w:rPr>
              <w:t>招标人（投标联系人：</w:t>
            </w:r>
            <w:r>
              <w:rPr>
                <w:rFonts w:hint="eastAsia" w:ascii="Arial" w:hAnsi="Arial" w:cs="Arial"/>
                <w:b w:val="0"/>
                <w:bCs w:val="0"/>
                <w:szCs w:val="21"/>
                <w:lang w:val="en-US" w:eastAsia="zh-CN"/>
              </w:rPr>
              <w:t>吴</w:t>
            </w:r>
            <w:r>
              <w:rPr>
                <w:rFonts w:hint="eastAsia" w:ascii="Arial" w:hAnsi="Arial" w:cs="Arial"/>
                <w:b w:val="0"/>
                <w:bCs w:val="0"/>
                <w:szCs w:val="21"/>
              </w:rPr>
              <w:t>工，电话：86662348；传真：0571-86661149；电子邮箱：</w:t>
            </w:r>
            <w:r>
              <w:rPr>
                <w:rFonts w:hint="eastAsia" w:ascii="Arial" w:hAnsi="Arial" w:cs="Arial"/>
                <w:b w:val="0"/>
                <w:bCs w:val="0"/>
                <w:szCs w:val="21"/>
                <w:lang w:val="en-US" w:eastAsia="zh-CN"/>
              </w:rPr>
              <w:t>wu.miao.qing@qq.com</w:t>
            </w:r>
            <w:r>
              <w:rPr>
                <w:rFonts w:hint="eastAsia" w:ascii="Arial" w:hAnsi="Arial" w:cs="Arial"/>
                <w:b w:val="0"/>
                <w:bCs w:val="0"/>
                <w:szCs w:val="21"/>
              </w:rPr>
              <w:t>）</w:t>
            </w:r>
            <w:r>
              <w:rPr>
                <w:rFonts w:hint="eastAsia" w:ascii="宋体" w:hAnsi="宋体" w:cs="Arial"/>
                <w:b w:val="0"/>
                <w:bCs w:val="0"/>
                <w:szCs w:val="21"/>
              </w:rPr>
              <w:t>投标人必须在规定时间前提出对招标文件的疑问，否则招标人有权拒绝接受和拒绝回答未在截止时间前提出的疑问。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ind w:firstLine="221" w:firstLineChars="100"/>
              <w:rPr>
                <w:rFonts w:ascii="宋体" w:hAnsi="宋体" w:cs="Calibri"/>
                <w:b w:val="0"/>
                <w:bCs w:val="0"/>
                <w:kern w:val="0"/>
                <w:sz w:val="22"/>
              </w:rPr>
            </w:pPr>
            <w:r>
              <w:rPr>
                <w:rFonts w:hint="eastAsia" w:ascii="宋体" w:hAnsi="宋体" w:cs="Arial"/>
                <w:color w:val="FF0000"/>
                <w:kern w:val="0"/>
                <w:sz w:val="22"/>
                <w:lang w:val="en-US" w:eastAsia="zh-CN"/>
              </w:rPr>
              <w:t>2022</w:t>
            </w:r>
            <w:r>
              <w:rPr>
                <w:rFonts w:hint="eastAsia" w:ascii="宋体" w:hAnsi="宋体" w:cs="Arial"/>
                <w:color w:val="FF0000"/>
                <w:kern w:val="0"/>
                <w:sz w:val="22"/>
              </w:rPr>
              <w:t>年</w:t>
            </w:r>
            <w:r>
              <w:rPr>
                <w:rFonts w:hint="eastAsia" w:ascii="宋体" w:hAnsi="宋体" w:cs="Arial"/>
                <w:color w:val="FF0000"/>
                <w:kern w:val="0"/>
                <w:sz w:val="22"/>
                <w:lang w:val="en-US" w:eastAsia="zh-CN"/>
              </w:rPr>
              <w:t>9</w:t>
            </w:r>
            <w:r>
              <w:rPr>
                <w:rFonts w:hint="eastAsia" w:ascii="宋体" w:hAnsi="宋体" w:cs="Arial"/>
                <w:color w:val="FF0000"/>
                <w:kern w:val="0"/>
                <w:sz w:val="22"/>
              </w:rPr>
              <w:t>月</w:t>
            </w:r>
            <w:r>
              <w:rPr>
                <w:rFonts w:hint="eastAsia" w:ascii="宋体" w:hAnsi="宋体" w:cs="Arial"/>
                <w:color w:val="FF0000"/>
                <w:kern w:val="0"/>
                <w:sz w:val="22"/>
                <w:lang w:val="en-US" w:eastAsia="zh-CN"/>
              </w:rPr>
              <w:t>19</w:t>
            </w:r>
            <w:r>
              <w:rPr>
                <w:rFonts w:hint="eastAsia" w:ascii="宋体" w:hAnsi="宋体" w:cs="Arial"/>
                <w:color w:val="FF0000"/>
                <w:kern w:val="0"/>
                <w:sz w:val="22"/>
              </w:rPr>
              <w:t>日</w:t>
            </w:r>
            <w:r>
              <w:rPr>
                <w:rFonts w:hint="eastAsia" w:ascii="宋体" w:hAnsi="宋体" w:cs="Arial"/>
                <w:color w:val="FF0000"/>
                <w:kern w:val="0"/>
                <w:sz w:val="22"/>
                <w:lang w:val="en-US" w:eastAsia="zh-CN"/>
              </w:rPr>
              <w:t>9</w:t>
            </w:r>
            <w:r>
              <w:rPr>
                <w:rFonts w:hint="eastAsia" w:ascii="宋体" w:hAnsi="宋体" w:cs="Arial"/>
                <w:color w:val="FF0000"/>
                <w:kern w:val="0"/>
                <w:sz w:val="22"/>
              </w:rPr>
              <w:t>时</w:t>
            </w:r>
            <w:r>
              <w:rPr>
                <w:rFonts w:hint="eastAsia" w:ascii="宋体" w:hAnsi="宋体" w:cs="Arial"/>
                <w:color w:val="FF0000"/>
                <w:kern w:val="0"/>
                <w:sz w:val="22"/>
                <w:lang w:val="en-US" w:eastAsia="zh-CN"/>
              </w:rPr>
              <w:t>30</w:t>
            </w:r>
            <w:r>
              <w:rPr>
                <w:rFonts w:hint="eastAsia" w:ascii="宋体" w:hAnsi="宋体" w:cs="Arial"/>
                <w:color w:val="FF0000"/>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6" w:name="_Toc236586447"/>
            <w:bookmarkStart w:id="37"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Arial"/>
                <w:kern w:val="0"/>
                <w:sz w:val="22"/>
              </w:rPr>
              <w:t>杭州萧山国际机场航站楼地下车库进出口伸缩缝排水沟清淤项目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Calibri"/>
                <w:color w:val="FF0000"/>
                <w:kern w:val="0"/>
                <w:sz w:val="22"/>
                <w:u w:val="single"/>
                <w:lang w:val="en-US" w:eastAsia="zh-CN"/>
              </w:rPr>
              <w:t>2022</w:t>
            </w:r>
            <w:r>
              <w:rPr>
                <w:rFonts w:ascii="宋体" w:hAnsi="宋体" w:cs="Calibri"/>
                <w:color w:val="FF0000"/>
                <w:kern w:val="0"/>
                <w:sz w:val="22"/>
              </w:rPr>
              <w:t>年</w:t>
            </w:r>
            <w:r>
              <w:rPr>
                <w:rFonts w:hint="eastAsia" w:ascii="宋体" w:hAnsi="宋体" w:cs="Calibri"/>
                <w:color w:val="FF0000"/>
                <w:kern w:val="0"/>
                <w:sz w:val="22"/>
                <w:u w:val="single"/>
                <w:lang w:val="en-US" w:eastAsia="zh-CN"/>
              </w:rPr>
              <w:t>9</w:t>
            </w:r>
            <w:r>
              <w:rPr>
                <w:rFonts w:ascii="宋体" w:hAnsi="宋体" w:cs="Calibri"/>
                <w:color w:val="FF0000"/>
                <w:kern w:val="0"/>
                <w:sz w:val="22"/>
              </w:rPr>
              <w:t>月</w:t>
            </w:r>
            <w:r>
              <w:rPr>
                <w:rFonts w:ascii="宋体" w:hAnsi="宋体" w:cs="Calibri"/>
                <w:color w:val="FF0000"/>
                <w:kern w:val="0"/>
                <w:sz w:val="22"/>
                <w:u w:val="single"/>
              </w:rPr>
              <w:t xml:space="preserve"> </w:t>
            </w:r>
            <w:r>
              <w:rPr>
                <w:rFonts w:hint="eastAsia" w:ascii="宋体" w:hAnsi="宋体" w:cs="Calibri"/>
                <w:color w:val="FF0000"/>
                <w:kern w:val="0"/>
                <w:sz w:val="22"/>
                <w:u w:val="single"/>
                <w:lang w:val="en-US" w:eastAsia="zh-CN"/>
              </w:rPr>
              <w:t>19</w:t>
            </w:r>
            <w:r>
              <w:rPr>
                <w:rFonts w:hint="eastAsia" w:ascii="宋体" w:hAnsi="宋体" w:cs="Calibri"/>
                <w:color w:val="FF0000"/>
                <w:kern w:val="0"/>
                <w:sz w:val="22"/>
                <w:u w:val="single"/>
              </w:rPr>
              <w:t xml:space="preserve"> </w:t>
            </w:r>
            <w:r>
              <w:rPr>
                <w:rFonts w:ascii="宋体" w:hAnsi="宋体" w:cs="Calibri"/>
                <w:color w:val="FF0000"/>
                <w:kern w:val="0"/>
                <w:sz w:val="22"/>
              </w:rPr>
              <w:t>日</w:t>
            </w:r>
            <w:r>
              <w:rPr>
                <w:rFonts w:ascii="宋体" w:hAnsi="宋体" w:cs="Calibri"/>
                <w:color w:val="FF0000"/>
                <w:kern w:val="0"/>
                <w:sz w:val="22"/>
                <w:u w:val="single"/>
              </w:rPr>
              <w:t xml:space="preserve"> </w:t>
            </w:r>
            <w:r>
              <w:rPr>
                <w:rFonts w:hint="eastAsia" w:ascii="宋体" w:hAnsi="宋体" w:cs="Calibri"/>
                <w:color w:val="FF0000"/>
                <w:kern w:val="0"/>
                <w:sz w:val="22"/>
                <w:u w:val="single"/>
                <w:lang w:val="en-US" w:eastAsia="zh-CN"/>
              </w:rPr>
              <w:t>9</w:t>
            </w:r>
            <w:r>
              <w:rPr>
                <w:rFonts w:hint="eastAsia" w:ascii="宋体" w:hAnsi="宋体" w:cs="Calibri"/>
                <w:color w:val="FF0000"/>
                <w:kern w:val="0"/>
                <w:sz w:val="22"/>
                <w:u w:val="single"/>
              </w:rPr>
              <w:t xml:space="preserve"> </w:t>
            </w:r>
            <w:r>
              <w:rPr>
                <w:rFonts w:ascii="宋体" w:hAnsi="宋体" w:cs="Calibri"/>
                <w:color w:val="FF0000"/>
                <w:kern w:val="0"/>
                <w:sz w:val="22"/>
              </w:rPr>
              <w:t>时</w:t>
            </w:r>
            <w:r>
              <w:rPr>
                <w:rFonts w:ascii="宋体" w:hAnsi="宋体" w:cs="Calibri"/>
                <w:color w:val="FF0000"/>
                <w:kern w:val="0"/>
                <w:sz w:val="22"/>
                <w:u w:val="single"/>
              </w:rPr>
              <w:t xml:space="preserve"> </w:t>
            </w:r>
            <w:r>
              <w:rPr>
                <w:rFonts w:hint="eastAsia" w:ascii="宋体" w:hAnsi="宋体" w:cs="Calibri"/>
                <w:color w:val="FF0000"/>
                <w:kern w:val="0"/>
                <w:sz w:val="22"/>
                <w:u w:val="single"/>
                <w:lang w:val="en-US" w:eastAsia="zh-CN"/>
              </w:rPr>
              <w:t>30</w:t>
            </w:r>
            <w:bookmarkStart w:id="122" w:name="_GoBack"/>
            <w:bookmarkEnd w:id="122"/>
            <w:r>
              <w:rPr>
                <w:rFonts w:hint="eastAsia" w:ascii="宋体" w:hAnsi="宋体" w:cs="Calibri"/>
                <w:color w:val="FF0000"/>
                <w:kern w:val="0"/>
                <w:sz w:val="22"/>
                <w:u w:val="single"/>
              </w:rPr>
              <w:t xml:space="preserve"> </w:t>
            </w:r>
            <w:r>
              <w:rPr>
                <w:rFonts w:ascii="宋体" w:hAnsi="宋体" w:cs="Calibri"/>
                <w:color w:val="FF0000"/>
                <w:kern w:val="0"/>
                <w:sz w:val="22"/>
              </w:rPr>
              <w:t>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杭州萧山国际机场物业维修中心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spacing w:line="360" w:lineRule="exact"/>
              <w:jc w:val="left"/>
              <w:rPr>
                <w:rFonts w:ascii="宋体" w:hAnsi="宋体"/>
                <w:snapToGrid w:val="0"/>
                <w:kern w:val="0"/>
                <w:szCs w:val="21"/>
              </w:rPr>
            </w:pPr>
            <w:r>
              <w:rPr>
                <w:rFonts w:hint="eastAsia" w:ascii="宋体" w:hAnsi="宋体"/>
                <w:snapToGrid w:val="0"/>
                <w:kern w:val="0"/>
                <w:szCs w:val="21"/>
              </w:rPr>
              <w:t>评标委员会构成：</w:t>
            </w:r>
            <w:r>
              <w:rPr>
                <w:rFonts w:hint="eastAsia" w:ascii="宋体" w:hAnsi="宋体"/>
                <w:snapToGrid w:val="0"/>
                <w:kern w:val="0"/>
                <w:szCs w:val="21"/>
                <w:u w:val="single"/>
              </w:rPr>
              <w:t>3</w:t>
            </w:r>
            <w:r>
              <w:rPr>
                <w:rFonts w:hint="eastAsia" w:ascii="宋体" w:hAnsi="宋体"/>
                <w:snapToGrid w:val="0"/>
                <w:kern w:val="0"/>
                <w:szCs w:val="21"/>
              </w:rPr>
              <w:t>人，</w:t>
            </w:r>
            <w:r>
              <w:rPr>
                <w:rFonts w:ascii="宋体" w:hAnsi="宋体"/>
                <w:snapToGrid w:val="0"/>
                <w:kern w:val="0"/>
                <w:szCs w:val="21"/>
              </w:rPr>
              <w:t xml:space="preserve"> </w:t>
            </w:r>
          </w:p>
          <w:p>
            <w:pPr>
              <w:autoSpaceDE w:val="0"/>
              <w:autoSpaceDN w:val="0"/>
              <w:adjustRightInd w:val="0"/>
              <w:snapToGrid w:val="0"/>
              <w:jc w:val="left"/>
              <w:rPr>
                <w:rFonts w:ascii="宋体" w:hAnsi="宋体"/>
                <w:sz w:val="22"/>
              </w:rPr>
            </w:pPr>
            <w:r>
              <w:rPr>
                <w:rFonts w:hint="eastAsia" w:ascii="宋体" w:hAnsi="宋体"/>
                <w:snapToGrid w:val="0"/>
                <w:kern w:val="0"/>
                <w:szCs w:val="21"/>
              </w:rPr>
              <w:t>评标专家确定方式：由招标人自行组建。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1</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napToGrid w:val="0"/>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vAlign w:val="center"/>
          </w:tcPr>
          <w:p>
            <w:pPr>
              <w:pStyle w:val="14"/>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vAlign w:val="center"/>
          </w:tcPr>
          <w:p>
            <w:pPr>
              <w:pStyle w:val="14"/>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8"/>
      <w:bookmarkEnd w:id="39"/>
    </w:p>
    <w:p>
      <w:pPr>
        <w:autoSpaceDE w:val="0"/>
        <w:autoSpaceDN w:val="0"/>
        <w:adjustRightInd w:val="0"/>
        <w:snapToGrid w:val="0"/>
        <w:spacing w:line="360" w:lineRule="exact"/>
        <w:rPr>
          <w:rFonts w:ascii="宋体" w:hAnsi="宋体" w:cs="Calibri"/>
          <w:b/>
          <w:bCs/>
          <w:kern w:val="0"/>
          <w:sz w:val="22"/>
        </w:rPr>
      </w:pPr>
      <w:bookmarkStart w:id="40" w:name="_Toc26216"/>
      <w:r>
        <w:rPr>
          <w:rFonts w:ascii="宋体" w:hAnsi="宋体" w:cs="Calibri"/>
          <w:b/>
          <w:bCs/>
          <w:kern w:val="0"/>
          <w:sz w:val="22"/>
        </w:rPr>
        <w:t>1.1 项目</w:t>
      </w:r>
      <w:bookmarkEnd w:id="40"/>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4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4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2"/>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5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5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51" w:name="_Toc143421657"/>
      <w:bookmarkStart w:id="52" w:name="_Toc15241"/>
      <w:r>
        <w:rPr>
          <w:rFonts w:ascii="宋体" w:hAnsi="宋体" w:cs="Calibri"/>
          <w:b/>
          <w:bCs/>
          <w:kern w:val="0"/>
          <w:sz w:val="22"/>
        </w:rPr>
        <w:t>2.招标文件</w:t>
      </w:r>
      <w:bookmarkEnd w:id="51"/>
      <w:bookmarkEnd w:id="52"/>
    </w:p>
    <w:p>
      <w:pPr>
        <w:autoSpaceDE w:val="0"/>
        <w:autoSpaceDN w:val="0"/>
        <w:adjustRightInd w:val="0"/>
        <w:snapToGrid w:val="0"/>
        <w:spacing w:line="360" w:lineRule="exact"/>
        <w:rPr>
          <w:rFonts w:ascii="宋体" w:hAnsi="宋体" w:cs="Calibri"/>
          <w:b/>
          <w:bCs/>
          <w:kern w:val="0"/>
          <w:sz w:val="22"/>
        </w:rPr>
      </w:pPr>
      <w:bookmarkStart w:id="53" w:name="_Toc1426"/>
      <w:r>
        <w:rPr>
          <w:rFonts w:ascii="宋体" w:hAnsi="宋体" w:cs="Calibri"/>
          <w:b/>
          <w:bCs/>
          <w:kern w:val="0"/>
          <w:sz w:val="22"/>
        </w:rPr>
        <w:t>2.1 招标文件的组成</w:t>
      </w:r>
      <w:bookmarkEnd w:id="5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4" w:name="_Toc18230"/>
      <w:r>
        <w:rPr>
          <w:rFonts w:ascii="宋体" w:hAnsi="宋体" w:cs="Calibri"/>
          <w:b/>
          <w:bCs/>
          <w:kern w:val="0"/>
          <w:sz w:val="22"/>
        </w:rPr>
        <w:t>2.2 招标文件的澄清</w:t>
      </w:r>
      <w:bookmarkEnd w:id="54"/>
    </w:p>
    <w:p>
      <w:pPr>
        <w:adjustRightInd w:val="0"/>
        <w:snapToGrid w:val="0"/>
        <w:spacing w:line="360" w:lineRule="exact"/>
        <w:ind w:firstLine="440"/>
        <w:rPr>
          <w:rFonts w:ascii="宋体" w:hAnsi="宋体" w:cs="Calibri"/>
          <w:color w:val="000000"/>
          <w:sz w:val="22"/>
        </w:rPr>
      </w:pPr>
      <w:bookmarkStart w:id="55"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kern w:val="0"/>
          <w:sz w:val="22"/>
        </w:rPr>
      </w:pPr>
      <w:r>
        <w:rPr>
          <w:rFonts w:ascii="宋体" w:hAnsi="宋体" w:cs="Calibri"/>
          <w:color w:val="000000"/>
          <w:sz w:val="22"/>
        </w:rPr>
        <w:t>2.2.</w:t>
      </w:r>
      <w:r>
        <w:rPr>
          <w:rFonts w:hint="eastAsia" w:ascii="宋体" w:hAnsi="宋体" w:cs="Calibri"/>
          <w:color w:val="000000"/>
          <w:sz w:val="22"/>
        </w:rPr>
        <w:t>3</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6" w:name="_Toc18870"/>
      <w:bookmarkStart w:id="57" w:name="_Toc143421658"/>
      <w:r>
        <w:rPr>
          <w:rFonts w:ascii="宋体" w:hAnsi="宋体" w:cs="Calibri"/>
          <w:b/>
          <w:bCs/>
          <w:kern w:val="0"/>
          <w:sz w:val="22"/>
        </w:rPr>
        <w:t>3.投标文件</w:t>
      </w:r>
      <w:bookmarkEnd w:id="56"/>
      <w:bookmarkEnd w:id="57"/>
    </w:p>
    <w:p>
      <w:pPr>
        <w:autoSpaceDE w:val="0"/>
        <w:autoSpaceDN w:val="0"/>
        <w:adjustRightInd w:val="0"/>
        <w:snapToGrid w:val="0"/>
        <w:spacing w:line="360" w:lineRule="exact"/>
        <w:rPr>
          <w:rFonts w:ascii="宋体" w:hAnsi="宋体" w:cs="Calibri"/>
          <w:b/>
          <w:bCs/>
          <w:kern w:val="0"/>
          <w:sz w:val="22"/>
        </w:rPr>
      </w:pPr>
      <w:bookmarkStart w:id="58" w:name="_Toc461"/>
      <w:r>
        <w:rPr>
          <w:rFonts w:ascii="宋体" w:hAnsi="宋体" w:cs="Calibri"/>
          <w:b/>
          <w:bCs/>
          <w:kern w:val="0"/>
          <w:sz w:val="22"/>
        </w:rPr>
        <w:t>3.1 投标文件的语言和计量单位</w:t>
      </w:r>
      <w:bookmarkEnd w:id="5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r>
        <w:rPr>
          <w:rFonts w:hint="eastAsia" w:ascii="宋体" w:hAnsi="宋体" w:cs="Calibri"/>
          <w:color w:val="000000"/>
          <w:kern w:val="0"/>
          <w:sz w:val="22"/>
        </w:rPr>
        <w:t>；</w:t>
      </w:r>
      <w:r>
        <w:rPr>
          <w:rFonts w:ascii="宋体" w:hAnsi="宋体" w:cs="Calibri"/>
          <w:color w:val="000000"/>
          <w:kern w:val="0"/>
          <w:sz w:val="22"/>
        </w:rPr>
        <w:t>“</w:t>
      </w:r>
      <w:r>
        <w:rPr>
          <w:rFonts w:hint="eastAsia" w:ascii="宋体" w:hAnsi="宋体" w:cs="Calibri"/>
          <w:color w:val="000000"/>
          <w:kern w:val="0"/>
          <w:sz w:val="22"/>
        </w:rPr>
        <w:t>月</w:t>
      </w:r>
      <w:r>
        <w:rPr>
          <w:rFonts w:ascii="宋体" w:hAnsi="宋体" w:cs="Calibri"/>
          <w:color w:val="000000"/>
          <w:kern w:val="0"/>
          <w:sz w:val="22"/>
        </w:rPr>
        <w:t>”除特别说明外，均为</w:t>
      </w:r>
      <w:r>
        <w:rPr>
          <w:rFonts w:hint="eastAsia" w:ascii="宋体" w:hAnsi="宋体" w:cs="Calibri"/>
          <w:color w:val="000000"/>
          <w:kern w:val="0"/>
          <w:sz w:val="22"/>
        </w:rPr>
        <w:t>自然月</w:t>
      </w:r>
      <w:r>
        <w:rPr>
          <w:rFonts w:ascii="宋体" w:hAnsi="宋体" w:cs="Calibri"/>
          <w:color w:val="000000"/>
          <w:kern w:val="0"/>
          <w:sz w:val="22"/>
        </w:rPr>
        <w:t>。</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59" w:name="_Toc1411"/>
      <w:r>
        <w:rPr>
          <w:rFonts w:ascii="宋体" w:hAnsi="宋体" w:cs="Calibri"/>
          <w:b/>
          <w:bCs/>
          <w:kern w:val="0"/>
          <w:sz w:val="22"/>
        </w:rPr>
        <w:t>3.2 投标文件的组成</w:t>
      </w:r>
      <w:bookmarkEnd w:id="59"/>
    </w:p>
    <w:p>
      <w:pPr>
        <w:adjustRightInd w:val="0"/>
        <w:snapToGrid w:val="0"/>
        <w:spacing w:line="360" w:lineRule="exact"/>
        <w:ind w:firstLine="440" w:firstLineChars="200"/>
        <w:rPr>
          <w:rFonts w:ascii="宋体" w:hAnsi="宋体" w:cs="Calibri"/>
          <w:color w:val="000000"/>
          <w:sz w:val="22"/>
        </w:rPr>
      </w:pPr>
      <w:bookmarkStart w:id="60"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3.2.5投标人资格证明文件：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3.2.6</w:t>
      </w:r>
      <w:r>
        <w:rPr>
          <w:rFonts w:hint="eastAsia" w:ascii="宋体" w:hAnsi="宋体" w:cs="Calibri"/>
          <w:color w:val="000000"/>
          <w:sz w:val="22"/>
        </w:rPr>
        <w:t xml:space="preserve"> </w:t>
      </w:r>
      <w:r>
        <w:rPr>
          <w:rFonts w:ascii="宋体" w:hAnsi="宋体" w:cs="Calibri"/>
          <w:color w:val="000000"/>
          <w:sz w:val="22"/>
        </w:rPr>
        <w:t>服务大纲</w:t>
      </w:r>
      <w:r>
        <w:rPr>
          <w:rFonts w:hint="eastAsia" w:ascii="宋体" w:hAnsi="宋体" w:cs="Calibri"/>
          <w:color w:val="000000"/>
          <w:sz w:val="22"/>
          <w:lang w:eastAsia="zh-CN"/>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0"/>
    </w:p>
    <w:p>
      <w:pPr>
        <w:adjustRightInd w:val="0"/>
        <w:snapToGrid w:val="0"/>
        <w:spacing w:line="360" w:lineRule="exact"/>
        <w:ind w:firstLine="440" w:firstLineChars="200"/>
        <w:rPr>
          <w:rFonts w:ascii="宋体" w:hAnsi="宋体" w:cs="Calibri"/>
          <w:color w:val="000000"/>
          <w:kern w:val="0"/>
          <w:sz w:val="22"/>
        </w:rPr>
      </w:pPr>
      <w:bookmarkStart w:id="61" w:name="_Toc13307"/>
      <w:r>
        <w:rPr>
          <w:rFonts w:ascii="宋体" w:hAnsi="宋体" w:cs="Calibri"/>
          <w:color w:val="000000"/>
          <w:kern w:val="0"/>
          <w:sz w:val="22"/>
        </w:rPr>
        <w:t>3.</w:t>
      </w:r>
      <w:r>
        <w:rPr>
          <w:rFonts w:hint="eastAsia" w:ascii="宋体" w:hAnsi="宋体" w:cs="Calibri"/>
          <w:color w:val="000000"/>
          <w:kern w:val="0"/>
          <w:sz w:val="22"/>
          <w:lang w:val="en-US" w:eastAsia="zh-CN"/>
        </w:rPr>
        <w:t>3</w:t>
      </w:r>
      <w:r>
        <w:rPr>
          <w:rFonts w:ascii="宋体" w:hAnsi="宋体"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lang w:val="en-US" w:eastAsia="zh-CN"/>
        </w:rPr>
        <w:t>3</w:t>
      </w:r>
      <w:r>
        <w:rPr>
          <w:rFonts w:ascii="宋体" w:hAnsi="宋体" w:cs="Calibri"/>
          <w:color w:val="000000"/>
          <w:kern w:val="0"/>
          <w:sz w:val="22"/>
        </w:rPr>
        <w:t>.2 投标人在投标截止时间前修改投标函中的投标总报价，应同时修改本招标文件中“投标文件格式”中的相应报价。此修改须符合本章第4.3款的有关要求。</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3.4.2出现特殊情况需要延长投标有效期的，招标人以书面形式通知所有投标人延长投标有效期。投标人同意延长的，不</w:t>
      </w:r>
      <w:r>
        <w:rPr>
          <w:rFonts w:hint="eastAsia" w:ascii="宋体" w:hAnsi="宋体" w:cs="Calibri"/>
          <w:color w:val="000000"/>
          <w:kern w:val="0"/>
          <w:sz w:val="22"/>
        </w:rPr>
        <w:t>得</w:t>
      </w:r>
      <w:r>
        <w:rPr>
          <w:rFonts w:ascii="宋体" w:hAnsi="宋体" w:cs="Calibri"/>
          <w:color w:val="000000"/>
          <w:kern w:val="0"/>
          <w:sz w:val="22"/>
        </w:rPr>
        <w:t>要求或被允许修改或撤销其投标文件；投标人拒绝延长的，其投标失效。</w:t>
      </w:r>
    </w:p>
    <w:p>
      <w:pPr>
        <w:autoSpaceDE w:val="0"/>
        <w:autoSpaceDN w:val="0"/>
        <w:adjustRightInd w:val="0"/>
        <w:snapToGrid w:val="0"/>
        <w:spacing w:line="360" w:lineRule="exact"/>
        <w:rPr>
          <w:rFonts w:ascii="宋体" w:hAnsi="宋体" w:cs="Calibri"/>
          <w:b/>
          <w:bCs/>
          <w:kern w:val="0"/>
          <w:sz w:val="22"/>
        </w:rPr>
      </w:pPr>
      <w:bookmarkStart w:id="62" w:name="_Toc30464"/>
      <w:r>
        <w:rPr>
          <w:rFonts w:ascii="宋体" w:hAnsi="宋体" w:cs="Calibri"/>
          <w:b/>
          <w:bCs/>
          <w:kern w:val="0"/>
          <w:sz w:val="22"/>
        </w:rPr>
        <w:t>3.5 投标保证金</w:t>
      </w:r>
      <w:bookmarkEnd w:id="6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ascii="宋体" w:hAnsi="宋体" w:cs="Calibri"/>
          <w:b/>
          <w:bCs/>
          <w:kern w:val="0"/>
          <w:sz w:val="22"/>
        </w:rPr>
      </w:pPr>
      <w:bookmarkStart w:id="65" w:name="_Toc32652"/>
      <w:r>
        <w:rPr>
          <w:rFonts w:ascii="宋体" w:hAnsi="宋体" w:cs="Calibri"/>
          <w:b/>
          <w:bCs/>
          <w:kern w:val="0"/>
          <w:sz w:val="22"/>
        </w:rPr>
        <w:t>4.投标</w:t>
      </w:r>
      <w:bookmarkEnd w:id="64"/>
      <w:bookmarkEnd w:id="65"/>
    </w:p>
    <w:p>
      <w:pPr>
        <w:autoSpaceDE w:val="0"/>
        <w:autoSpaceDN w:val="0"/>
        <w:adjustRightInd w:val="0"/>
        <w:snapToGrid w:val="0"/>
        <w:spacing w:line="360" w:lineRule="exact"/>
        <w:rPr>
          <w:rFonts w:ascii="宋体" w:hAnsi="宋体" w:cs="Calibri"/>
          <w:b/>
          <w:bCs/>
          <w:kern w:val="0"/>
          <w:sz w:val="22"/>
        </w:rPr>
      </w:pPr>
      <w:bookmarkStart w:id="66" w:name="_Toc649"/>
      <w:r>
        <w:rPr>
          <w:rFonts w:ascii="宋体" w:hAnsi="宋体" w:cs="Calibri"/>
          <w:b/>
          <w:bCs/>
          <w:kern w:val="0"/>
          <w:sz w:val="22"/>
        </w:rPr>
        <w:t>4.1 投标文件的密封和标识</w:t>
      </w:r>
      <w:bookmarkEnd w:id="66"/>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7" w:name="_Toc16616"/>
      <w:r>
        <w:rPr>
          <w:rFonts w:ascii="宋体" w:hAnsi="宋体" w:cs="Calibri"/>
          <w:b/>
          <w:bCs/>
          <w:kern w:val="0"/>
          <w:sz w:val="22"/>
        </w:rPr>
        <w:t xml:space="preserve">4.2 投标文件的递交 </w:t>
      </w:r>
      <w:bookmarkEnd w:id="67"/>
    </w:p>
    <w:p>
      <w:pPr>
        <w:autoSpaceDE w:val="0"/>
        <w:autoSpaceDN w:val="0"/>
        <w:adjustRightInd w:val="0"/>
        <w:snapToGrid w:val="0"/>
        <w:spacing w:line="360" w:lineRule="exact"/>
        <w:ind w:firstLine="442"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8" w:name="_Toc26099"/>
      <w:r>
        <w:rPr>
          <w:rFonts w:ascii="宋体" w:hAnsi="宋体" w:cs="Calibri"/>
          <w:b/>
          <w:bCs/>
          <w:kern w:val="0"/>
          <w:sz w:val="22"/>
        </w:rPr>
        <w:t>4.3 投标文件的修改和撤回</w:t>
      </w:r>
      <w:bookmarkEnd w:id="6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9" w:name="_Toc29641"/>
      <w:r>
        <w:rPr>
          <w:rFonts w:ascii="宋体" w:hAnsi="宋体" w:cs="Calibri"/>
          <w:b/>
          <w:bCs/>
          <w:kern w:val="0"/>
          <w:sz w:val="22"/>
        </w:rPr>
        <w:t>5.开标</w:t>
      </w:r>
      <w:bookmarkEnd w:id="69"/>
    </w:p>
    <w:p>
      <w:pPr>
        <w:autoSpaceDE w:val="0"/>
        <w:autoSpaceDN w:val="0"/>
        <w:adjustRightInd w:val="0"/>
        <w:snapToGrid w:val="0"/>
        <w:spacing w:line="360" w:lineRule="exact"/>
        <w:rPr>
          <w:rFonts w:ascii="宋体" w:hAnsi="宋体" w:cs="Calibri"/>
          <w:b/>
          <w:bCs/>
          <w:kern w:val="0"/>
          <w:sz w:val="22"/>
        </w:rPr>
      </w:pPr>
      <w:bookmarkStart w:id="70" w:name="_Toc15123"/>
      <w:r>
        <w:rPr>
          <w:rFonts w:ascii="宋体" w:hAnsi="宋体" w:cs="Calibri"/>
          <w:b/>
          <w:bCs/>
          <w:kern w:val="0"/>
          <w:sz w:val="22"/>
        </w:rPr>
        <w:t>5.1 开标时间和地点</w:t>
      </w:r>
      <w:bookmarkEnd w:id="7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71" w:name="_Toc7101"/>
      <w:r>
        <w:rPr>
          <w:rFonts w:ascii="宋体" w:hAnsi="宋体" w:cs="Calibri"/>
          <w:sz w:val="22"/>
        </w:rPr>
        <w:t>委托代理人的身份证、法定代表人授权委托书</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2" w:name="_Toc31578"/>
      <w:r>
        <w:rPr>
          <w:rFonts w:ascii="宋体" w:hAnsi="宋体" w:cs="Calibri"/>
          <w:b/>
          <w:bCs/>
          <w:kern w:val="0"/>
          <w:sz w:val="22"/>
        </w:rPr>
        <w:t>6.评标</w:t>
      </w:r>
      <w:bookmarkEnd w:id="72"/>
    </w:p>
    <w:p>
      <w:pPr>
        <w:autoSpaceDE w:val="0"/>
        <w:autoSpaceDN w:val="0"/>
        <w:adjustRightInd w:val="0"/>
        <w:snapToGrid w:val="0"/>
        <w:spacing w:line="360" w:lineRule="exact"/>
        <w:rPr>
          <w:rFonts w:ascii="宋体" w:hAnsi="宋体" w:cs="Calibri"/>
          <w:b/>
          <w:bCs/>
          <w:kern w:val="0"/>
          <w:sz w:val="22"/>
        </w:rPr>
      </w:pPr>
      <w:bookmarkStart w:id="73" w:name="_Toc10279"/>
      <w:r>
        <w:rPr>
          <w:rFonts w:ascii="宋体" w:hAnsi="宋体" w:cs="Calibri"/>
          <w:b/>
          <w:bCs/>
          <w:kern w:val="0"/>
          <w:sz w:val="22"/>
        </w:rPr>
        <w:t>6.1 评标委员会</w:t>
      </w:r>
      <w:bookmarkEnd w:id="7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4" w:name="_Toc3460"/>
      <w:r>
        <w:rPr>
          <w:rFonts w:ascii="宋体" w:hAnsi="宋体" w:cs="Calibri"/>
          <w:b/>
          <w:bCs/>
          <w:kern w:val="0"/>
          <w:sz w:val="22"/>
        </w:rPr>
        <w:t>6.2 评标原则</w:t>
      </w:r>
      <w:bookmarkEnd w:id="7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5" w:name="_Toc28178"/>
      <w:r>
        <w:rPr>
          <w:rFonts w:ascii="宋体" w:hAnsi="宋体" w:cs="Calibri"/>
          <w:b/>
          <w:bCs/>
          <w:kern w:val="0"/>
          <w:sz w:val="22"/>
        </w:rPr>
        <w:t>6.3 评标</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6" w:name="_Toc24237"/>
      <w:r>
        <w:rPr>
          <w:rFonts w:ascii="宋体" w:hAnsi="宋体" w:cs="Calibri"/>
          <w:b/>
          <w:bCs/>
          <w:kern w:val="0"/>
          <w:sz w:val="22"/>
        </w:rPr>
        <w:t>7.合同授予</w:t>
      </w:r>
      <w:bookmarkEnd w:id="76"/>
    </w:p>
    <w:p>
      <w:pPr>
        <w:autoSpaceDE w:val="0"/>
        <w:autoSpaceDN w:val="0"/>
        <w:adjustRightInd w:val="0"/>
        <w:snapToGrid w:val="0"/>
        <w:spacing w:line="360" w:lineRule="exact"/>
        <w:rPr>
          <w:rFonts w:ascii="宋体" w:hAnsi="宋体" w:cs="Calibri"/>
          <w:b/>
          <w:bCs/>
          <w:kern w:val="0"/>
          <w:sz w:val="22"/>
        </w:rPr>
      </w:pPr>
      <w:bookmarkStart w:id="77" w:name="_Toc18809"/>
      <w:r>
        <w:rPr>
          <w:rFonts w:ascii="宋体" w:hAnsi="宋体" w:cs="Calibri"/>
          <w:b/>
          <w:bCs/>
          <w:kern w:val="0"/>
          <w:sz w:val="22"/>
        </w:rPr>
        <w:t>7.1 定标方式</w:t>
      </w:r>
      <w:bookmarkEnd w:id="7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cs="Calibri"/>
          <w:color w:val="000000"/>
          <w:sz w:val="22"/>
        </w:rPr>
        <w:t>招标人对评标、定标结果不负责解释。</w:t>
      </w:r>
    </w:p>
    <w:p>
      <w:pPr>
        <w:autoSpaceDE w:val="0"/>
        <w:autoSpaceDN w:val="0"/>
        <w:adjustRightInd w:val="0"/>
        <w:snapToGrid w:val="0"/>
        <w:spacing w:line="360" w:lineRule="exact"/>
        <w:rPr>
          <w:rFonts w:ascii="宋体" w:hAnsi="宋体" w:cs="Calibri"/>
          <w:b/>
          <w:bCs/>
          <w:kern w:val="0"/>
          <w:sz w:val="22"/>
        </w:rPr>
      </w:pPr>
      <w:bookmarkStart w:id="78" w:name="_Toc14573"/>
      <w:r>
        <w:rPr>
          <w:rFonts w:ascii="宋体" w:hAnsi="宋体" w:cs="Calibri"/>
          <w:b/>
          <w:bCs/>
          <w:kern w:val="0"/>
          <w:sz w:val="22"/>
        </w:rPr>
        <w:t>7.2 中标通知</w:t>
      </w:r>
      <w:bookmarkEnd w:id="7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79" w:name="_Toc27132"/>
      <w:bookmarkStart w:id="80" w:name="_Toc27581"/>
      <w:r>
        <w:rPr>
          <w:rFonts w:ascii="宋体" w:hAnsi="宋体" w:cs="Calibri"/>
          <w:b/>
          <w:bCs/>
          <w:kern w:val="0"/>
          <w:sz w:val="22"/>
        </w:rPr>
        <w:t>7.3 履约</w:t>
      </w:r>
      <w:r>
        <w:rPr>
          <w:rFonts w:hint="eastAsia" w:ascii="宋体" w:hAnsi="宋体" w:cs="Calibri"/>
          <w:b/>
          <w:bCs/>
          <w:kern w:val="0"/>
          <w:sz w:val="22"/>
        </w:rPr>
        <w:t>保证金</w:t>
      </w:r>
      <w:bookmarkEnd w:id="79"/>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无</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8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81" w:name="_Toc220123241"/>
      <w:bookmarkStart w:id="82" w:name="_Toc11806"/>
      <w:bookmarkStart w:id="83" w:name="_Toc219809801"/>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）。中标人无正当理由拒签协议的，招标人取消其中标资格，给招标人造成损失的，中标人应当赔偿</w:t>
      </w:r>
      <w:r>
        <w:rPr>
          <w:rFonts w:hint="eastAsia" w:ascii="宋体" w:hAnsi="宋体" w:cs="Calibri"/>
          <w:color w:val="000000"/>
          <w:kern w:val="0"/>
          <w:sz w:val="22"/>
        </w:rPr>
        <w:t>损失</w:t>
      </w:r>
      <w:r>
        <w:rPr>
          <w:rFonts w:ascii="宋体" w:hAnsi="宋体" w:cs="Calibri"/>
          <w:color w:val="000000"/>
          <w:kern w:val="0"/>
          <w:sz w:val="22"/>
        </w:rPr>
        <w:t>。</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发出中标通知书后，招标人无正当理由拒签合同的，给中标人造成损失的，还应当赔偿损失。</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1"/>
      <w:bookmarkEnd w:id="82"/>
      <w:bookmarkEnd w:id="83"/>
    </w:p>
    <w:p>
      <w:pPr>
        <w:autoSpaceDE w:val="0"/>
        <w:autoSpaceDN w:val="0"/>
        <w:adjustRightInd w:val="0"/>
        <w:snapToGrid w:val="0"/>
        <w:spacing w:line="360" w:lineRule="exact"/>
        <w:rPr>
          <w:rFonts w:ascii="宋体" w:hAnsi="宋体" w:cs="Calibri"/>
          <w:b/>
          <w:bCs/>
          <w:kern w:val="0"/>
          <w:sz w:val="22"/>
        </w:rPr>
      </w:pPr>
      <w:bookmarkStart w:id="84" w:name="_Toc15553"/>
      <w:bookmarkStart w:id="85" w:name="_Toc219809802"/>
      <w:bookmarkStart w:id="86" w:name="_Toc220123242"/>
      <w:r>
        <w:rPr>
          <w:rFonts w:ascii="宋体" w:hAnsi="宋体" w:cs="Calibri"/>
          <w:b/>
          <w:bCs/>
          <w:kern w:val="0"/>
          <w:sz w:val="22"/>
        </w:rPr>
        <w:t>8.1 重新招标</w:t>
      </w:r>
      <w:bookmarkEnd w:id="84"/>
      <w:bookmarkEnd w:id="85"/>
      <w:bookmarkEnd w:id="8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7" w:name="_Toc220123243"/>
      <w:bookmarkStart w:id="88" w:name="_Toc219809803"/>
      <w:bookmarkStart w:id="89" w:name="_Toc18806"/>
      <w:r>
        <w:rPr>
          <w:rFonts w:ascii="宋体" w:hAnsi="宋体" w:cs="Calibri"/>
          <w:b/>
          <w:bCs/>
          <w:kern w:val="0"/>
          <w:sz w:val="22"/>
        </w:rPr>
        <w:t>8.2 不再招标</w:t>
      </w:r>
      <w:bookmarkEnd w:id="87"/>
      <w:bookmarkEnd w:id="88"/>
      <w:bookmarkEnd w:id="8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0" w:name="_Toc2986"/>
      <w:bookmarkStart w:id="91" w:name="_Toc215941254"/>
      <w:bookmarkStart w:id="92" w:name="_Toc219809804"/>
      <w:bookmarkStart w:id="93" w:name="_Toc220123244"/>
      <w:r>
        <w:rPr>
          <w:rFonts w:ascii="宋体" w:hAnsi="宋体" w:cs="Calibri"/>
          <w:b/>
          <w:bCs/>
          <w:kern w:val="0"/>
          <w:sz w:val="22"/>
        </w:rPr>
        <w:t>9.纪律和监督</w:t>
      </w:r>
      <w:bookmarkEnd w:id="90"/>
      <w:bookmarkEnd w:id="91"/>
      <w:bookmarkEnd w:id="92"/>
      <w:bookmarkEnd w:id="93"/>
    </w:p>
    <w:p>
      <w:pPr>
        <w:autoSpaceDE w:val="0"/>
        <w:autoSpaceDN w:val="0"/>
        <w:adjustRightInd w:val="0"/>
        <w:snapToGrid w:val="0"/>
        <w:spacing w:line="360" w:lineRule="exact"/>
        <w:rPr>
          <w:rFonts w:ascii="宋体" w:hAnsi="宋体" w:cs="Calibri"/>
          <w:b/>
          <w:bCs/>
          <w:kern w:val="0"/>
          <w:sz w:val="22"/>
        </w:rPr>
      </w:pPr>
      <w:bookmarkStart w:id="94" w:name="_Toc219809805"/>
      <w:bookmarkStart w:id="95" w:name="_Toc5509"/>
      <w:bookmarkStart w:id="96" w:name="_Toc220123245"/>
      <w:r>
        <w:rPr>
          <w:rFonts w:ascii="宋体" w:hAnsi="宋体" w:cs="Calibri"/>
          <w:b/>
          <w:bCs/>
          <w:kern w:val="0"/>
          <w:sz w:val="22"/>
        </w:rPr>
        <w:t>9.1 对招标人的纪律要求</w:t>
      </w:r>
      <w:bookmarkEnd w:id="94"/>
      <w:bookmarkEnd w:id="95"/>
      <w:bookmarkEnd w:id="9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7" w:name="_Toc219809806"/>
      <w:bookmarkStart w:id="98" w:name="_Toc10820"/>
      <w:bookmarkStart w:id="99" w:name="_Toc220123246"/>
      <w:r>
        <w:rPr>
          <w:rFonts w:ascii="宋体" w:hAnsi="宋体" w:cs="Calibri"/>
          <w:b/>
          <w:bCs/>
          <w:kern w:val="0"/>
          <w:sz w:val="22"/>
        </w:rPr>
        <w:t>9.2 对投标人的纪律要求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b/>
          <w:color w:val="000000"/>
          <w:sz w:val="22"/>
        </w:rPr>
        <w:t>若投标人存在串通投标或弄虚作假或有其他违法行为的，招标人有权2年内禁止参与招标人所有招标项目的投标，给招标人造成损失的，还需承担赔偿责任。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0" w:name="_Toc10756"/>
      <w:bookmarkStart w:id="101" w:name="_Toc219809807"/>
      <w:bookmarkStart w:id="102" w:name="_Toc220123247"/>
      <w:r>
        <w:rPr>
          <w:rFonts w:ascii="宋体" w:hAnsi="宋体" w:cs="Calibri"/>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3" w:name="_Toc12792"/>
      <w:bookmarkStart w:id="104" w:name="_Toc220123248"/>
      <w:bookmarkStart w:id="105" w:name="_Toc219809808"/>
      <w:r>
        <w:rPr>
          <w:rFonts w:ascii="宋体" w:hAnsi="宋体" w:cs="Calibri"/>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6" w:name="_Toc220123249"/>
      <w:bookmarkStart w:id="107" w:name="_Toc239"/>
      <w:bookmarkStart w:id="108" w:name="_Toc219809809"/>
      <w:r>
        <w:rPr>
          <w:rFonts w:ascii="宋体" w:hAnsi="宋体" w:cs="Calibri"/>
          <w:b/>
          <w:bCs/>
          <w:kern w:val="0"/>
          <w:sz w:val="22"/>
        </w:rPr>
        <w:t>9.5 投诉</w:t>
      </w:r>
      <w:bookmarkEnd w:id="106"/>
      <w:bookmarkEnd w:id="107"/>
      <w:bookmarkEnd w:id="10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9" w:name="_Toc10817"/>
      <w:r>
        <w:rPr>
          <w:rFonts w:ascii="宋体" w:hAnsi="宋体" w:cs="Calibri"/>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3"/>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425" w:num="1"/>
          <w:titlePg/>
          <w:docGrid w:linePitch="312" w:charSpace="0"/>
        </w:sectPr>
      </w:pPr>
    </w:p>
    <w:p>
      <w:pPr>
        <w:spacing w:line="440" w:lineRule="exact"/>
        <w:jc w:val="center"/>
        <w:rPr>
          <w:rFonts w:ascii="仿宋_GB2312" w:hAnsi="宋体" w:eastAsia="仿宋_GB2312"/>
          <w:b/>
          <w:sz w:val="28"/>
          <w:szCs w:val="28"/>
        </w:rPr>
      </w:pPr>
      <w:bookmarkStart w:id="110" w:name="_Toc223327527"/>
      <w:bookmarkStart w:id="111" w:name="_Toc213036227"/>
    </w:p>
    <w:p>
      <w:pPr>
        <w:pStyle w:val="3"/>
        <w:numPr>
          <w:ilvl w:val="0"/>
          <w:numId w:val="2"/>
        </w:numPr>
        <w:spacing w:before="0" w:after="0" w:line="360" w:lineRule="auto"/>
        <w:jc w:val="center"/>
        <w:rPr>
          <w:rFonts w:ascii="Calibri" w:hAnsi="Calibri" w:eastAsia="黑体" w:cs="Calibri"/>
          <w:kern w:val="0"/>
          <w:sz w:val="32"/>
        </w:rPr>
      </w:pPr>
      <w:bookmarkStart w:id="112" w:name="_Toc448002985"/>
      <w:r>
        <w:rPr>
          <w:rFonts w:ascii="Calibri" w:hAnsi="Calibri" w:eastAsia="黑体" w:cs="Calibri"/>
          <w:kern w:val="0"/>
          <w:sz w:val="32"/>
        </w:rPr>
        <w:t xml:space="preserve"> </w:t>
      </w:r>
      <w:bookmarkEnd w:id="110"/>
      <w:bookmarkEnd w:id="111"/>
      <w:r>
        <w:rPr>
          <w:rFonts w:hint="eastAsia" w:ascii="Calibri" w:hAnsi="Calibri" w:eastAsia="黑体" w:cs="Calibri"/>
          <w:kern w:val="0"/>
          <w:sz w:val="32"/>
        </w:rPr>
        <w:t>服务技术标准及要求</w:t>
      </w:r>
      <w:bookmarkEnd w:id="112"/>
    </w:p>
    <w:p>
      <w:pPr>
        <w:spacing w:line="440" w:lineRule="exact"/>
        <w:jc w:val="cente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jc w:val="both"/>
        <w:textAlignment w:val="auto"/>
        <w:rPr>
          <w:sz w:val="24"/>
          <w:szCs w:val="24"/>
        </w:rPr>
      </w:pPr>
      <w:r>
        <w:rPr>
          <w:rFonts w:hint="eastAsia"/>
          <w:b/>
          <w:bCs/>
          <w:sz w:val="24"/>
          <w:szCs w:val="24"/>
        </w:rPr>
        <w:t>项目概况：</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sz w:val="24"/>
          <w:szCs w:val="24"/>
        </w:rPr>
      </w:pPr>
      <w:r>
        <w:rPr>
          <w:rFonts w:hint="eastAsia"/>
          <w:sz w:val="24"/>
          <w:szCs w:val="24"/>
        </w:rPr>
        <w:t>为防止车库进出口因排水系统堵塞出现内涝险情，避免因地面湿滑造成不安全事件的发生，保障地下车库正常运营，对T1、T2航站楼地下停车库进出口排水沟及配套集水井</w:t>
      </w:r>
      <w:r>
        <w:rPr>
          <w:rFonts w:hint="eastAsia"/>
          <w:sz w:val="24"/>
          <w:szCs w:val="24"/>
          <w:lang w:val="en-US" w:eastAsia="zh-CN"/>
        </w:rPr>
        <w:t>淤泥和垃圾</w:t>
      </w:r>
      <w:r>
        <w:rPr>
          <w:rFonts w:hint="eastAsia"/>
          <w:sz w:val="24"/>
          <w:szCs w:val="24"/>
        </w:rPr>
        <w:t>进行</w:t>
      </w:r>
      <w:r>
        <w:rPr>
          <w:rFonts w:hint="eastAsia"/>
          <w:sz w:val="24"/>
          <w:szCs w:val="24"/>
          <w:lang w:val="en-US" w:eastAsia="zh-CN"/>
        </w:rPr>
        <w:t>日常</w:t>
      </w:r>
      <w:r>
        <w:rPr>
          <w:rFonts w:hint="eastAsia"/>
          <w:sz w:val="24"/>
          <w:szCs w:val="24"/>
        </w:rPr>
        <w:t>清运</w:t>
      </w:r>
      <w:r>
        <w:rPr>
          <w:rFonts w:hint="eastAsia"/>
          <w:sz w:val="24"/>
          <w:szCs w:val="24"/>
          <w:lang w:val="en-US" w:eastAsia="zh-CN"/>
        </w:rPr>
        <w:t>工作</w:t>
      </w:r>
      <w:r>
        <w:rPr>
          <w:rFonts w:hint="eastAsia"/>
          <w:sz w:val="24"/>
          <w:szCs w:val="24"/>
        </w:rPr>
        <w:t>。</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排水沟</w:t>
      </w:r>
      <w:r>
        <w:rPr>
          <w:rFonts w:hint="eastAsia"/>
          <w:sz w:val="24"/>
          <w:szCs w:val="24"/>
          <w:lang w:val="en-US" w:eastAsia="zh-CN"/>
        </w:rPr>
        <w:t>规格</w:t>
      </w:r>
      <w:r>
        <w:rPr>
          <w:rFonts w:hint="eastAsia"/>
          <w:sz w:val="24"/>
          <w:szCs w:val="24"/>
        </w:rPr>
        <w:t>概况如下：</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T1地下车库出入口排水沟规格：长49m，宽15cm，深20cm</w:t>
      </w:r>
      <w:r>
        <w:rPr>
          <w:rFonts w:hint="eastAsia"/>
          <w:sz w:val="24"/>
          <w:szCs w:val="24"/>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T2地下车库入口排水沟规格：长40m，宽40cm，深13cm</w:t>
      </w:r>
      <w:r>
        <w:rPr>
          <w:rFonts w:hint="eastAsia"/>
          <w:sz w:val="24"/>
          <w:szCs w:val="24"/>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集水井</w:t>
      </w:r>
      <w:r>
        <w:rPr>
          <w:rFonts w:hint="eastAsia"/>
          <w:sz w:val="24"/>
          <w:szCs w:val="24"/>
          <w:lang w:val="en-US" w:eastAsia="zh-CN"/>
        </w:rPr>
        <w:t>规格</w:t>
      </w:r>
      <w:r>
        <w:rPr>
          <w:rFonts w:hint="eastAsia"/>
          <w:sz w:val="24"/>
          <w:szCs w:val="24"/>
        </w:rPr>
        <w:t>概况如下：</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T1地下车库出入口排水沟北侧配套集水井：长1m，宽1.1m，深1.1m</w:t>
      </w:r>
      <w:r>
        <w:rPr>
          <w:rFonts w:hint="eastAsia"/>
          <w:sz w:val="24"/>
          <w:szCs w:val="24"/>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T1地下车库出入口排水沟南侧配套集水井：长1.26m，宽1.26m，深1.3m</w:t>
      </w:r>
      <w:r>
        <w:rPr>
          <w:rFonts w:hint="eastAsia"/>
          <w:sz w:val="24"/>
          <w:szCs w:val="24"/>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rPr>
      </w:pPr>
      <w:r>
        <w:rPr>
          <w:rFonts w:hint="eastAsia"/>
          <w:sz w:val="24"/>
          <w:szCs w:val="24"/>
        </w:rPr>
        <w:t>T2地下车库入口排水沟配套集水井：长1m，宽1m，深1.1m</w:t>
      </w:r>
      <w:r>
        <w:rPr>
          <w:rFonts w:hint="eastAsia"/>
          <w:sz w:val="24"/>
          <w:szCs w:val="24"/>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jc w:val="both"/>
        <w:textAlignment w:val="auto"/>
        <w:rPr>
          <w:b/>
          <w:bCs/>
          <w:sz w:val="24"/>
          <w:szCs w:val="24"/>
        </w:rPr>
      </w:pPr>
      <w:bookmarkStart w:id="113" w:name="_Hlk112007173"/>
      <w:r>
        <w:rPr>
          <w:rFonts w:hint="eastAsia"/>
          <w:b/>
          <w:bCs/>
          <w:sz w:val="24"/>
          <w:szCs w:val="24"/>
        </w:rPr>
        <w:t>二、技术标准：</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exact"/>
        <w:ind w:left="0" w:leftChars="0" w:right="0" w:rightChars="0" w:firstLine="480"/>
        <w:jc w:val="both"/>
        <w:textAlignment w:val="auto"/>
        <w:rPr>
          <w:rFonts w:hint="eastAsia"/>
          <w:sz w:val="24"/>
          <w:szCs w:val="24"/>
        </w:rPr>
      </w:pPr>
      <w:r>
        <w:rPr>
          <w:rFonts w:hint="eastAsia"/>
          <w:sz w:val="24"/>
          <w:szCs w:val="24"/>
        </w:rPr>
        <w:t xml:space="preserve"> 对T1、T2航站楼地下停车库进出口排水沟及配套集水井进行</w:t>
      </w:r>
      <w:r>
        <w:rPr>
          <w:rFonts w:hint="eastAsia"/>
          <w:sz w:val="24"/>
          <w:szCs w:val="24"/>
          <w:lang w:val="en-US" w:eastAsia="zh-CN"/>
        </w:rPr>
        <w:t>日常</w:t>
      </w:r>
      <w:r>
        <w:rPr>
          <w:rFonts w:hint="eastAsia"/>
          <w:sz w:val="24"/>
          <w:szCs w:val="24"/>
        </w:rPr>
        <w:t>淤泥</w:t>
      </w:r>
      <w:r>
        <w:rPr>
          <w:rFonts w:hint="eastAsia"/>
          <w:sz w:val="24"/>
          <w:szCs w:val="24"/>
          <w:lang w:val="en-US" w:eastAsia="zh-CN"/>
        </w:rPr>
        <w:t>和垃圾</w:t>
      </w:r>
      <w:r>
        <w:rPr>
          <w:rFonts w:hint="eastAsia"/>
          <w:sz w:val="24"/>
          <w:szCs w:val="24"/>
        </w:rPr>
        <w:t>清运</w:t>
      </w:r>
      <w:r>
        <w:rPr>
          <w:rFonts w:hint="eastAsia"/>
          <w:sz w:val="24"/>
          <w:szCs w:val="24"/>
          <w:lang w:val="en-US" w:eastAsia="zh-CN"/>
        </w:rPr>
        <w:t>工作</w:t>
      </w:r>
      <w:r>
        <w:rPr>
          <w:rFonts w:hint="eastAsia"/>
          <w:sz w:val="24"/>
          <w:szCs w:val="24"/>
        </w:rPr>
        <w:t>，经过清理后排水沟及集水井内无淤泥和垃圾</w:t>
      </w:r>
      <w:r>
        <w:rPr>
          <w:rFonts w:hint="eastAsia"/>
          <w:sz w:val="24"/>
          <w:szCs w:val="24"/>
          <w:lang w:val="en-US" w:eastAsia="zh-CN"/>
        </w:rPr>
        <w:t>堆积</w:t>
      </w:r>
      <w:r>
        <w:rPr>
          <w:rFonts w:hint="eastAsia"/>
          <w:sz w:val="24"/>
          <w:szCs w:val="24"/>
        </w:rPr>
        <w:t>，保持排水</w:t>
      </w:r>
      <w:r>
        <w:rPr>
          <w:rFonts w:hint="eastAsia"/>
          <w:sz w:val="24"/>
          <w:szCs w:val="24"/>
          <w:lang w:val="en-US" w:eastAsia="zh-CN"/>
        </w:rPr>
        <w:t>畅通</w:t>
      </w:r>
      <w:r>
        <w:rPr>
          <w:rFonts w:hint="eastAsia"/>
          <w:sz w:val="24"/>
          <w:szCs w:val="24"/>
        </w:rPr>
        <w:t>，路面无积水。</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jc w:val="both"/>
        <w:textAlignment w:val="auto"/>
        <w:rPr>
          <w:b/>
          <w:bCs/>
          <w:sz w:val="24"/>
          <w:szCs w:val="24"/>
        </w:rPr>
      </w:pPr>
      <w:r>
        <w:rPr>
          <w:rFonts w:hint="eastAsia"/>
          <w:b/>
          <w:bCs/>
          <w:sz w:val="24"/>
          <w:szCs w:val="24"/>
        </w:rPr>
        <w:t>服务要求：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服务期内，中标单位需安排人员对地下停车库进出口排水沟及配套集水井进行巡查，发现有淤泥及垃圾堵塞需及时清理干净，保证排水沟排水顺畅，集水井内水泵运行正常，作业过程中不得对地下车库的正常通行造成影响。</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bookmarkStart w:id="114" w:name="_Hlk112006685"/>
      <w:r>
        <w:rPr>
          <w:rFonts w:hint="eastAsia"/>
          <w:sz w:val="24"/>
          <w:szCs w:val="24"/>
        </w:rPr>
        <w:t>服务期内，</w:t>
      </w:r>
      <w:bookmarkEnd w:id="114"/>
      <w:r>
        <w:rPr>
          <w:rFonts w:hint="eastAsia"/>
          <w:sz w:val="24"/>
          <w:szCs w:val="24"/>
        </w:rPr>
        <w:t>中标单位需及时响应招标方提出的应急性清淤工作。在接到清淤通知后，</w:t>
      </w:r>
      <w:r>
        <w:rPr>
          <w:sz w:val="24"/>
          <w:szCs w:val="24"/>
        </w:rPr>
        <w:t>1</w:t>
      </w:r>
      <w:r>
        <w:rPr>
          <w:rFonts w:hint="eastAsia"/>
          <w:sz w:val="24"/>
          <w:szCs w:val="24"/>
        </w:rPr>
        <w:t>小时内需组织人员车辆至现场进行清淤并外运。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rFonts w:hint="eastAsia"/>
          <w:color w:val="auto"/>
        </w:rPr>
      </w:pPr>
      <w:r>
        <w:rPr>
          <w:rFonts w:hint="eastAsia"/>
          <w:color w:val="auto"/>
          <w:sz w:val="24"/>
          <w:szCs w:val="24"/>
        </w:rPr>
        <w:t>服务期内，排水沟</w:t>
      </w:r>
      <w:r>
        <w:rPr>
          <w:rFonts w:hint="eastAsia"/>
          <w:color w:val="auto"/>
          <w:sz w:val="24"/>
          <w:szCs w:val="24"/>
          <w:lang w:val="en-US" w:eastAsia="zh-CN"/>
        </w:rPr>
        <w:t>和</w:t>
      </w:r>
      <w:r>
        <w:rPr>
          <w:rFonts w:hint="eastAsia"/>
          <w:color w:val="auto"/>
          <w:sz w:val="24"/>
          <w:szCs w:val="24"/>
        </w:rPr>
        <w:t>集水井格栅盖板拆装由中标单位负责，在拆装盖板时，</w:t>
      </w:r>
      <w:r>
        <w:rPr>
          <w:rFonts w:hint="eastAsia"/>
          <w:color w:val="auto"/>
          <w:sz w:val="24"/>
          <w:szCs w:val="24"/>
          <w:lang w:eastAsia="zh-CN"/>
        </w:rPr>
        <w:t>若有损坏，</w:t>
      </w:r>
      <w:r>
        <w:rPr>
          <w:rFonts w:hint="eastAsia"/>
          <w:color w:val="auto"/>
          <w:sz w:val="24"/>
          <w:szCs w:val="24"/>
          <w:lang w:val="en-US" w:eastAsia="zh-CN"/>
        </w:rPr>
        <w:t>中标单位需对破损</w:t>
      </w:r>
      <w:r>
        <w:rPr>
          <w:rFonts w:hint="eastAsia"/>
          <w:color w:val="auto"/>
          <w:sz w:val="24"/>
          <w:szCs w:val="24"/>
        </w:rPr>
        <w:t>盖板进行更换。</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淤泥及垃圾不提供场地堆放，</w:t>
      </w:r>
      <w:r>
        <w:rPr>
          <w:rFonts w:hint="eastAsia"/>
          <w:sz w:val="24"/>
          <w:szCs w:val="24"/>
          <w:lang w:val="en-US" w:eastAsia="zh-CN"/>
        </w:rPr>
        <w:t>中标单位</w:t>
      </w:r>
      <w:r>
        <w:rPr>
          <w:rFonts w:hint="eastAsia"/>
          <w:sz w:val="24"/>
          <w:szCs w:val="24"/>
        </w:rPr>
        <w:t>须自行运出机场处理</w:t>
      </w:r>
      <w:r>
        <w:rPr>
          <w:rFonts w:hint="eastAsia"/>
          <w:sz w:val="24"/>
          <w:szCs w:val="24"/>
          <w:lang w:eastAsia="zh-CN"/>
        </w:rPr>
        <w:t>，</w:t>
      </w:r>
      <w:r>
        <w:rPr>
          <w:rFonts w:hint="eastAsia"/>
          <w:sz w:val="24"/>
          <w:szCs w:val="24"/>
          <w:lang w:val="en-US" w:eastAsia="zh-CN"/>
        </w:rPr>
        <w:t>不得随意倾倒在机场范围内</w:t>
      </w:r>
      <w:r>
        <w:rPr>
          <w:rFonts w:hint="eastAsia"/>
          <w:sz w:val="24"/>
          <w:szCs w:val="24"/>
        </w:rPr>
        <w:t>。</w:t>
      </w:r>
    </w:p>
    <w:bookmarkEnd w:id="113"/>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jc w:val="both"/>
        <w:textAlignment w:val="auto"/>
        <w:rPr>
          <w:b/>
          <w:bCs/>
          <w:sz w:val="24"/>
          <w:szCs w:val="24"/>
        </w:rPr>
      </w:pPr>
      <w:r>
        <w:rPr>
          <w:rFonts w:hint="eastAsia"/>
          <w:b/>
          <w:bCs/>
          <w:sz w:val="24"/>
          <w:szCs w:val="24"/>
        </w:rPr>
        <w:t>其他要求：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承包人的项目组织实施须遵守杭州萧山国际机场相关规定要求。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lang w:val="en-US" w:eastAsia="zh-CN"/>
        </w:rPr>
        <w:t>承</w:t>
      </w:r>
      <w:r>
        <w:rPr>
          <w:rFonts w:hint="eastAsia"/>
          <w:sz w:val="24"/>
          <w:szCs w:val="24"/>
        </w:rPr>
        <w:t>包人在整个项目的实施阶段，应采用拍照方式记录各道服务工序的实施过程，并形成一套完整的影像资料文件；拍摄的影像资料应能全面的记录整个实施全过程（包含实施前中后）的实际状况，各道工序都须按检验批拍摄留存影像资料文件</w:t>
      </w:r>
      <w:r>
        <w:rPr>
          <w:rFonts w:hint="eastAsia"/>
          <w:sz w:val="24"/>
          <w:szCs w:val="24"/>
          <w:lang w:val="en-US" w:eastAsia="zh-CN"/>
        </w:rPr>
        <w:t>并交给发包人</w:t>
      </w:r>
      <w:r>
        <w:rPr>
          <w:rFonts w:hint="eastAsia"/>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对T1、T2航站楼地下停车库进出口排水沟及配套集水井</w:t>
      </w:r>
      <w:r>
        <w:rPr>
          <w:rFonts w:hint="eastAsia"/>
          <w:sz w:val="24"/>
          <w:szCs w:val="24"/>
          <w:lang w:val="en-US" w:eastAsia="zh-CN"/>
        </w:rPr>
        <w:t>进行日常</w:t>
      </w:r>
      <w:r>
        <w:rPr>
          <w:rFonts w:hint="eastAsia"/>
          <w:sz w:val="24"/>
          <w:szCs w:val="24"/>
        </w:rPr>
        <w:t>巡检</w:t>
      </w:r>
      <w:r>
        <w:rPr>
          <w:rFonts w:hint="eastAsia"/>
          <w:sz w:val="24"/>
          <w:szCs w:val="24"/>
          <w:lang w:eastAsia="zh-CN"/>
        </w:rPr>
        <w:t>，</w:t>
      </w:r>
      <w:r>
        <w:rPr>
          <w:rFonts w:hint="eastAsia"/>
          <w:sz w:val="24"/>
          <w:szCs w:val="24"/>
        </w:rPr>
        <w:t>原则上不应少于3天</w:t>
      </w:r>
      <w:r>
        <w:rPr>
          <w:rFonts w:hint="eastAsia"/>
          <w:sz w:val="24"/>
          <w:szCs w:val="24"/>
          <w:lang w:val="en-US" w:eastAsia="zh-CN"/>
        </w:rPr>
        <w:t>一</w:t>
      </w:r>
      <w:r>
        <w:rPr>
          <w:rFonts w:hint="eastAsia"/>
          <w:sz w:val="24"/>
          <w:szCs w:val="24"/>
        </w:rPr>
        <w:t>次，巡查时应对集水井提升泵进行主备切换，避免止回阀阻塞导致集水井内积水无法及时排出。</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在项目实施期间，承包人须无条件服从机场公司关于进度</w:t>
      </w:r>
      <w:r>
        <w:rPr>
          <w:rFonts w:hint="eastAsia"/>
          <w:sz w:val="24"/>
          <w:szCs w:val="24"/>
          <w:lang w:val="en-US" w:eastAsia="zh-CN"/>
        </w:rPr>
        <w:t>安排和服务质量</w:t>
      </w:r>
      <w:r>
        <w:rPr>
          <w:rFonts w:hint="eastAsia"/>
          <w:sz w:val="24"/>
          <w:szCs w:val="24"/>
        </w:rPr>
        <w:t>的统一</w:t>
      </w:r>
      <w:r>
        <w:rPr>
          <w:rFonts w:hint="eastAsia"/>
          <w:sz w:val="24"/>
          <w:szCs w:val="24"/>
          <w:lang w:val="en-US" w:eastAsia="zh-CN"/>
        </w:rPr>
        <w:t>管理</w:t>
      </w:r>
      <w:r>
        <w:rPr>
          <w:rFonts w:hint="eastAsia"/>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承包人应高度重视安全文明措施工作，其措施应符合项目实施的实际情况，并能够同实施程序相结合，落实到各道工序中，从而使安全文明措施真正起到保障服务项目实施的区域安全、保障生命财产安全及促进安全生产的作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right="0" w:rightChars="0" w:firstLine="480" w:firstLineChars="200"/>
        <w:jc w:val="both"/>
        <w:textAlignment w:val="auto"/>
        <w:rPr>
          <w:sz w:val="24"/>
          <w:szCs w:val="24"/>
        </w:rPr>
      </w:pPr>
      <w:r>
        <w:rPr>
          <w:rFonts w:hint="eastAsia"/>
          <w:sz w:val="24"/>
          <w:szCs w:val="24"/>
        </w:rPr>
        <w:t>承包人在项目实施过程需充分考虑</w:t>
      </w:r>
      <w:r>
        <w:rPr>
          <w:rFonts w:hint="eastAsia"/>
          <w:sz w:val="24"/>
          <w:szCs w:val="24"/>
          <w:lang w:val="en-US" w:eastAsia="zh-CN"/>
        </w:rPr>
        <w:t>地下车库车辆不停进出可能</w:t>
      </w:r>
      <w:r>
        <w:rPr>
          <w:rFonts w:hint="eastAsia"/>
          <w:sz w:val="24"/>
          <w:szCs w:val="24"/>
        </w:rPr>
        <w:t>造成的人工、机械降效，夜间</w:t>
      </w:r>
      <w:r>
        <w:rPr>
          <w:rFonts w:hint="eastAsia"/>
          <w:sz w:val="24"/>
          <w:szCs w:val="24"/>
          <w:lang w:val="en-US" w:eastAsia="zh-CN"/>
        </w:rPr>
        <w:t>加班</w:t>
      </w:r>
      <w:r>
        <w:rPr>
          <w:rFonts w:hint="eastAsia"/>
          <w:sz w:val="24"/>
          <w:szCs w:val="24"/>
        </w:rPr>
        <w:t>，施工难度增加等,相关费用请投标人在投标报价时充分考虑。</w:t>
      </w:r>
    </w:p>
    <w:p>
      <w:pPr>
        <w:widowControl/>
        <w:numPr>
          <w:ilvl w:val="255"/>
          <w:numId w:val="0"/>
        </w:numPr>
        <w:jc w:val="left"/>
        <w:rPr>
          <w:rFonts w:ascii="宋体" w:hAnsi="宋体" w:cs="宋体"/>
          <w:kern w:val="0"/>
          <w:sz w:val="24"/>
          <w:szCs w:val="24"/>
        </w:rPr>
      </w:pPr>
    </w:p>
    <w:p>
      <w:pPr>
        <w:widowControl/>
        <w:jc w:val="left"/>
        <w:rPr>
          <w:rFonts w:eastAsia="黑体" w:cs="Calibri"/>
          <w:b/>
          <w:bCs/>
          <w:kern w:val="0"/>
          <w:sz w:val="24"/>
          <w:szCs w:val="2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pStyle w:val="2"/>
      </w:pPr>
    </w:p>
    <w:p>
      <w:pPr>
        <w:pStyle w:val="3"/>
        <w:keepNext w:val="0"/>
        <w:pageBreakBefore/>
        <w:numPr>
          <w:ilvl w:val="0"/>
          <w:numId w:val="7"/>
        </w:numPr>
        <w:spacing w:before="0" w:after="0" w:line="360" w:lineRule="auto"/>
        <w:jc w:val="center"/>
        <w:rPr>
          <w:rFonts w:ascii="Calibri" w:hAnsi="Calibri" w:eastAsia="黑体" w:cs="Calibri"/>
          <w:kern w:val="0"/>
          <w:sz w:val="32"/>
        </w:rPr>
      </w:pPr>
      <w:bookmarkStart w:id="115" w:name="_Toc448002986"/>
      <w:r>
        <w:rPr>
          <w:rFonts w:hint="eastAsia" w:ascii="Calibri" w:hAnsi="Calibri" w:eastAsia="黑体" w:cs="Calibri"/>
          <w:kern w:val="0"/>
          <w:sz w:val="32"/>
        </w:rPr>
        <w:t xml:space="preserve"> </w:t>
      </w:r>
      <w:r>
        <w:rPr>
          <w:rFonts w:ascii="Calibri" w:hAnsi="Calibri" w:eastAsia="黑体" w:cs="Calibri"/>
          <w:kern w:val="0"/>
          <w:sz w:val="32"/>
        </w:rPr>
        <w:t>合同条款</w:t>
      </w:r>
      <w:bookmarkEnd w:id="115"/>
    </w:p>
    <w:p>
      <w:pPr>
        <w:jc w:val="center"/>
      </w:pPr>
    </w:p>
    <w:p>
      <w:pPr>
        <w:jc w:val="center"/>
        <w:rPr>
          <w:sz w:val="52"/>
          <w:szCs w:val="52"/>
        </w:rPr>
      </w:pPr>
      <w:r>
        <w:rPr>
          <w:rFonts w:hint="eastAsia"/>
          <w:b/>
          <w:bCs/>
          <w:sz w:val="52"/>
          <w:szCs w:val="52"/>
        </w:rPr>
        <w:t>技术服务合同</w:t>
      </w:r>
    </w:p>
    <w:p/>
    <w:p>
      <w:pPr>
        <w:jc w:val="both"/>
        <w:rPr>
          <w:rFonts w:hint="eastAsia" w:ascii="仿宋_GB2312" w:hAnsi="仿宋_GB2312" w:eastAsia="仿宋_GB2312" w:cs="仿宋_GB2312"/>
          <w:sz w:val="32"/>
          <w:szCs w:val="32"/>
        </w:rPr>
      </w:pPr>
      <w:bookmarkStart w:id="116" w:name="_Toc44800298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委托方（甲方）：</w:t>
      </w:r>
      <w:r>
        <w:rPr>
          <w:rFonts w:hint="eastAsia" w:ascii="仿宋_GB2312" w:hAnsi="仿宋_GB2312" w:eastAsia="仿宋_GB2312" w:cs="仿宋_GB2312"/>
          <w:sz w:val="32"/>
          <w:szCs w:val="32"/>
          <w:u w:val="single"/>
        </w:rPr>
        <w:t xml:space="preserve"> 杭州萧山国际机场有限公司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  所  地：</w:t>
      </w:r>
      <w:r>
        <w:rPr>
          <w:rFonts w:hint="eastAsia" w:ascii="仿宋_GB2312" w:hAnsi="仿宋_GB2312" w:eastAsia="仿宋_GB2312" w:cs="仿宋_GB2312"/>
          <w:sz w:val="32"/>
          <w:szCs w:val="32"/>
          <w:u w:val="single"/>
        </w:rPr>
        <w:t xml:space="preserve">     杭州萧山国际机场内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tabs>
          <w:tab w:val="left" w:pos="105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项目联系人：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联系方式 ：_______________________________</w:t>
      </w:r>
    </w:p>
    <w:p>
      <w:pPr>
        <w:keepNext w:val="0"/>
        <w:keepLines w:val="0"/>
        <w:pageBreakBefore w:val="0"/>
        <w:widowControl w:val="0"/>
        <w:tabs>
          <w:tab w:val="left" w:pos="810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通讯地址：</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电子信箱：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受托方（乙方）：</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住  所  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法定代表人：</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项目联系人：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联系方式 ：_______________________________</w:t>
      </w:r>
    </w:p>
    <w:p>
      <w:pPr>
        <w:keepNext w:val="0"/>
        <w:keepLines w:val="0"/>
        <w:pageBreakBefore w:val="0"/>
        <w:widowControl w:val="0"/>
        <w:tabs>
          <w:tab w:val="left" w:pos="810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通讯地址：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电子信箱：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本合同甲方委托乙方就</w:t>
      </w:r>
      <w:r>
        <w:rPr>
          <w:rFonts w:hint="eastAsia" w:ascii="仿宋_GB2312" w:hAnsi="仿宋_GB2312" w:eastAsia="仿宋_GB2312" w:cs="仿宋_GB2312"/>
          <w:sz w:val="28"/>
          <w:szCs w:val="28"/>
          <w:u w:val="single"/>
        </w:rPr>
        <w:t>杭州萧山国际机场航站楼地下车库进出口伸缩缝排水沟清淤项目</w:t>
      </w:r>
      <w:r>
        <w:rPr>
          <w:rFonts w:hint="eastAsia" w:ascii="仿宋_GB2312" w:hAnsi="仿宋_GB2312" w:eastAsia="仿宋_GB2312" w:cs="仿宋_GB2312"/>
          <w:sz w:val="28"/>
          <w:szCs w:val="28"/>
        </w:rPr>
        <w:t>进行专项技术服务，并支付相应的技术服务报酬。双方经过平等协商，在真实、充分地表达各自意愿的基础上，根据《中华人民共和国民法典》的规定，达成如下协议，并由双方共同恪守。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b w:val="0"/>
          <w:bCs w:val="0"/>
          <w:sz w:val="28"/>
          <w:szCs w:val="28"/>
        </w:rPr>
        <w:t>甲方委托乙方进行技术服务的内容如下：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1．技术服务的目标：</w:t>
      </w:r>
      <w:r>
        <w:rPr>
          <w:rFonts w:hint="eastAsia" w:ascii="仿宋_GB2312" w:hAnsi="仿宋_GB2312" w:eastAsia="仿宋_GB2312" w:cs="仿宋_GB2312"/>
          <w:sz w:val="28"/>
          <w:szCs w:val="28"/>
          <w:u w:val="single"/>
        </w:rPr>
        <w:t>防止车库进出口因排水系统堵塞出现内涝险情，避免因地面湿滑造成不安全事件的发生，保障地下车库正常运营。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u w:val="single"/>
          <w:lang w:val="en-US" w:eastAsia="zh-CN"/>
        </w:rPr>
      </w:pPr>
      <w:r>
        <w:rPr>
          <w:rFonts w:hint="eastAsia" w:ascii="仿宋_GB2312" w:hAnsi="仿宋_GB2312" w:eastAsia="仿宋_GB2312" w:cs="仿宋_GB2312"/>
          <w:sz w:val="28"/>
          <w:szCs w:val="28"/>
        </w:rPr>
        <w:t>2．技术服务的内容：</w:t>
      </w:r>
      <w:r>
        <w:rPr>
          <w:rFonts w:hint="eastAsia" w:ascii="仿宋_GB2312" w:hAnsi="仿宋_GB2312" w:eastAsia="仿宋_GB2312" w:cs="仿宋_GB2312"/>
          <w:sz w:val="28"/>
          <w:szCs w:val="28"/>
          <w:u w:val="single"/>
          <w:lang w:val="en-US" w:eastAsia="zh-CN"/>
        </w:rPr>
        <w:t>在服务期内</w:t>
      </w:r>
      <w:r>
        <w:rPr>
          <w:rFonts w:hint="eastAsia" w:ascii="仿宋_GB2312" w:hAnsi="仿宋_GB2312" w:eastAsia="仿宋_GB2312" w:cs="仿宋_GB2312"/>
          <w:b w:val="0"/>
          <w:bCs w:val="0"/>
          <w:sz w:val="28"/>
          <w:szCs w:val="28"/>
          <w:highlight w:val="none"/>
          <w:u w:val="single"/>
          <w:lang w:val="en-US" w:eastAsia="zh-CN"/>
        </w:rPr>
        <w:t>对T1、T2航站楼地下停车库进出口排水沟及配套集水井中淤泥和垃圾的日常清运工作</w:t>
      </w:r>
      <w:r>
        <w:rPr>
          <w:rFonts w:hint="eastAsia" w:ascii="仿宋_GB2312" w:hAnsi="仿宋_GB2312" w:eastAsia="仿宋_GB2312" w:cs="仿宋_GB2312"/>
          <w:sz w:val="28"/>
          <w:szCs w:val="28"/>
          <w:u w:val="single"/>
        </w:rPr>
        <w:t>，经过清理后排水沟及集水井内无淤泥和垃圾</w:t>
      </w:r>
      <w:r>
        <w:rPr>
          <w:rFonts w:hint="eastAsia" w:ascii="仿宋_GB2312" w:hAnsi="仿宋_GB2312" w:eastAsia="仿宋_GB2312" w:cs="仿宋_GB2312"/>
          <w:sz w:val="28"/>
          <w:szCs w:val="28"/>
          <w:u w:val="single"/>
          <w:lang w:val="en-US" w:eastAsia="zh-CN"/>
        </w:rPr>
        <w:t>堆积</w:t>
      </w:r>
      <w:r>
        <w:rPr>
          <w:rFonts w:hint="eastAsia" w:ascii="仿宋_GB2312" w:hAnsi="仿宋_GB2312" w:eastAsia="仿宋_GB2312" w:cs="仿宋_GB2312"/>
          <w:sz w:val="28"/>
          <w:szCs w:val="28"/>
          <w:u w:val="single"/>
        </w:rPr>
        <w:t>，保持排水</w:t>
      </w:r>
      <w:r>
        <w:rPr>
          <w:rFonts w:hint="eastAsia" w:ascii="仿宋_GB2312" w:hAnsi="仿宋_GB2312" w:eastAsia="仿宋_GB2312" w:cs="仿宋_GB2312"/>
          <w:sz w:val="28"/>
          <w:szCs w:val="28"/>
          <w:u w:val="single"/>
          <w:lang w:val="en-US" w:eastAsia="zh-CN"/>
        </w:rPr>
        <w:t>畅通</w:t>
      </w:r>
      <w:r>
        <w:rPr>
          <w:rFonts w:hint="eastAsia" w:ascii="仿宋_GB2312" w:hAnsi="仿宋_GB2312" w:eastAsia="仿宋_GB2312" w:cs="仿宋_GB2312"/>
          <w:sz w:val="28"/>
          <w:szCs w:val="28"/>
          <w:u w:val="single"/>
        </w:rPr>
        <w:t>，路面无积水</w:t>
      </w:r>
      <w:r>
        <w:rPr>
          <w:rFonts w:hint="eastAsia" w:ascii="仿宋_GB2312" w:hAnsi="仿宋_GB2312" w:eastAsia="仿宋_GB2312" w:cs="仿宋_GB2312"/>
          <w:b w:val="0"/>
          <w:bCs w:val="0"/>
          <w:sz w:val="28"/>
          <w:szCs w:val="28"/>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b w:val="0"/>
          <w:bCs w:val="0"/>
          <w:sz w:val="28"/>
          <w:szCs w:val="28"/>
        </w:rPr>
        <w:t>乙方应按下列要求完成技术服务工作：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rPr>
        <w:t>1．技术服务地点：</w:t>
      </w:r>
      <w:r>
        <w:rPr>
          <w:rFonts w:hint="eastAsia" w:ascii="仿宋_GB2312" w:hAnsi="仿宋_GB2312" w:eastAsia="仿宋_GB2312" w:cs="仿宋_GB2312"/>
          <w:sz w:val="28"/>
          <w:szCs w:val="28"/>
          <w:u w:val="single"/>
          <w:lang w:val="en-US" w:eastAsia="zh-CN"/>
        </w:rPr>
        <w:t>杭州萧山国际机场内</w:t>
      </w:r>
      <w:r>
        <w:rPr>
          <w:rFonts w:hint="eastAsia" w:ascii="仿宋_GB2312" w:hAnsi="仿宋_GB2312" w:eastAsia="仿宋_GB2312" w:cs="仿宋_GB2312"/>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rPr>
        <w:t>2．技术服务期限：</w:t>
      </w:r>
      <w:r>
        <w:rPr>
          <w:rFonts w:hint="eastAsia" w:ascii="仿宋_GB2312" w:hAnsi="仿宋_GB2312" w:eastAsia="仿宋_GB2312" w:cs="仿宋_GB2312"/>
          <w:sz w:val="28"/>
          <w:szCs w:val="28"/>
          <w:u w:val="single"/>
          <w:lang w:val="en-US" w:eastAsia="zh-CN"/>
        </w:rPr>
        <w:t>合同签订生效之日起18个自然月</w:t>
      </w:r>
      <w:r>
        <w:rPr>
          <w:rFonts w:hint="eastAsia" w:ascii="仿宋_GB2312" w:hAnsi="仿宋_GB2312" w:eastAsia="仿宋_GB2312" w:cs="仿宋_GB2312"/>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2.1、若因甲方不可抗力条件造成服务期中断（或延误），服务期应相应顺延。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2.2、若在服务期内甲方修复受损排水沟，则服务期自排水沟修复之日起自动停止。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乙方须无条件服从甲方的协调和安排，不得因服务期的调整而要求变更原报价。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3．技术服务进度：</w:t>
      </w:r>
      <w:r>
        <w:rPr>
          <w:rFonts w:hint="eastAsia" w:ascii="仿宋_GB2312" w:hAnsi="仿宋_GB2312" w:eastAsia="仿宋_GB2312" w:cs="仿宋_GB2312"/>
          <w:sz w:val="28"/>
          <w:szCs w:val="28"/>
          <w:u w:val="single"/>
          <w:lang w:val="en-US" w:eastAsia="zh-CN"/>
        </w:rPr>
        <w:t>服务</w:t>
      </w:r>
      <w:r>
        <w:rPr>
          <w:rFonts w:hint="eastAsia" w:ascii="仿宋_GB2312" w:hAnsi="仿宋_GB2312" w:eastAsia="仿宋_GB2312" w:cs="仿宋_GB2312"/>
          <w:sz w:val="28"/>
          <w:szCs w:val="28"/>
          <w:u w:val="single"/>
        </w:rPr>
        <w:t>期内</w:t>
      </w:r>
      <w:r>
        <w:rPr>
          <w:rFonts w:hint="eastAsia" w:ascii="仿宋_GB2312" w:hAnsi="仿宋_GB2312" w:eastAsia="仿宋_GB2312" w:cs="仿宋_GB2312"/>
          <w:sz w:val="28"/>
          <w:szCs w:val="28"/>
          <w:u w:val="single"/>
          <w:lang w:val="en-US" w:eastAsia="zh-CN"/>
        </w:rPr>
        <w:t>开展</w:t>
      </w:r>
      <w:r>
        <w:rPr>
          <w:rFonts w:hint="eastAsia" w:ascii="仿宋_GB2312" w:hAnsi="仿宋_GB2312" w:eastAsia="仿宋_GB2312" w:cs="仿宋_GB2312"/>
          <w:b w:val="0"/>
          <w:bCs w:val="0"/>
          <w:sz w:val="28"/>
          <w:szCs w:val="28"/>
          <w:highlight w:val="none"/>
          <w:u w:val="single"/>
          <w:lang w:val="en-US" w:eastAsia="zh-CN"/>
        </w:rPr>
        <w:t>排水沟及配套集水井中淤泥和垃圾的日常巡查和清运工作，如接到甲方应急清淤通知后，1小时内需组织人员车辆至现场进行清淤并外运</w:t>
      </w:r>
      <w:r>
        <w:rPr>
          <w:rFonts w:hint="eastAsia" w:ascii="仿宋_GB2312" w:hAnsi="仿宋_GB2312" w:eastAsia="仿宋_GB2312" w:cs="仿宋_GB2312"/>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rPr>
        <w:t>4．技术服务质量要求：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4.1、乙方根据甲方要求独立、公正、客观、科学地展开技术服务，确保技术服务的科学性、可行性。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4.2、乙方应按照合同要求及时将向甲方提供方案并落实。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4.3、乙方应为本项目成立专门工作组，确保项目团队具备足够的资格和能力完成本合同服务内容。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4.4、乙方在现场过程中应遵守甲方的安全规定，因乙方原因产生的一切后果及法律责任由乙方承担。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4.5、乙方应遵守甲方疫情防控工作要求，因乙方原因未配合甲方做好疫情防控管理工作，产生的一切后果及法律责任由乙方承担。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4.6、乙方展开工作期间，不得干扰甲方的正常生产、工作，不得损害甲方一切设备及其他设施。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4.7、乙方保证在为甲方提供服务时，未经甲方书面同意，不得把该服务项目的全部或部分工作委托给第三方。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4.8、乙方须按照合同约定的数额及时间向甲方提交付款申请，并及时提供增值税专用发票。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4.9、乙方应当为现场从事危险作业的人员办理意外伤害保险，并由其支付意外伤害保险费用。意外伤害保险期应自项目开始实施之日起至项目验收合格之日止。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4.10、乙方服务期内若发生地下车库出入口有积水溢出排水沟，甲方有权要求乙方立即清理，并保留向乙方追究责任的权利。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4.1</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lang w:val="en-US" w:eastAsia="zh-CN"/>
        </w:rPr>
        <w:t>服务期</w:t>
      </w:r>
      <w:r>
        <w:rPr>
          <w:rFonts w:hint="eastAsia" w:ascii="仿宋_GB2312" w:hAnsi="仿宋_GB2312" w:eastAsia="仿宋_GB2312" w:cs="仿宋_GB2312"/>
          <w:sz w:val="28"/>
          <w:szCs w:val="28"/>
          <w:u w:val="single"/>
        </w:rPr>
        <w:t>内，</w:t>
      </w:r>
      <w:r>
        <w:rPr>
          <w:rFonts w:hint="eastAsia" w:ascii="仿宋_GB2312" w:hAnsi="仿宋_GB2312" w:eastAsia="仿宋_GB2312" w:cs="仿宋_GB2312"/>
          <w:sz w:val="28"/>
          <w:szCs w:val="28"/>
          <w:u w:val="single"/>
          <w:lang w:val="en-US" w:eastAsia="zh-CN"/>
        </w:rPr>
        <w:t>乙方</w:t>
      </w:r>
      <w:r>
        <w:rPr>
          <w:rFonts w:hint="eastAsia" w:ascii="仿宋_GB2312" w:hAnsi="仿宋_GB2312" w:eastAsia="仿宋_GB2312" w:cs="仿宋_GB2312"/>
          <w:sz w:val="28"/>
          <w:szCs w:val="28"/>
          <w:u w:val="single"/>
        </w:rPr>
        <w:t>需安排人员对T1、T2航站楼地下停车库进出口排水沟进行巡查，发现有淤泥及垃圾堵塞</w:t>
      </w:r>
      <w:r>
        <w:rPr>
          <w:rFonts w:hint="eastAsia" w:ascii="仿宋_GB2312" w:hAnsi="仿宋_GB2312" w:eastAsia="仿宋_GB2312" w:cs="仿宋_GB2312"/>
          <w:sz w:val="28"/>
          <w:szCs w:val="28"/>
          <w:u w:val="single"/>
          <w:lang w:val="en-US" w:eastAsia="zh-CN"/>
        </w:rPr>
        <w:t>须</w:t>
      </w:r>
      <w:r>
        <w:rPr>
          <w:rFonts w:hint="eastAsia" w:ascii="仿宋_GB2312" w:hAnsi="仿宋_GB2312" w:eastAsia="仿宋_GB2312" w:cs="仿宋_GB2312"/>
          <w:sz w:val="28"/>
          <w:szCs w:val="28"/>
          <w:u w:val="single"/>
        </w:rPr>
        <w:t>及时清理干净，保证排水沟排水顺畅，作业过程中不得对地下车库的正常通行造成影响。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4.12</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服务</w:t>
      </w:r>
      <w:r>
        <w:rPr>
          <w:rFonts w:hint="eastAsia" w:ascii="仿宋_GB2312" w:hAnsi="仿宋_GB2312" w:eastAsia="仿宋_GB2312" w:cs="仿宋_GB2312"/>
          <w:sz w:val="28"/>
          <w:szCs w:val="28"/>
          <w:u w:val="single"/>
        </w:rPr>
        <w:t>期内，乙方应安排人员对T1、T2航站楼地下停车库进出口排水沟配套集水井</w:t>
      </w:r>
      <w:r>
        <w:rPr>
          <w:rFonts w:hint="eastAsia" w:ascii="仿宋_GB2312" w:hAnsi="仿宋_GB2312" w:eastAsia="仿宋_GB2312" w:cs="仿宋_GB2312"/>
          <w:sz w:val="28"/>
          <w:szCs w:val="28"/>
          <w:u w:val="single"/>
          <w:lang w:val="en-US" w:eastAsia="zh-CN"/>
        </w:rPr>
        <w:t>进行</w:t>
      </w:r>
      <w:r>
        <w:rPr>
          <w:rFonts w:hint="eastAsia" w:ascii="仿宋_GB2312" w:hAnsi="仿宋_GB2312" w:eastAsia="仿宋_GB2312" w:cs="仿宋_GB2312"/>
          <w:sz w:val="28"/>
          <w:szCs w:val="28"/>
          <w:u w:val="single"/>
        </w:rPr>
        <w:t>巡检，原则上不应少于3天</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rPr>
        <w:t>次，巡查时须对集水井提升泵进行主备切换，避免止回阀阻塞导致集水井内积水无法及时排出。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4.13</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服务</w:t>
      </w:r>
      <w:r>
        <w:rPr>
          <w:rFonts w:hint="eastAsia" w:ascii="仿宋_GB2312" w:hAnsi="仿宋_GB2312" w:eastAsia="仿宋_GB2312" w:cs="仿宋_GB2312"/>
          <w:sz w:val="28"/>
          <w:szCs w:val="28"/>
          <w:u w:val="single"/>
        </w:rPr>
        <w:t>期内，</w:t>
      </w:r>
      <w:r>
        <w:rPr>
          <w:rFonts w:hint="eastAsia" w:ascii="仿宋_GB2312" w:hAnsi="仿宋_GB2312" w:eastAsia="仿宋_GB2312" w:cs="仿宋_GB2312"/>
          <w:sz w:val="28"/>
          <w:szCs w:val="28"/>
          <w:u w:val="single"/>
          <w:lang w:val="en-US" w:eastAsia="zh-CN"/>
        </w:rPr>
        <w:t>乙方</w:t>
      </w:r>
      <w:r>
        <w:rPr>
          <w:rFonts w:hint="eastAsia" w:ascii="仿宋_GB2312" w:hAnsi="仿宋_GB2312" w:eastAsia="仿宋_GB2312" w:cs="仿宋_GB2312"/>
          <w:sz w:val="28"/>
          <w:szCs w:val="28"/>
          <w:u w:val="single"/>
        </w:rPr>
        <w:t>需及时响应</w:t>
      </w:r>
      <w:r>
        <w:rPr>
          <w:rFonts w:hint="eastAsia" w:ascii="仿宋_GB2312" w:hAnsi="仿宋_GB2312" w:eastAsia="仿宋_GB2312" w:cs="仿宋_GB2312"/>
          <w:sz w:val="28"/>
          <w:szCs w:val="28"/>
          <w:u w:val="single"/>
          <w:lang w:val="en-US" w:eastAsia="zh-CN"/>
        </w:rPr>
        <w:t>甲方</w:t>
      </w:r>
      <w:r>
        <w:rPr>
          <w:rFonts w:hint="eastAsia" w:ascii="仿宋_GB2312" w:hAnsi="仿宋_GB2312" w:eastAsia="仿宋_GB2312" w:cs="仿宋_GB2312"/>
          <w:sz w:val="28"/>
          <w:szCs w:val="28"/>
          <w:u w:val="single"/>
        </w:rPr>
        <w:t>提出的应急性清淤工作。在接到清淤通知后，1小时内需组织人员车辆至现场进行清淤并外运。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4.14</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服务</w:t>
      </w:r>
      <w:r>
        <w:rPr>
          <w:rFonts w:hint="eastAsia" w:ascii="仿宋_GB2312" w:hAnsi="仿宋_GB2312" w:eastAsia="仿宋_GB2312" w:cs="仿宋_GB2312"/>
          <w:sz w:val="28"/>
          <w:szCs w:val="28"/>
          <w:u w:val="single"/>
        </w:rPr>
        <w:t>期内，排水沟和集水井格栅盖板拆装由</w:t>
      </w:r>
      <w:r>
        <w:rPr>
          <w:rFonts w:hint="eastAsia" w:ascii="仿宋_GB2312" w:hAnsi="仿宋_GB2312" w:eastAsia="仿宋_GB2312" w:cs="仿宋_GB2312"/>
          <w:sz w:val="28"/>
          <w:szCs w:val="28"/>
          <w:u w:val="single"/>
          <w:lang w:val="en-US" w:eastAsia="zh-CN"/>
        </w:rPr>
        <w:t>乙方</w:t>
      </w:r>
      <w:r>
        <w:rPr>
          <w:rFonts w:hint="eastAsia" w:ascii="仿宋_GB2312" w:hAnsi="仿宋_GB2312" w:eastAsia="仿宋_GB2312" w:cs="仿宋_GB2312"/>
          <w:sz w:val="28"/>
          <w:szCs w:val="28"/>
          <w:u w:val="single"/>
        </w:rPr>
        <w:t>负责，在拆装盖板时，若有损坏，</w:t>
      </w:r>
      <w:r>
        <w:rPr>
          <w:rFonts w:hint="eastAsia" w:ascii="仿宋_GB2312" w:hAnsi="仿宋_GB2312" w:eastAsia="仿宋_GB2312" w:cs="仿宋_GB2312"/>
          <w:sz w:val="28"/>
          <w:szCs w:val="28"/>
          <w:u w:val="single"/>
          <w:lang w:val="en-US" w:eastAsia="zh-CN"/>
        </w:rPr>
        <w:t>乙方</w:t>
      </w:r>
      <w:r>
        <w:rPr>
          <w:rFonts w:hint="eastAsia" w:ascii="仿宋_GB2312" w:hAnsi="仿宋_GB2312" w:eastAsia="仿宋_GB2312" w:cs="仿宋_GB2312"/>
          <w:sz w:val="28"/>
          <w:szCs w:val="28"/>
          <w:u w:val="single"/>
        </w:rPr>
        <w:t>需对破损盖板进行更换</w:t>
      </w:r>
      <w:r>
        <w:rPr>
          <w:rFonts w:hint="eastAsia" w:ascii="仿宋_GB2312" w:hAnsi="仿宋_GB2312" w:eastAsia="仿宋_GB2312" w:cs="仿宋_GB2312"/>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4.15</w:t>
      </w:r>
      <w:r>
        <w:rPr>
          <w:rFonts w:hint="eastAsia" w:ascii="仿宋_GB2312" w:hAnsi="仿宋_GB2312" w:eastAsia="仿宋_GB2312" w:cs="仿宋_GB2312"/>
          <w:sz w:val="28"/>
          <w:szCs w:val="28"/>
          <w:u w:val="single"/>
        </w:rPr>
        <w:t>、淤泥及垃圾不提供场地堆放，</w:t>
      </w:r>
      <w:r>
        <w:rPr>
          <w:rFonts w:hint="eastAsia" w:ascii="仿宋_GB2312" w:hAnsi="仿宋_GB2312" w:eastAsia="仿宋_GB2312" w:cs="仿宋_GB2312"/>
          <w:sz w:val="28"/>
          <w:szCs w:val="28"/>
          <w:u w:val="single"/>
          <w:lang w:val="en-US" w:eastAsia="zh-CN"/>
        </w:rPr>
        <w:t>乙方</w:t>
      </w:r>
      <w:r>
        <w:rPr>
          <w:rFonts w:hint="eastAsia" w:ascii="仿宋_GB2312" w:hAnsi="仿宋_GB2312" w:eastAsia="仿宋_GB2312" w:cs="仿宋_GB2312"/>
          <w:sz w:val="28"/>
          <w:szCs w:val="28"/>
          <w:u w:val="single"/>
        </w:rPr>
        <w:t>须自行运出机场处理，不得随意倾倒在机场范围内。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4.16</w:t>
      </w:r>
      <w:r>
        <w:rPr>
          <w:rFonts w:hint="eastAsia" w:ascii="仿宋_GB2312" w:hAnsi="仿宋_GB2312" w:eastAsia="仿宋_GB2312" w:cs="仿宋_GB2312"/>
          <w:sz w:val="28"/>
          <w:szCs w:val="28"/>
          <w:u w:val="single"/>
        </w:rPr>
        <w:t>、乙方在整个项目的实施阶段，应采用拍照方式记录各道服务工序的实施过程，并形成一套完整的影像资料文件；拍摄的影像资料应能全面的记录整个实施全过程（包含实施前中后）的实际状况，各道工序都须按检验批拍摄留存影像资料文件，并按月交给甲方审核。</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技术服务质量期限要求：</w:t>
      </w:r>
      <w:r>
        <w:rPr>
          <w:rFonts w:hint="eastAsia" w:ascii="仿宋_GB2312" w:hAnsi="仿宋_GB2312" w:eastAsia="仿宋_GB2312" w:cs="仿宋_GB2312"/>
          <w:sz w:val="28"/>
          <w:szCs w:val="28"/>
          <w:u w:val="single"/>
          <w:lang w:val="en-US" w:eastAsia="zh-CN"/>
        </w:rPr>
        <w:t>无条件满足甲方对于</w:t>
      </w:r>
      <w:r>
        <w:rPr>
          <w:rFonts w:hint="eastAsia" w:ascii="仿宋_GB2312" w:hAnsi="仿宋_GB2312" w:eastAsia="仿宋_GB2312" w:cs="仿宋_GB2312"/>
          <w:sz w:val="28"/>
          <w:szCs w:val="28"/>
          <w:u w:val="single"/>
        </w:rPr>
        <w:t>技术服务质量期限</w:t>
      </w:r>
      <w:r>
        <w:rPr>
          <w:rFonts w:hint="eastAsia" w:ascii="仿宋_GB2312" w:hAnsi="仿宋_GB2312" w:eastAsia="仿宋_GB2312" w:cs="仿宋_GB2312"/>
          <w:sz w:val="28"/>
          <w:szCs w:val="28"/>
          <w:u w:val="single"/>
          <w:lang w:val="en-US" w:eastAsia="zh-CN"/>
        </w:rPr>
        <w:t>的合理要求。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b w:val="0"/>
          <w:bCs w:val="0"/>
          <w:sz w:val="28"/>
          <w:szCs w:val="28"/>
        </w:rPr>
        <w:t>为保证乙方有效进行技术服务工作，甲方应当向乙方提供下列工作条件和协作事项：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1．提供技术资料：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2．提供工作条件：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 xml:space="preserve">甲方应指派专人配合乙方工作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甲方为进驻现场的乙方人员提供必要的工作便利，并提供必要的协助。</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3．其他：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4．甲方提供上述工作条件和协作事项的时间及方式：</w:t>
      </w:r>
      <w:r>
        <w:rPr>
          <w:rFonts w:hint="eastAsia" w:ascii="仿宋_GB2312" w:hAnsi="仿宋_GB2312" w:eastAsia="仿宋_GB2312" w:cs="仿宋_GB2312"/>
          <w:sz w:val="28"/>
          <w:szCs w:val="28"/>
          <w:u w:val="single"/>
        </w:rPr>
        <w:t>自合同签订后</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u w:val="single"/>
        </w:rPr>
        <w:t>个日历天内提供上述工作条件和协作事项，方式由甲乙双方协商决定</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b w:val="0"/>
          <w:bCs w:val="0"/>
          <w:sz w:val="28"/>
          <w:szCs w:val="28"/>
        </w:rPr>
        <w:t>甲方向乙方支付技术服务报酬及支付方式为：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1．技术服务费总额为</w:t>
      </w:r>
      <w:r>
        <w:rPr>
          <w:rFonts w:hint="eastAsia" w:ascii="仿宋_GB2312" w:hAnsi="仿宋_GB2312" w:eastAsia="仿宋_GB2312" w:cs="仿宋_GB2312"/>
          <w:sz w:val="28"/>
          <w:szCs w:val="28"/>
          <w:u w:val="single"/>
          <w:lang w:val="en-US" w:eastAsia="zh-CN"/>
        </w:rPr>
        <w:t xml:space="preserve">       元</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rPr>
        <w:t>增值税税率为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，不含税总金额为</w:t>
      </w:r>
      <w:r>
        <w:rPr>
          <w:rFonts w:hint="eastAsia" w:ascii="仿宋_GB2312" w:hAnsi="仿宋_GB2312" w:eastAsia="仿宋_GB2312" w:cs="仿宋_GB2312"/>
          <w:sz w:val="28"/>
          <w:szCs w:val="28"/>
          <w:u w:val="single"/>
        </w:rPr>
        <w:t>人民币</w:t>
      </w:r>
      <w:r>
        <w:rPr>
          <w:rFonts w:hint="eastAsia" w:ascii="仿宋_GB2312" w:hAnsi="仿宋_GB2312" w:eastAsia="仿宋_GB2312" w:cs="仿宋_GB2312"/>
          <w:sz w:val="28"/>
          <w:szCs w:val="28"/>
          <w:u w:val="single"/>
          <w:lang w:val="en-US" w:eastAsia="zh-CN"/>
        </w:rPr>
        <w:t xml:space="preserve">       元</w:t>
      </w:r>
      <w:r>
        <w:rPr>
          <w:rFonts w:hint="eastAsia" w:ascii="仿宋_GB2312" w:hAnsi="仿宋_GB2312" w:eastAsia="仿宋_GB2312" w:cs="仿宋_GB2312"/>
          <w:sz w:val="28"/>
          <w:szCs w:val="28"/>
        </w:rPr>
        <w:t>，税额为</w:t>
      </w:r>
      <w:r>
        <w:rPr>
          <w:rFonts w:hint="eastAsia" w:ascii="仿宋_GB2312" w:hAnsi="仿宋_GB2312" w:eastAsia="仿宋_GB2312" w:cs="仿宋_GB2312"/>
          <w:sz w:val="28"/>
          <w:szCs w:val="28"/>
          <w:u w:val="single"/>
        </w:rPr>
        <w:t>人民币</w:t>
      </w:r>
      <w:r>
        <w:rPr>
          <w:rFonts w:hint="eastAsia" w:ascii="仿宋_GB2312" w:hAnsi="仿宋_GB2312" w:eastAsia="仿宋_GB2312" w:cs="仿宋_GB2312"/>
          <w:sz w:val="28"/>
          <w:szCs w:val="28"/>
          <w:u w:val="single"/>
          <w:lang w:val="en-US" w:eastAsia="zh-CN"/>
        </w:rPr>
        <w:t xml:space="preserve">        元</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Hans"/>
        </w:rPr>
        <w:t>乙方应于付款期限届满前【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Hans"/>
        </w:rPr>
        <w:t>】日向甲方开具税率为【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Hans"/>
        </w:rPr>
        <w:t>】的增值税专用发票。甲方自收到发票并确认无误后按合同约定向乙方付款。</w:t>
      </w:r>
      <w:r>
        <w:rPr>
          <w:rFonts w:hint="eastAsia" w:ascii="仿宋_GB2312" w:hAnsi="仿宋_GB2312" w:eastAsia="仿宋_GB2312" w:cs="仿宋_GB2312"/>
          <w:sz w:val="28"/>
          <w:szCs w:val="28"/>
        </w:rPr>
        <w:t>若因乙方的原因不能及时提供发票而导致甲方未按照合同约定付款，则甲方不承担逾期支付的违约责任。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2．技术服务费由甲方</w:t>
      </w:r>
      <w:r>
        <w:rPr>
          <w:rFonts w:hint="eastAsia" w:ascii="仿宋_GB2312" w:hAnsi="仿宋_GB2312" w:eastAsia="仿宋_GB2312" w:cs="仿宋_GB2312"/>
          <w:sz w:val="28"/>
          <w:szCs w:val="28"/>
          <w:u w:val="single"/>
          <w:lang w:val="en-US" w:eastAsia="zh-CN"/>
        </w:rPr>
        <w:t>按季度分六次</w:t>
      </w:r>
      <w:r>
        <w:rPr>
          <w:rFonts w:hint="eastAsia" w:ascii="仿宋_GB2312" w:hAnsi="仿宋_GB2312" w:eastAsia="仿宋_GB2312" w:cs="仿宋_GB2312"/>
          <w:sz w:val="28"/>
          <w:szCs w:val="28"/>
        </w:rPr>
        <w:t xml:space="preserve">支付乙方。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具体支付方式和时间如下：</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u w:val="single"/>
          <w:lang w:val="en-US" w:eastAsia="zh-CN"/>
        </w:rPr>
        <w:t>服务期前五季度，每季度服务完成并提交报告和影像资料后14天内，</w:t>
      </w:r>
      <w:r>
        <w:rPr>
          <w:rFonts w:hint="eastAsia" w:ascii="仿宋_GB2312" w:hAnsi="仿宋_GB2312" w:eastAsia="仿宋_GB2312" w:cs="仿宋_GB2312"/>
          <w:color w:val="auto"/>
          <w:sz w:val="28"/>
          <w:szCs w:val="28"/>
          <w:u w:val="single"/>
        </w:rPr>
        <w:t>甲方向乙方支付合同价的</w:t>
      </w:r>
      <w:r>
        <w:rPr>
          <w:rFonts w:hint="eastAsia" w:ascii="仿宋_GB2312" w:hAnsi="仿宋_GB2312" w:eastAsia="仿宋_GB2312" w:cs="仿宋_GB2312"/>
          <w:color w:val="auto"/>
          <w:sz w:val="28"/>
          <w:szCs w:val="28"/>
          <w:u w:val="single"/>
          <w:lang w:val="en-US" w:eastAsia="zh-CN"/>
        </w:rPr>
        <w:t>16.6</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rPr>
      </w:pPr>
      <w:r>
        <w:rPr>
          <w:rFonts w:hint="eastAsia" w:ascii="仿宋_GB2312" w:hAnsi="仿宋_GB2312" w:eastAsia="仿宋_GB2312" w:cs="仿宋_GB2312"/>
          <w:color w:val="auto"/>
          <w:sz w:val="28"/>
          <w:szCs w:val="28"/>
          <w:u w:val="single"/>
          <w:lang w:val="en-US" w:eastAsia="zh-CN"/>
        </w:rPr>
        <w:t>（2）服务期最后一季度，服务完成并提交报告和影像资料后14天内，</w:t>
      </w:r>
      <w:r>
        <w:rPr>
          <w:rFonts w:hint="eastAsia" w:ascii="仿宋_GB2312" w:hAnsi="仿宋_GB2312" w:eastAsia="仿宋_GB2312" w:cs="仿宋_GB2312"/>
          <w:color w:val="auto"/>
          <w:sz w:val="28"/>
          <w:szCs w:val="28"/>
          <w:u w:val="single"/>
        </w:rPr>
        <w:t>甲方向乙方支付合同价的</w:t>
      </w:r>
      <w:r>
        <w:rPr>
          <w:rFonts w:hint="eastAsia" w:ascii="仿宋_GB2312" w:hAnsi="仿宋_GB2312" w:eastAsia="仿宋_GB2312" w:cs="仿宋_GB2312"/>
          <w:color w:val="auto"/>
          <w:sz w:val="28"/>
          <w:szCs w:val="28"/>
          <w:u w:val="single"/>
          <w:lang w:val="en-US" w:eastAsia="zh-CN"/>
        </w:rPr>
        <w:t>17</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lang w:val="en-US" w:eastAsia="zh-CN"/>
        </w:rPr>
        <w:t>乙方提供服务不足一个季度的按当季度实际服务天数测算服务费。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乙方开户银行名称、地址和帐号为：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开户银行：</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帐号：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第五条：</w:t>
      </w:r>
      <w:r>
        <w:rPr>
          <w:rFonts w:hint="eastAsia" w:ascii="仿宋_GB2312" w:hAnsi="仿宋_GB2312" w:eastAsia="仿宋_GB2312" w:cs="仿宋_GB2312"/>
          <w:b w:val="0"/>
          <w:bCs w:val="0"/>
          <w:sz w:val="28"/>
          <w:szCs w:val="28"/>
        </w:rPr>
        <w:t>双方确定因履行本合同应遵守的保密义务如下：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1.保密内容（包括技术信息和经营信息）:</w:t>
      </w:r>
      <w:r>
        <w:rPr>
          <w:rFonts w:hint="eastAsia" w:ascii="仿宋_GB2312" w:hAnsi="仿宋_GB2312" w:eastAsia="仿宋_GB2312" w:cs="仿宋_GB2312"/>
          <w:sz w:val="28"/>
          <w:szCs w:val="28"/>
          <w:u w:val="single"/>
        </w:rPr>
        <w:t>乙方向甲方披露的明确标注“机密”、“保密”、“内部使用”等具有保密要求的数据、材料或文件，或口头明确申明相关数据、材料或文件为涉密的。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2．涉密人员范围:</w:t>
      </w:r>
      <w:r>
        <w:rPr>
          <w:rFonts w:hint="eastAsia" w:ascii="仿宋_GB2312" w:hAnsi="仿宋_GB2312" w:eastAsia="仿宋_GB2312" w:cs="仿宋_GB2312"/>
          <w:sz w:val="28"/>
          <w:szCs w:val="28"/>
          <w:u w:val="single"/>
        </w:rPr>
        <w:t>所有接触到保密内容的甲方人员</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3．保密期限：</w:t>
      </w:r>
      <w:r>
        <w:rPr>
          <w:rFonts w:hint="eastAsia" w:ascii="仿宋_GB2312" w:hAnsi="仿宋_GB2312" w:eastAsia="仿宋_GB2312" w:cs="仿宋_GB2312"/>
          <w:sz w:val="28"/>
          <w:szCs w:val="28"/>
          <w:u w:val="single"/>
        </w:rPr>
        <w:t>保密期为从涉密数据、材料或文件披露之日的</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年内，其中数据、材料或文件具有具体保密期限的，根据其规定的保密期执行</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4．泄密责任：</w:t>
      </w:r>
      <w:r>
        <w:rPr>
          <w:rFonts w:hint="eastAsia" w:ascii="仿宋_GB2312" w:hAnsi="仿宋_GB2312" w:eastAsia="仿宋_GB2312" w:cs="仿宋_GB2312"/>
          <w:sz w:val="28"/>
          <w:szCs w:val="28"/>
          <w:u w:val="single"/>
        </w:rPr>
        <w:t>如有泄密，按照国家相关法律法规处理；如无相关法律法规，由甲乙双方协商决定</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1.保密内容（包括技术信息和经营信息）: </w:t>
      </w:r>
      <w:r>
        <w:rPr>
          <w:rFonts w:hint="eastAsia" w:ascii="仿宋_GB2312" w:hAnsi="仿宋_GB2312" w:eastAsia="仿宋_GB2312" w:cs="仿宋_GB2312"/>
          <w:sz w:val="28"/>
          <w:szCs w:val="28"/>
          <w:u w:val="single"/>
        </w:rPr>
        <w:t>甲方向乙方披露的明确标注“机密”、“保密”、“内部使用”等具有保密要求的数据、材料或文件，或口头明确申明相关数据、材料或文件为涉密的</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2．涉密人员范围: </w:t>
      </w:r>
      <w:r>
        <w:rPr>
          <w:rFonts w:hint="eastAsia" w:ascii="仿宋_GB2312" w:hAnsi="仿宋_GB2312" w:eastAsia="仿宋_GB2312" w:cs="仿宋_GB2312"/>
          <w:sz w:val="28"/>
          <w:szCs w:val="28"/>
          <w:u w:val="single"/>
        </w:rPr>
        <w:t xml:space="preserve">所有接触到保密内容的乙方人员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3．保密期限：</w:t>
      </w:r>
      <w:r>
        <w:rPr>
          <w:rFonts w:hint="eastAsia" w:ascii="仿宋_GB2312" w:hAnsi="仿宋_GB2312" w:eastAsia="仿宋_GB2312" w:cs="仿宋_GB2312"/>
          <w:sz w:val="28"/>
          <w:szCs w:val="28"/>
          <w:u w:val="single"/>
        </w:rPr>
        <w:t xml:space="preserve">保密期为从涉密数据、材料或文件披露之日的10年内，其中数据、材料或文件具有具体保密期限的，根据其规定的保密期执行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4．泄密责任：</w:t>
      </w:r>
      <w:r>
        <w:rPr>
          <w:rFonts w:hint="eastAsia" w:ascii="仿宋_GB2312" w:hAnsi="仿宋_GB2312" w:eastAsia="仿宋_GB2312" w:cs="仿宋_GB2312"/>
          <w:sz w:val="28"/>
          <w:szCs w:val="28"/>
          <w:u w:val="single"/>
        </w:rPr>
        <w:t>如有泄密，按照国家相关法律法规处理；如无相关法律法规，由甲乙双方协商决定</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第六条：</w:t>
      </w:r>
      <w:r>
        <w:rPr>
          <w:rFonts w:hint="eastAsia" w:ascii="仿宋_GB2312" w:hAnsi="仿宋_GB2312" w:eastAsia="仿宋_GB2312" w:cs="仿宋_GB2312"/>
          <w:b w:val="0"/>
          <w:bCs w:val="0"/>
          <w:sz w:val="28"/>
          <w:szCs w:val="28"/>
        </w:rPr>
        <w:t>本合同的变更必须由双方协商一致，并以书面形式确定。但有下列情形之一的，一方可以向另一方书面提出变更合同权利与义务的请求，另一方应当在</w:t>
      </w:r>
      <w:r>
        <w:rPr>
          <w:rFonts w:hint="eastAsia" w:ascii="仿宋_GB2312" w:hAnsi="仿宋_GB2312" w:eastAsia="仿宋_GB2312" w:cs="仿宋_GB2312"/>
          <w:b w:val="0"/>
          <w:bCs w:val="0"/>
          <w:sz w:val="28"/>
          <w:szCs w:val="28"/>
          <w:u w:val="single"/>
          <w:lang w:val="en-US" w:eastAsia="zh-CN"/>
        </w:rPr>
        <w:t>15</w:t>
      </w:r>
      <w:r>
        <w:rPr>
          <w:rFonts w:hint="eastAsia" w:ascii="仿宋_GB2312" w:hAnsi="仿宋_GB2312" w:eastAsia="仿宋_GB2312" w:cs="仿宋_GB2312"/>
          <w:b w:val="0"/>
          <w:bCs w:val="0"/>
          <w:sz w:val="28"/>
          <w:szCs w:val="28"/>
        </w:rPr>
        <w:t>日内予以答复；逾期未予答复的，不得视为同意：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甲方未能向乙方提供相关技术资料或工作条件，导致乙方无法进行正常服务的；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乙方无特殊情况，未能按时开</w:t>
      </w:r>
      <w:r>
        <w:rPr>
          <w:rFonts w:hint="eastAsia" w:ascii="仿宋_GB2312" w:hAnsi="仿宋_GB2312" w:eastAsia="仿宋_GB2312" w:cs="仿宋_GB2312"/>
          <w:sz w:val="28"/>
          <w:szCs w:val="28"/>
          <w:u w:val="single"/>
          <w:lang w:val="en-US" w:eastAsia="zh-CN"/>
        </w:rPr>
        <w:t>展</w:t>
      </w:r>
      <w:r>
        <w:rPr>
          <w:rFonts w:hint="eastAsia" w:ascii="仿宋_GB2312" w:hAnsi="仿宋_GB2312" w:eastAsia="仿宋_GB2312" w:cs="仿宋_GB2312"/>
          <w:sz w:val="28"/>
          <w:szCs w:val="28"/>
          <w:u w:val="single"/>
        </w:rPr>
        <w:t>技术服务的。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若双方未达成一致，单方面解除本合同的一方应对另一方因此遭受的损失承担全部赔偿责任。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b w:val="0"/>
          <w:bCs w:val="0"/>
          <w:sz w:val="28"/>
          <w:szCs w:val="28"/>
        </w:rPr>
        <w:t>双方确定以下列标准和方式对乙方的技术服务工作成果进行验收：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1．乙方完成技术服务工作的形式：</w:t>
      </w:r>
      <w:r>
        <w:rPr>
          <w:rFonts w:hint="eastAsia" w:ascii="仿宋_GB2312" w:hAnsi="仿宋_GB2312" w:eastAsia="仿宋_GB2312" w:cs="仿宋_GB2312"/>
          <w:sz w:val="28"/>
          <w:szCs w:val="28"/>
          <w:u w:val="single"/>
        </w:rPr>
        <w:t>按照技术服务内容和目标，提供必要的说明文件</w:t>
      </w:r>
      <w:r>
        <w:rPr>
          <w:rFonts w:hint="eastAsia" w:ascii="仿宋_GB2312" w:hAnsi="仿宋_GB2312" w:eastAsia="仿宋_GB2312" w:cs="仿宋_GB2312"/>
          <w:sz w:val="28"/>
          <w:szCs w:val="28"/>
          <w:u w:val="single"/>
          <w:lang w:val="en-US" w:eastAsia="zh-CN"/>
        </w:rPr>
        <w:t>和影像资料</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2．技术服务工作成果的验收标准：</w:t>
      </w:r>
      <w:r>
        <w:rPr>
          <w:rFonts w:hint="eastAsia" w:ascii="仿宋_GB2312" w:hAnsi="仿宋_GB2312" w:eastAsia="仿宋_GB2312" w:cs="仿宋_GB2312"/>
          <w:sz w:val="28"/>
          <w:szCs w:val="28"/>
          <w:u w:val="single"/>
        </w:rPr>
        <w:t>满足技术服务标准及要求，</w:t>
      </w:r>
      <w:r>
        <w:rPr>
          <w:rFonts w:hint="eastAsia" w:ascii="仿宋_GB2312" w:hAnsi="仿宋_GB2312" w:eastAsia="仿宋_GB2312" w:cs="仿宋_GB2312"/>
          <w:sz w:val="28"/>
          <w:szCs w:val="28"/>
          <w:u w:val="single"/>
          <w:lang w:val="en-US" w:eastAsia="zh-CN"/>
        </w:rPr>
        <w:t>并经甲方认可</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3．技术服务工作成果的验收方法：</w:t>
      </w:r>
      <w:r>
        <w:rPr>
          <w:rFonts w:hint="eastAsia" w:ascii="仿宋_GB2312" w:hAnsi="仿宋_GB2312" w:eastAsia="仿宋_GB2312" w:cs="仿宋_GB2312"/>
          <w:sz w:val="28"/>
          <w:szCs w:val="28"/>
          <w:u w:val="single"/>
        </w:rPr>
        <w:t xml:space="preserve">由甲方派遣己方人员验收或委托第三方机构或相关人员验收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4．验收的时间和地点：</w:t>
      </w:r>
      <w:r>
        <w:rPr>
          <w:rFonts w:hint="eastAsia" w:ascii="仿宋_GB2312" w:hAnsi="仿宋_GB2312" w:eastAsia="仿宋_GB2312" w:cs="仿宋_GB2312"/>
          <w:sz w:val="28"/>
          <w:szCs w:val="28"/>
          <w:u w:val="single"/>
          <w:lang w:val="en-US" w:eastAsia="zh-CN"/>
        </w:rPr>
        <w:t>验收时间由双方协商，</w:t>
      </w:r>
      <w:r>
        <w:rPr>
          <w:rFonts w:hint="eastAsia" w:ascii="仿宋_GB2312" w:hAnsi="仿宋_GB2312" w:eastAsia="仿宋_GB2312" w:cs="仿宋_GB2312"/>
          <w:sz w:val="28"/>
          <w:szCs w:val="28"/>
          <w:u w:val="single"/>
        </w:rPr>
        <w:t>地点于杭州萧山国际机场内</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rPr>
        <w:t>第八条：</w:t>
      </w:r>
      <w:r>
        <w:rPr>
          <w:rFonts w:hint="eastAsia" w:ascii="仿宋_GB2312" w:hAnsi="仿宋_GB2312" w:eastAsia="仿宋_GB2312" w:cs="仿宋_GB2312"/>
          <w:b w:val="0"/>
          <w:bCs w:val="0"/>
          <w:sz w:val="28"/>
          <w:szCs w:val="28"/>
        </w:rPr>
        <w:t>双方确定：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1．在本合同有效期内，甲方利用乙方提交的技术服务工作成果所完成的新的技术成果，归</w:t>
      </w:r>
      <w:r>
        <w:rPr>
          <w:rFonts w:hint="eastAsia" w:ascii="仿宋_GB2312" w:hAnsi="仿宋_GB2312" w:eastAsia="仿宋_GB2312" w:cs="仿宋_GB2312"/>
          <w:sz w:val="28"/>
          <w:szCs w:val="28"/>
          <w:u w:val="single"/>
        </w:rPr>
        <w:t>甲</w:t>
      </w:r>
      <w:r>
        <w:rPr>
          <w:rFonts w:hint="eastAsia" w:ascii="仿宋_GB2312" w:hAnsi="仿宋_GB2312" w:eastAsia="仿宋_GB2312" w:cs="仿宋_GB2312"/>
          <w:sz w:val="28"/>
          <w:szCs w:val="28"/>
        </w:rPr>
        <w:t>方所有。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2．在本合同有效期内，乙方利用甲方提供的技术资料和工作条件所完成的新的技术成果，归</w:t>
      </w:r>
      <w:r>
        <w:rPr>
          <w:rFonts w:hint="eastAsia" w:ascii="仿宋_GB2312" w:hAnsi="仿宋_GB2312" w:eastAsia="仿宋_GB2312" w:cs="仿宋_GB2312"/>
          <w:sz w:val="28"/>
          <w:szCs w:val="28"/>
          <w:u w:val="single"/>
        </w:rPr>
        <w:t>甲</w:t>
      </w:r>
      <w:r>
        <w:rPr>
          <w:rFonts w:hint="eastAsia" w:ascii="仿宋_GB2312" w:hAnsi="仿宋_GB2312" w:eastAsia="仿宋_GB2312" w:cs="仿宋_GB2312"/>
          <w:sz w:val="28"/>
          <w:szCs w:val="28"/>
        </w:rPr>
        <w:t>方所有。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第九条：</w:t>
      </w:r>
      <w:r>
        <w:rPr>
          <w:rFonts w:hint="eastAsia" w:ascii="仿宋_GB2312" w:hAnsi="仿宋_GB2312" w:eastAsia="仿宋_GB2312" w:cs="仿宋_GB2312"/>
          <w:b w:val="0"/>
          <w:bCs w:val="0"/>
          <w:sz w:val="28"/>
          <w:szCs w:val="28"/>
        </w:rPr>
        <w:t>双方确定，按以下约定承担各自的违约责任：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乙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一 </w:t>
      </w:r>
      <w:r>
        <w:rPr>
          <w:rFonts w:hint="eastAsia" w:ascii="仿宋_GB2312" w:hAnsi="仿宋_GB2312" w:eastAsia="仿宋_GB2312" w:cs="仿宋_GB2312"/>
          <w:sz w:val="28"/>
          <w:szCs w:val="28"/>
        </w:rPr>
        <w:t>条约定，应当</w:t>
      </w:r>
      <w:r>
        <w:rPr>
          <w:rFonts w:hint="eastAsia" w:ascii="仿宋_GB2312" w:hAnsi="仿宋_GB2312" w:eastAsia="仿宋_GB2312" w:cs="仿宋_GB2312"/>
          <w:sz w:val="28"/>
          <w:szCs w:val="28"/>
          <w:u w:val="single"/>
        </w:rPr>
        <w:t xml:space="preserve">  乙方退还甲方所有已支付的技术服务费</w:t>
      </w:r>
      <w:r>
        <w:rPr>
          <w:rFonts w:hint="eastAsia" w:ascii="仿宋_GB2312" w:hAnsi="仿宋_GB2312" w:eastAsia="仿宋_GB2312" w:cs="仿宋_GB2312"/>
          <w:sz w:val="32"/>
          <w:szCs w:val="32"/>
        </w:rPr>
        <w:t>（支付违约金或损失赔偿额的计算方法）</w:t>
      </w:r>
      <w:r>
        <w:rPr>
          <w:rFonts w:hint="eastAsia" w:ascii="仿宋_GB2312" w:hAnsi="仿宋_GB2312" w:eastAsia="仿宋_GB2312" w:cs="仿宋_GB2312"/>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乙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二  </w:t>
      </w:r>
      <w:r>
        <w:rPr>
          <w:rFonts w:hint="eastAsia" w:ascii="仿宋_GB2312" w:hAnsi="仿宋_GB2312" w:eastAsia="仿宋_GB2312" w:cs="仿宋_GB2312"/>
          <w:sz w:val="28"/>
          <w:szCs w:val="28"/>
        </w:rPr>
        <w:t>条约定，应当</w:t>
      </w:r>
      <w:r>
        <w:rPr>
          <w:rFonts w:hint="eastAsia" w:ascii="仿宋_GB2312" w:hAnsi="仿宋_GB2312" w:eastAsia="仿宋_GB2312" w:cs="仿宋_GB2312"/>
          <w:sz w:val="28"/>
          <w:szCs w:val="28"/>
          <w:u w:val="single"/>
        </w:rPr>
        <w:t xml:space="preserve">  乙方退还甲方所有已支付的技术服务费</w:t>
      </w:r>
      <w:r>
        <w:rPr>
          <w:rFonts w:hint="eastAsia" w:ascii="仿宋_GB2312" w:hAnsi="仿宋_GB2312" w:eastAsia="仿宋_GB2312" w:cs="仿宋_GB2312"/>
          <w:sz w:val="32"/>
          <w:szCs w:val="32"/>
        </w:rPr>
        <w:t>（支付违约金或损失赔偿额的计算方法）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u w:val="single"/>
        </w:rPr>
        <w:t xml:space="preserve">   甲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四  </w:t>
      </w:r>
      <w:r>
        <w:rPr>
          <w:rFonts w:hint="eastAsia" w:ascii="仿宋_GB2312" w:hAnsi="仿宋_GB2312" w:eastAsia="仿宋_GB2312" w:cs="仿宋_GB2312"/>
          <w:sz w:val="28"/>
          <w:szCs w:val="28"/>
        </w:rPr>
        <w:t>条约定，</w:t>
      </w:r>
      <w:r>
        <w:rPr>
          <w:rFonts w:hint="eastAsia" w:ascii="仿宋_GB2312" w:hAnsi="仿宋_GB2312" w:eastAsia="仿宋_GB2312" w:cs="仿宋_GB2312"/>
          <w:sz w:val="28"/>
          <w:szCs w:val="28"/>
          <w:u w:val="single"/>
        </w:rPr>
        <w:t xml:space="preserve"> 乙方可以不退还甲方已支付的技术服务费，并有权不提供完整的技术服务内容 </w:t>
      </w:r>
      <w:r>
        <w:rPr>
          <w:rFonts w:hint="eastAsia" w:ascii="仿宋_GB2312" w:hAnsi="仿宋_GB2312" w:eastAsia="仿宋_GB2312" w:cs="仿宋_GB2312"/>
          <w:sz w:val="28"/>
          <w:szCs w:val="28"/>
        </w:rPr>
        <w:t>（支付违约金或损失赔偿额的计算方法）。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rPr>
        <w:t>第十条：</w:t>
      </w:r>
      <w:r>
        <w:rPr>
          <w:rFonts w:hint="eastAsia" w:ascii="仿宋_GB2312" w:hAnsi="仿宋_GB2312" w:eastAsia="仿宋_GB2312" w:cs="仿宋_GB2312"/>
          <w:b w:val="0"/>
          <w:bCs w:val="0"/>
          <w:sz w:val="28"/>
          <w:szCs w:val="28"/>
        </w:rPr>
        <w:t>双方确定，在本合同有效期内，甲方指定</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为甲方</w:t>
      </w:r>
      <w:r>
        <w:rPr>
          <w:rFonts w:hint="eastAsia" w:ascii="仿宋_GB2312" w:hAnsi="仿宋_GB2312" w:eastAsia="仿宋_GB2312" w:cs="仿宋_GB2312"/>
          <w:b w:val="0"/>
          <w:bCs w:val="0"/>
          <w:sz w:val="28"/>
          <w:szCs w:val="28"/>
          <w:lang w:eastAsia="zh-CN"/>
        </w:rPr>
        <w:t>项目负责人</w:t>
      </w:r>
      <w:r>
        <w:rPr>
          <w:rFonts w:hint="eastAsia" w:ascii="仿宋_GB2312" w:hAnsi="仿宋_GB2312" w:eastAsia="仿宋_GB2312" w:cs="仿宋_GB2312"/>
          <w:b w:val="0"/>
          <w:bCs w:val="0"/>
          <w:sz w:val="28"/>
          <w:szCs w:val="28"/>
        </w:rPr>
        <w:t>，乙方指定</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为乙方</w:t>
      </w:r>
      <w:r>
        <w:rPr>
          <w:rFonts w:hint="eastAsia" w:ascii="仿宋_GB2312" w:hAnsi="仿宋_GB2312" w:eastAsia="仿宋_GB2312" w:cs="仿宋_GB2312"/>
          <w:b w:val="0"/>
          <w:bCs w:val="0"/>
          <w:sz w:val="28"/>
          <w:szCs w:val="28"/>
          <w:lang w:eastAsia="zh-CN"/>
        </w:rPr>
        <w:t>项目负责人</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eastAsia="zh-CN"/>
        </w:rPr>
        <w:t>项目负责人</w:t>
      </w:r>
      <w:r>
        <w:rPr>
          <w:rFonts w:hint="eastAsia" w:ascii="仿宋_GB2312" w:hAnsi="仿宋_GB2312" w:eastAsia="仿宋_GB2312" w:cs="仿宋_GB2312"/>
          <w:b w:val="0"/>
          <w:bCs w:val="0"/>
          <w:sz w:val="28"/>
          <w:szCs w:val="28"/>
        </w:rPr>
        <w:t>承担以下责任：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按双方分工负责实施各自责任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负责协调双方工作</w:t>
      </w:r>
      <w:r>
        <w:rPr>
          <w:rFonts w:hint="eastAsia" w:ascii="仿宋_GB2312" w:hAnsi="仿宋_GB2312" w:eastAsia="仿宋_GB2312" w:cs="仿宋_GB2312"/>
          <w:sz w:val="28"/>
          <w:szCs w:val="28"/>
          <w:u w:val="single"/>
          <w:lang w:val="en-US" w:eastAsia="zh-CN"/>
        </w:rPr>
        <w:t>中</w:t>
      </w:r>
      <w:r>
        <w:rPr>
          <w:rFonts w:hint="eastAsia" w:ascii="仿宋_GB2312" w:hAnsi="仿宋_GB2312" w:eastAsia="仿宋_GB2312" w:cs="仿宋_GB2312"/>
          <w:sz w:val="28"/>
          <w:szCs w:val="28"/>
          <w:u w:val="single"/>
        </w:rPr>
        <w:t>遇到的障碍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一方变更</w:t>
      </w:r>
      <w:r>
        <w:rPr>
          <w:rFonts w:hint="eastAsia" w:ascii="仿宋_GB2312" w:hAnsi="仿宋_GB2312" w:eastAsia="仿宋_GB2312" w:cs="仿宋_GB2312"/>
          <w:sz w:val="28"/>
          <w:szCs w:val="28"/>
          <w:lang w:eastAsia="zh-CN"/>
        </w:rPr>
        <w:t>项目负责人</w:t>
      </w:r>
      <w:r>
        <w:rPr>
          <w:rFonts w:hint="eastAsia" w:ascii="仿宋_GB2312" w:hAnsi="仿宋_GB2312" w:eastAsia="仿宋_GB2312" w:cs="仿宋_GB2312"/>
          <w:sz w:val="28"/>
          <w:szCs w:val="28"/>
        </w:rPr>
        <w:t>的，应当在变更后</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rPr>
        <w:t>日内及时以书面形式通知另一方，未及时通知并影响本合同履行或造成损失的，未及时通知的一方应承担相应的责任。</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第十一条：</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不可抗力事件发生后，遭遇不可抗力的一方应立即通知对方，并寄送有关官方权威机构出具的证明。</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不可抗力事件延续</w:t>
      </w:r>
      <w:r>
        <w:rPr>
          <w:rFonts w:hint="eastAsia" w:ascii="仿宋_GB2312" w:hAnsi="仿宋_GB2312" w:eastAsia="仿宋_GB2312" w:cs="仿宋_GB2312"/>
          <w:color w:val="auto"/>
          <w:sz w:val="28"/>
          <w:szCs w:val="28"/>
          <w:u w:val="single"/>
          <w:lang w:val="en-US" w:eastAsia="zh-CN"/>
        </w:rPr>
        <w:t>30</w:t>
      </w:r>
      <w:r>
        <w:rPr>
          <w:rFonts w:hint="eastAsia" w:ascii="仿宋_GB2312" w:hAnsi="仿宋_GB2312" w:eastAsia="仿宋_GB2312" w:cs="仿宋_GB2312"/>
          <w:sz w:val="28"/>
          <w:szCs w:val="28"/>
        </w:rPr>
        <w:t xml:space="preserve">天以上，双方应通过友好协商，确定是否继续履行合同；协商无法达成一致的，本合同自动终止，双方互不承担赔偿或违约责任。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第十二条：</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双方在执行合同中所发生的一切争议，应通过协商解决。如协商不成，由甲方所在地的人民法院管辖审理。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b w:val="0"/>
          <w:bCs w:val="0"/>
          <w:sz w:val="28"/>
          <w:szCs w:val="28"/>
        </w:rPr>
        <w:t>双方确定：本合同及相关附件中所涉及的有关名词和技术术语，其定义和解释如下：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b w:val="0"/>
          <w:bCs w:val="0"/>
          <w:sz w:val="28"/>
          <w:szCs w:val="28"/>
        </w:rPr>
        <w:t>与履行本合同有关的下列文件，经双方确认后，为本合同的附件，与本合同具有同等法律效力：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1．技术背景资料：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2．可行性论证报告：</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3．技术评价报告：</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4．技术标准和规范：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5．原始设计和工艺文件：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6．其他：</w:t>
      </w:r>
      <w:r>
        <w:rPr>
          <w:rFonts w:hint="eastAsia" w:ascii="仿宋_GB2312" w:hAnsi="仿宋_GB2312" w:eastAsia="仿宋_GB2312" w:cs="仿宋_GB2312"/>
          <w:sz w:val="28"/>
          <w:szCs w:val="28"/>
          <w:u w:val="single"/>
        </w:rPr>
        <w:t>杭州萧山国际机场有限公司廉洁自律承诺书</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保密承诺书、疫情防控责任书</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：本合同一式</w:t>
      </w:r>
      <w:r>
        <w:rPr>
          <w:rFonts w:hint="eastAsia" w:ascii="仿宋_GB2312" w:hAnsi="仿宋_GB2312" w:eastAsia="仿宋_GB2312" w:cs="仿宋_GB2312"/>
          <w:sz w:val="28"/>
          <w:szCs w:val="28"/>
          <w:u w:val="single"/>
          <w:lang w:val="en-US" w:eastAsia="zh-CN"/>
        </w:rPr>
        <w:t>捌</w:t>
      </w:r>
      <w:r>
        <w:rPr>
          <w:rFonts w:hint="eastAsia" w:ascii="仿宋_GB2312" w:hAnsi="仿宋_GB2312" w:eastAsia="仿宋_GB2312" w:cs="仿宋_GB2312"/>
          <w:sz w:val="28"/>
          <w:szCs w:val="28"/>
        </w:rPr>
        <w:t>份，甲方执</w:t>
      </w:r>
      <w:r>
        <w:rPr>
          <w:rFonts w:hint="eastAsia" w:ascii="仿宋_GB2312" w:hAnsi="仿宋_GB2312" w:eastAsia="仿宋_GB2312" w:cs="仿宋_GB2312"/>
          <w:sz w:val="28"/>
          <w:szCs w:val="28"/>
          <w:u w:val="single"/>
          <w:lang w:val="en-US" w:eastAsia="zh-CN"/>
        </w:rPr>
        <w:t>肆</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lang w:val="en-US" w:eastAsia="zh-CN"/>
        </w:rPr>
        <w:t>肆</w:t>
      </w:r>
      <w:r>
        <w:rPr>
          <w:rFonts w:hint="eastAsia" w:ascii="仿宋_GB2312" w:hAnsi="仿宋_GB2312" w:eastAsia="仿宋_GB2312" w:cs="仿宋_GB2312"/>
          <w:sz w:val="28"/>
          <w:szCs w:val="28"/>
        </w:rPr>
        <w:t>份，具有同等法律效力。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本合同经双方法定代表人或者委托代理人签字（包含签章）且加盖公章或者合同专用盖章之日起生效。</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sz w:val="28"/>
          <w:szCs w:val="28"/>
        </w:rPr>
      </w:pPr>
    </w:p>
    <w:p>
      <w:pPr>
        <w:keepNext w:val="0"/>
        <w:keepLines w:val="0"/>
        <w:pageBreakBefore/>
        <w:widowControl w:val="0"/>
        <w:kinsoku/>
        <w:wordWrap/>
        <w:overflowPunct/>
        <w:topLinePunct w:val="0"/>
        <w:autoSpaceDE/>
        <w:autoSpaceDN/>
        <w:bidi w:val="0"/>
        <w:adjustRightInd/>
        <w:snapToGrid/>
        <w:textAlignment w:val="auto"/>
        <w:rPr>
          <w:rFonts w:hint="eastAsia" w:ascii="黑体" w:hAnsi="黑体" w:eastAsia="黑体" w:cs="黑体"/>
          <w:b w:val="0"/>
          <w:bCs w:val="0"/>
          <w:sz w:val="28"/>
        </w:rPr>
      </w:pPr>
      <w:r>
        <w:rPr>
          <w:rFonts w:hint="eastAsia" w:ascii="黑体" w:hAnsi="黑体" w:eastAsia="黑体" w:cs="黑体"/>
          <w:b w:val="0"/>
          <w:bCs w:val="0"/>
          <w:sz w:val="28"/>
        </w:rPr>
        <w:t>（以下为签署页）</w:t>
      </w:r>
    </w:p>
    <w:p>
      <w:pPr>
        <w:rPr>
          <w:rFonts w:hint="eastAsia"/>
          <w:sz w:val="28"/>
        </w:rPr>
      </w:pPr>
    </w:p>
    <w:p>
      <w:pPr>
        <w:jc w:val="left"/>
        <w:rPr>
          <w:rFonts w:hint="eastAsia"/>
          <w:sz w:val="28"/>
          <w:u w:val="single"/>
        </w:rPr>
      </w:pPr>
      <w:r>
        <w:rPr>
          <w:rFonts w:hint="eastAsia"/>
          <w:sz w:val="28"/>
        </w:rPr>
        <w:t xml:space="preserve">    甲方：</w:t>
      </w:r>
      <w:r>
        <w:rPr>
          <w:rFonts w:hint="eastAsia"/>
          <w:sz w:val="28"/>
          <w:u w:val="single"/>
        </w:rPr>
        <w:t xml:space="preserve">杭州萧山国际机场有限公司   </w:t>
      </w:r>
      <w:r>
        <w:rPr>
          <w:rFonts w:hint="eastAsia"/>
          <w:sz w:val="28"/>
          <w:u w:val="single"/>
          <w:lang w:val="en-US" w:eastAsia="zh-CN"/>
        </w:rPr>
        <w:t xml:space="preserve">  </w:t>
      </w:r>
      <w:r>
        <w:rPr>
          <w:rFonts w:hint="eastAsia"/>
          <w:sz w:val="28"/>
          <w:u w:val="single"/>
        </w:rPr>
        <w:t xml:space="preserve"> （盖章）</w:t>
      </w:r>
      <w:r>
        <w:rPr>
          <w:rFonts w:hint="eastAsia"/>
          <w:sz w:val="28"/>
        </w:rPr>
        <w:t xml:space="preserve">                </w:t>
      </w:r>
    </w:p>
    <w:p>
      <w:pPr>
        <w:ind w:firstLine="570"/>
        <w:rPr>
          <w:rFonts w:hint="eastAsia"/>
          <w:sz w:val="28"/>
        </w:rPr>
      </w:pPr>
      <w:r>
        <w:rPr>
          <w:rFonts w:hint="eastAsia"/>
          <w:sz w:val="28"/>
        </w:rPr>
        <w:t>法定代表人：</w:t>
      </w:r>
      <w:r>
        <w:rPr>
          <w:rFonts w:hint="eastAsia"/>
          <w:sz w:val="28"/>
          <w:u w:val="single"/>
        </w:rPr>
        <w:t>　　　　  　　　      　（签名）</w:t>
      </w:r>
      <w:r>
        <w:rPr>
          <w:rFonts w:hint="eastAsia"/>
          <w:sz w:val="28"/>
        </w:rPr>
        <w:t>　</w:t>
      </w:r>
    </w:p>
    <w:p>
      <w:pPr>
        <w:ind w:firstLine="570"/>
        <w:rPr>
          <w:rFonts w:hint="eastAsia"/>
          <w:sz w:val="28"/>
        </w:rPr>
      </w:pPr>
      <w:r>
        <w:rPr>
          <w:rFonts w:hint="eastAsia"/>
          <w:sz w:val="28"/>
        </w:rPr>
        <w:t>或</w:t>
      </w:r>
    </w:p>
    <w:p>
      <w:pPr>
        <w:ind w:firstLine="570"/>
        <w:rPr>
          <w:rFonts w:hint="eastAsia"/>
          <w:sz w:val="28"/>
        </w:rPr>
      </w:pPr>
      <w:r>
        <w:rPr>
          <w:rFonts w:hint="eastAsia"/>
          <w:sz w:val="28"/>
        </w:rPr>
        <w:t>委托代理人：</w:t>
      </w:r>
      <w:r>
        <w:rPr>
          <w:rFonts w:hint="eastAsia"/>
          <w:sz w:val="28"/>
          <w:u w:val="single"/>
        </w:rPr>
        <w:t>　　　　  　　　      　（签名）</w:t>
      </w:r>
      <w:r>
        <w:rPr>
          <w:rFonts w:hint="eastAsia"/>
          <w:sz w:val="28"/>
        </w:rPr>
        <w:t>　</w:t>
      </w:r>
    </w:p>
    <w:p>
      <w:pPr>
        <w:ind w:firstLine="570"/>
        <w:rPr>
          <w:rFonts w:hint="eastAsia"/>
          <w:sz w:val="28"/>
        </w:rPr>
      </w:pPr>
      <w:r>
        <w:rPr>
          <w:rFonts w:hint="eastAsia"/>
          <w:sz w:val="28"/>
        </w:rPr>
        <w:t>签字日期：</w:t>
      </w:r>
    </w:p>
    <w:p>
      <w:pPr>
        <w:rPr>
          <w:rFonts w:hint="eastAsia"/>
          <w:sz w:val="28"/>
        </w:rPr>
      </w:pPr>
      <w:r>
        <w:rPr>
          <w:rFonts w:hint="eastAsia"/>
          <w:sz w:val="28"/>
        </w:rPr>
        <w:t xml:space="preserve">                                    年     月     日</w:t>
      </w:r>
    </w:p>
    <w:p>
      <w:pPr>
        <w:rPr>
          <w:rFonts w:hint="eastAsia"/>
          <w:sz w:val="28"/>
        </w:rPr>
      </w:pPr>
    </w:p>
    <w:p>
      <w:pPr>
        <w:rPr>
          <w:rFonts w:hint="eastAsia"/>
          <w:sz w:val="28"/>
        </w:rPr>
      </w:pPr>
    </w:p>
    <w:p>
      <w:pPr>
        <w:rPr>
          <w:rFonts w:hint="eastAsia"/>
          <w:sz w:val="28"/>
        </w:rPr>
      </w:pPr>
    </w:p>
    <w:p>
      <w:pPr>
        <w:rPr>
          <w:rFonts w:hint="eastAsia"/>
          <w:sz w:val="28"/>
          <w:u w:val="single"/>
        </w:rPr>
      </w:pPr>
      <w:r>
        <w:rPr>
          <w:rFonts w:hint="eastAsia"/>
          <w:sz w:val="28"/>
        </w:rPr>
        <w:t xml:space="preserve">     乙方：</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lang w:eastAsia="zh-CN"/>
        </w:rPr>
        <w:t>（</w:t>
      </w:r>
      <w:r>
        <w:rPr>
          <w:rFonts w:hint="eastAsia"/>
          <w:sz w:val="28"/>
          <w:u w:val="single"/>
        </w:rPr>
        <w:t>盖章）</w:t>
      </w:r>
      <w:r>
        <w:rPr>
          <w:rFonts w:hint="eastAsia"/>
          <w:sz w:val="28"/>
        </w:rPr>
        <w:t xml:space="preserve">                </w:t>
      </w:r>
    </w:p>
    <w:p>
      <w:pPr>
        <w:ind w:firstLine="570"/>
        <w:rPr>
          <w:rFonts w:hint="eastAsia"/>
          <w:sz w:val="28"/>
        </w:rPr>
      </w:pPr>
      <w:r>
        <w:rPr>
          <w:rFonts w:hint="eastAsia"/>
          <w:sz w:val="28"/>
        </w:rPr>
        <w:t>法定代表人：</w:t>
      </w:r>
      <w:r>
        <w:rPr>
          <w:rFonts w:hint="eastAsia"/>
          <w:sz w:val="28"/>
          <w:u w:val="single"/>
        </w:rPr>
        <w:t>　　　　  　　　      　（签名）</w:t>
      </w:r>
      <w:r>
        <w:rPr>
          <w:rFonts w:hint="eastAsia"/>
          <w:sz w:val="28"/>
        </w:rPr>
        <w:t>　</w:t>
      </w:r>
    </w:p>
    <w:p>
      <w:pPr>
        <w:ind w:firstLine="570"/>
        <w:rPr>
          <w:rFonts w:hint="eastAsia"/>
          <w:sz w:val="28"/>
        </w:rPr>
      </w:pPr>
      <w:r>
        <w:rPr>
          <w:rFonts w:hint="eastAsia"/>
          <w:sz w:val="28"/>
        </w:rPr>
        <w:t>或</w:t>
      </w:r>
    </w:p>
    <w:p>
      <w:pPr>
        <w:ind w:firstLine="570"/>
        <w:rPr>
          <w:rFonts w:hint="eastAsia"/>
          <w:sz w:val="28"/>
          <w:u w:val="single"/>
        </w:rPr>
      </w:pPr>
      <w:r>
        <w:rPr>
          <w:rFonts w:hint="eastAsia"/>
          <w:sz w:val="28"/>
        </w:rPr>
        <w:t>委托代理人：</w:t>
      </w:r>
      <w:r>
        <w:rPr>
          <w:rFonts w:hint="eastAsia"/>
          <w:sz w:val="28"/>
          <w:u w:val="single"/>
        </w:rPr>
        <w:t>　　　　  　　      　　（签名）</w:t>
      </w:r>
    </w:p>
    <w:p>
      <w:pPr>
        <w:ind w:firstLine="570"/>
        <w:rPr>
          <w:rFonts w:hint="eastAsia"/>
          <w:sz w:val="28"/>
          <w:u w:val="none"/>
        </w:rPr>
      </w:pPr>
      <w:r>
        <w:rPr>
          <w:rFonts w:hint="eastAsia"/>
          <w:sz w:val="28"/>
          <w:u w:val="none"/>
        </w:rPr>
        <w:t>签字日期：</w:t>
      </w:r>
    </w:p>
    <w:p>
      <w:pPr>
        <w:rPr>
          <w:rFonts w:hint="eastAsia"/>
          <w:sz w:val="28"/>
        </w:rPr>
      </w:pPr>
      <w:r>
        <w:rPr>
          <w:rFonts w:hint="eastAsia"/>
          <w:sz w:val="28"/>
        </w:rPr>
        <w:t xml:space="preserve">                                     年     月     日</w:t>
      </w:r>
    </w:p>
    <w:p>
      <w:pPr>
        <w:keepNext w:val="0"/>
        <w:keepLines w:val="0"/>
        <w:pageBreakBefore w:val="0"/>
        <w:widowControl w:val="0"/>
        <w:kinsoku/>
        <w:wordWrap/>
        <w:overflowPunct/>
        <w:topLinePunct w:val="0"/>
        <w:autoSpaceDE/>
        <w:autoSpaceDN/>
        <w:bidi w:val="0"/>
        <w:adjustRightInd w:val="0"/>
        <w:snapToGrid w:val="0"/>
        <w:spacing w:line="360" w:lineRule="auto"/>
        <w:ind w:left="4174" w:leftChars="512" w:hanging="3099" w:hangingChars="1409"/>
        <w:textAlignment w:val="auto"/>
        <w:rPr>
          <w:rFonts w:hint="eastAsia" w:ascii="宋体" w:hAnsi="宋体" w:eastAsia="宋体" w:cs="宋体"/>
          <w:color w:val="000000"/>
          <w:sz w:val="22"/>
          <w:szCs w:val="22"/>
          <w:highlight w:val="none"/>
        </w:rPr>
      </w:pPr>
    </w:p>
    <w:p>
      <w:pPr>
        <w:pStyle w:val="7"/>
        <w:rPr>
          <w:rFonts w:hint="eastAsia" w:ascii="宋体" w:hAnsi="宋体" w:eastAsia="宋体" w:cs="宋体"/>
          <w:color w:val="000000"/>
          <w:sz w:val="22"/>
          <w:szCs w:val="22"/>
          <w:highlight w:val="none"/>
        </w:rPr>
      </w:pPr>
    </w:p>
    <w:p>
      <w:pPr>
        <w:widowControl/>
        <w:jc w:val="left"/>
        <w:rPr>
          <w:rFonts w:ascii="宋体" w:hAnsi="宋体" w:cs="Courier New"/>
          <w:b/>
          <w:bCs/>
          <w:color w:val="000000"/>
          <w:sz w:val="24"/>
          <w:szCs w:val="24"/>
          <w:highlight w:val="none"/>
        </w:rPr>
      </w:pPr>
    </w:p>
    <w:p>
      <w:pPr>
        <w:keepNext w:val="0"/>
        <w:keepLines w:val="0"/>
        <w:pageBreakBefore/>
        <w:widowControl w:val="0"/>
        <w:kinsoku/>
        <w:wordWrap/>
        <w:overflowPunct/>
        <w:topLinePunct w:val="0"/>
        <w:autoSpaceDE/>
        <w:autoSpaceDN/>
        <w:bidi w:val="0"/>
        <w:adjustRightInd/>
        <w:snapToGrid/>
        <w:spacing w:line="360" w:lineRule="exact"/>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w:t>
      </w:r>
    </w:p>
    <w:p>
      <w:pPr>
        <w:pStyle w:val="27"/>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黑体" w:hAnsi="黑体" w:eastAsia="黑体" w:cs="黑体"/>
          <w:b/>
          <w:color w:val="auto"/>
          <w:sz w:val="36"/>
          <w:szCs w:val="36"/>
        </w:rPr>
      </w:pPr>
      <w:r>
        <w:rPr>
          <w:rFonts w:hint="eastAsia" w:ascii="黑体" w:hAnsi="黑体" w:eastAsia="黑体" w:cs="黑体"/>
          <w:b/>
          <w:color w:val="auto"/>
          <w:sz w:val="36"/>
          <w:szCs w:val="36"/>
        </w:rPr>
        <w:t>杭州萧山国际机场有限公司廉洁自律承诺书</w:t>
      </w:r>
    </w:p>
    <w:p>
      <w:pPr>
        <w:pStyle w:val="27"/>
        <w:spacing w:line="560" w:lineRule="exact"/>
        <w:ind w:firstLine="721"/>
        <w:rPr>
          <w:rFonts w:hint="eastAsia" w:ascii="黑体" w:hAnsi="黑体" w:eastAsia="黑体" w:cs="黑体"/>
          <w:b/>
          <w:color w:val="auto"/>
          <w:sz w:val="36"/>
          <w:szCs w:val="36"/>
        </w:rPr>
      </w:pPr>
    </w:p>
    <w:p>
      <w:pPr>
        <w:pStyle w:val="28"/>
        <w:adjustRightInd w:val="0"/>
        <w:snapToGrid w:val="0"/>
        <w:ind w:firstLine="480"/>
        <w:jc w:val="left"/>
        <w:rPr>
          <w:rFonts w:ascii="宋体" w:hAnsi="宋体"/>
          <w:b/>
          <w:sz w:val="24"/>
          <w:szCs w:val="24"/>
        </w:rPr>
      </w:pPr>
    </w:p>
    <w:p>
      <w:pPr>
        <w:pStyle w:val="28"/>
        <w:adjustRightInd w:val="0"/>
        <w:snapToGrid w:val="0"/>
        <w:ind w:firstLine="0" w:firstLineChars="0"/>
        <w:jc w:val="left"/>
        <w:rPr>
          <w:rFonts w:ascii="宋体" w:hAnsi="宋体"/>
          <w:b/>
          <w:sz w:val="30"/>
          <w:szCs w:val="30"/>
        </w:rPr>
      </w:pPr>
      <w:r>
        <w:rPr>
          <w:rFonts w:hint="eastAsia" w:ascii="宋体" w:hAnsi="宋体"/>
          <w:b/>
          <w:sz w:val="30"/>
          <w:szCs w:val="30"/>
        </w:rPr>
        <w:t>杭州萧山国际机场有限公司：</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我单位响应贵公司项目招标要求，参加项目投标。在投标过程中及中标后，我们将严格遵守国家法律法规和贵司招标文件要求，并郑重作出如下承诺和保证：</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二、不以任何名义为贵公司有关人员或项目第三方人员报销应由贵公司或个人支付的费用；</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三、不向贵公司有关人员或项目第三方人员提供宴请、旅游、和健身娱乐等活动；</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四、不为贵公司有关人员或项目第三方人员出国（境）、旅游等提供方便；</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五、不为贵公司有关人员或项目第三方人员个人装修住房、婚丧嫁娶、配偶子女工作安排等提供好处或便利条件；</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六、严格遵守国家招标投标法、</w:t>
      </w:r>
      <w:r>
        <w:rPr>
          <w:rFonts w:hint="eastAsia" w:ascii="仿宋_GB2312" w:hAnsi="仿宋_GB2312" w:eastAsia="仿宋_GB2312" w:cs="仿宋_GB2312"/>
          <w:sz w:val="30"/>
          <w:szCs w:val="30"/>
          <w:lang w:eastAsia="zh-Hans"/>
        </w:rPr>
        <w:t>民法典</w:t>
      </w:r>
      <w:r>
        <w:rPr>
          <w:rFonts w:hint="eastAsia" w:ascii="仿宋_GB2312" w:hAnsi="仿宋_GB2312" w:eastAsia="仿宋_GB2312" w:cs="仿宋_GB2312"/>
          <w:sz w:val="30"/>
          <w:szCs w:val="30"/>
        </w:rPr>
        <w:t>等法律规定，诚实守信，合法经营，坚决杜绝各种违法违纪行为。</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八、如违反上述廉洁自律承诺，贵公司有权：</w:t>
      </w:r>
    </w:p>
    <w:p>
      <w:pPr>
        <w:pStyle w:val="28"/>
        <w:numPr>
          <w:ilvl w:val="0"/>
          <w:numId w:val="10"/>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立即取消我单位投标、中标或在建项目的实施资格；</w:t>
      </w:r>
    </w:p>
    <w:p>
      <w:pPr>
        <w:pStyle w:val="28"/>
        <w:numPr>
          <w:ilvl w:val="0"/>
          <w:numId w:val="10"/>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拒绝我单位在一定时期内进入贵公司进行项目建设或其它经营活动；</w:t>
      </w:r>
    </w:p>
    <w:p>
      <w:pPr>
        <w:pStyle w:val="28"/>
        <w:numPr>
          <w:ilvl w:val="0"/>
          <w:numId w:val="10"/>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由此引起的相应损失均由我单位承担。</w:t>
      </w:r>
    </w:p>
    <w:p>
      <w:pPr>
        <w:pStyle w:val="28"/>
        <w:adjustRightInd w:val="0"/>
        <w:snapToGrid w:val="0"/>
        <w:spacing w:line="560" w:lineRule="exact"/>
        <w:ind w:firstLine="600"/>
        <w:jc w:val="left"/>
        <w:rPr>
          <w:rFonts w:hint="eastAsia" w:ascii="仿宋_GB2312" w:hAnsi="仿宋_GB2312" w:eastAsia="仿宋_GB2312" w:cs="仿宋_GB2312"/>
          <w:sz w:val="30"/>
          <w:szCs w:val="30"/>
        </w:rPr>
      </w:pPr>
    </w:p>
    <w:p>
      <w:pPr>
        <w:pStyle w:val="28"/>
        <w:adjustRightInd w:val="0"/>
        <w:snapToGrid w:val="0"/>
        <w:spacing w:line="560" w:lineRule="exact"/>
        <w:ind w:firstLine="600"/>
        <w:jc w:val="left"/>
        <w:rPr>
          <w:rFonts w:hint="eastAsia" w:ascii="仿宋_GB2312" w:hAnsi="仿宋_GB2312" w:eastAsia="仿宋_GB2312" w:cs="仿宋_GB2312"/>
          <w:sz w:val="30"/>
          <w:szCs w:val="30"/>
        </w:rPr>
      </w:pPr>
    </w:p>
    <w:p>
      <w:pPr>
        <w:pStyle w:val="28"/>
        <w:adjustRightInd w:val="0"/>
        <w:snapToGrid w:val="0"/>
        <w:spacing w:line="560" w:lineRule="exact"/>
        <w:ind w:firstLine="600"/>
        <w:jc w:val="left"/>
        <w:rPr>
          <w:rFonts w:hint="eastAsia" w:ascii="仿宋_GB2312" w:hAnsi="仿宋_GB2312" w:eastAsia="仿宋_GB2312" w:cs="仿宋_GB2312"/>
          <w:sz w:val="30"/>
          <w:szCs w:val="30"/>
        </w:rPr>
      </w:pP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承诺单位（盖章）：            </w:t>
      </w:r>
    </w:p>
    <w:p>
      <w:pPr>
        <w:pStyle w:val="28"/>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28"/>
        <w:adjustRightInd w:val="0"/>
        <w:snapToGrid w:val="0"/>
        <w:spacing w:line="560" w:lineRule="exact"/>
        <w:ind w:firstLine="601"/>
        <w:jc w:val="left"/>
        <w:rPr>
          <w:rFonts w:hint="eastAsia" w:ascii="仿宋_GB2312" w:hAnsi="仿宋_GB2312" w:eastAsia="仿宋_GB2312" w:cs="仿宋_GB2312"/>
          <w:b/>
          <w:sz w:val="30"/>
          <w:szCs w:val="30"/>
        </w:rPr>
      </w:pPr>
    </w:p>
    <w:p>
      <w:pPr>
        <w:pStyle w:val="15"/>
        <w:spacing w:before="0" w:after="0" w:line="560" w:lineRule="exact"/>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 xml:space="preserve">                           年     月     日</w:t>
      </w:r>
    </w:p>
    <w:p>
      <w:pPr>
        <w:rPr>
          <w:sz w:val="30"/>
          <w:szCs w:val="30"/>
        </w:rPr>
      </w:pPr>
    </w:p>
    <w:p>
      <w:pPr>
        <w:rPr>
          <w:sz w:val="30"/>
          <w:szCs w:val="30"/>
        </w:rPr>
      </w:pPr>
    </w:p>
    <w:p>
      <w:pPr>
        <w:rPr>
          <w:sz w:val="30"/>
          <w:szCs w:val="30"/>
        </w:rPr>
      </w:pPr>
    </w:p>
    <w:p>
      <w:pPr>
        <w:keepNext w:val="0"/>
        <w:keepLines w:val="0"/>
        <w:pageBreakBefore/>
        <w:widowControl w:val="0"/>
        <w:numPr>
          <w:ilvl w:val="0"/>
          <w:numId w:val="0"/>
        </w:numPr>
        <w:kinsoku/>
        <w:wordWrap/>
        <w:overflowPunct/>
        <w:topLinePunct w:val="0"/>
        <w:autoSpaceDE/>
        <w:autoSpaceDN/>
        <w:bidi w:val="0"/>
        <w:adjustRightInd/>
        <w:snapToGrid/>
        <w:jc w:val="left"/>
        <w:textAlignment w:val="auto"/>
        <w:rPr>
          <w:rFonts w:hint="eastAsia" w:ascii="宋体" w:hAnsi="宋体" w:cs="宋体"/>
          <w:sz w:val="22"/>
          <w:highlight w:val="none"/>
        </w:rPr>
      </w:pPr>
      <w:r>
        <w:rPr>
          <w:rFonts w:hint="eastAsia" w:ascii="宋体" w:hAnsi="宋体" w:cs="宋体"/>
          <w:sz w:val="22"/>
          <w:highlight w:val="none"/>
        </w:rPr>
        <w:t>附件</w:t>
      </w:r>
      <w:r>
        <w:rPr>
          <w:rFonts w:hint="eastAsia" w:ascii="宋体" w:hAnsi="宋体" w:cs="宋体"/>
          <w:sz w:val="22"/>
          <w:highlight w:val="none"/>
          <w:lang w:val="en-US" w:eastAsia="zh-CN"/>
        </w:rPr>
        <w:t>二</w:t>
      </w:r>
      <w:r>
        <w:rPr>
          <w:rFonts w:hint="eastAsia" w:ascii="宋体" w:hAnsi="宋体" w:cs="宋体"/>
          <w:sz w:val="22"/>
          <w:highlight w:val="none"/>
        </w:rPr>
        <w:t>：</w:t>
      </w:r>
    </w:p>
    <w:p>
      <w:pPr>
        <w:spacing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保密承诺书</w:t>
      </w:r>
    </w:p>
    <w:p>
      <w:pPr>
        <w:spacing w:line="560" w:lineRule="exact"/>
        <w:jc w:val="center"/>
        <w:rPr>
          <w:rFonts w:hint="eastAsia" w:ascii="方正小标宋简体" w:hAnsi="方正小标宋简体" w:eastAsia="方正小标宋简体" w:cs="方正小标宋简体"/>
          <w:b/>
          <w:bCs/>
          <w:sz w:val="36"/>
          <w:szCs w:val="36"/>
        </w:rPr>
      </w:pPr>
    </w:p>
    <w:p>
      <w:pPr>
        <w:snapToGrid w:val="0"/>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鉴于我方愿成为杭州萧山国际机场有限公司（以下简称“机场公司”）的供应商或潜在供应商候选人，为机场公司提供</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1.1商业秘密是指机场公司（包括机场公司关联公司）一切专有、不对外公开的资料和信息。包括但不限于以下方面：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（1）经营信息（发展规划、运营状况、客户资源、货源情报、投融资计划、开发计划、标书等）；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（2）管理信息（管理方法、管理制度、员工管理、合同管理、纠纷管理等）；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（3）产品及技术信息（设计及图纸、样品及服务、技术方案、质量标准、技术标准、计算机程序等）；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（4）财务信息（财务收支、固定资产、流动资金、成本核算等）；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（5）我方单独或机场公司（包括机场公司关联公司）和我方共同为机场公司开发、设计、生产的产品、资料及相关信息；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（6）其他机场公司未对外公开的有关营运、计划、航班数据、标准、开发、生产、经营、质量管理控制和租赁的资料和数据等信息以及对供应商的管理文件。</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1.3、对于上述提及的商业秘密，不能仅因为公开发表的文章或资讯中包含其内容，就认为是可对外公开的特殊情况。</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1.4、以下资料不属于本承诺所指的商业秘密：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（1）我方从机场公司拟获悉之前已持有的我方无需承担保密义务的机场公司有关资料(但通过其它违约或侵权行为而获得的资料除外)；</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（2）已经公开或已成为常识性的资料，且该等公开并非因违反本承诺所致。</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（1）披露、使用或者允许他人以不正当手段获取的商业秘密；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（2）为机场公司以外的第三人窃取、刺探、收买、非法提供商业秘密。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（3）在电子公告系统、聊天系统、电子邮箱、论坛等计算机网络系统上传递、转发、抄送、发布、谈论和传播商业秘密；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（4）在私人交往和通信中，向亲属、朋友以及与工作无关人员泄露商业秘密，或在公共场所谈论商业秘密；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（5）擅自将属于商业秘密的文件、资料和其他物品携带、传递、寄运出机场公司办公场所或国（境）外。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（6）未经机场公司同意就以任何方式私自保存、截留含有机场公司商业秘密的任何形式资料、文件和物品的复印件、复制品、副本。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（7）将含有机场公司商业秘密的产品、技术或其他资料、信息向第三人销售、使用或以任何方式提供。</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8.1因我方违反保密义务的行为造成机场公司的一切损失，我方应当全部予以赔偿。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8.2如我方违反本承诺书下保密义务，应当承担违约责任，赔偿损失</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本承诺书适用中华人民共和国法律，如因履行本承诺书发生争议，则双方均有权向机场公司所在地法院提起诉讼。</w:t>
      </w:r>
    </w:p>
    <w:p>
      <w:pPr>
        <w:pStyle w:val="2"/>
        <w:numPr>
          <w:ilvl w:val="0"/>
          <w:numId w:val="0"/>
        </w:numPr>
        <w:rPr>
          <w:rFonts w:hint="eastAsia"/>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承诺单位</w:t>
      </w:r>
      <w:r>
        <w:rPr>
          <w:rFonts w:hint="eastAsia" w:ascii="仿宋_GB2312" w:hAnsi="仿宋_GB2312" w:eastAsia="仿宋_GB2312" w:cs="仿宋_GB2312"/>
          <w:sz w:val="30"/>
          <w:szCs w:val="30"/>
        </w:rPr>
        <w:t>(盖章):</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napToGrid w:val="0"/>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日期：     年   月   日</w:t>
      </w:r>
    </w:p>
    <w:p>
      <w:pPr>
        <w:keepNext w:val="0"/>
        <w:keepLines w:val="0"/>
        <w:pageBreakBefore/>
        <w:widowControl w:val="0"/>
        <w:numPr>
          <w:ilvl w:val="0"/>
          <w:numId w:val="0"/>
        </w:numPr>
        <w:kinsoku/>
        <w:wordWrap/>
        <w:overflowPunct/>
        <w:topLinePunct w:val="0"/>
        <w:autoSpaceDE/>
        <w:autoSpaceDN/>
        <w:bidi w:val="0"/>
        <w:adjustRightInd/>
        <w:snapToGrid/>
        <w:jc w:val="left"/>
        <w:textAlignment w:val="auto"/>
        <w:rPr>
          <w:rFonts w:hint="eastAsia" w:ascii="宋体" w:hAnsi="宋体" w:cs="宋体"/>
          <w:sz w:val="22"/>
          <w:highlight w:val="none"/>
        </w:rPr>
      </w:pPr>
      <w:r>
        <w:rPr>
          <w:rFonts w:hint="eastAsia" w:ascii="宋体" w:hAnsi="宋体" w:cs="宋体"/>
          <w:sz w:val="22"/>
          <w:highlight w:val="none"/>
        </w:rPr>
        <w:t>附件</w:t>
      </w:r>
      <w:r>
        <w:rPr>
          <w:rFonts w:hint="eastAsia" w:ascii="宋体" w:hAnsi="宋体" w:cs="宋体"/>
          <w:sz w:val="22"/>
          <w:highlight w:val="none"/>
          <w:lang w:val="en-US" w:eastAsia="zh-CN"/>
        </w:rPr>
        <w:t>三</w:t>
      </w:r>
      <w:r>
        <w:rPr>
          <w:rFonts w:hint="eastAsia" w:ascii="宋体" w:hAnsi="宋体" w:cs="宋体"/>
          <w:sz w:val="22"/>
          <w:highlight w:val="none"/>
        </w:rPr>
        <w:t>：</w:t>
      </w:r>
    </w:p>
    <w:p>
      <w:pPr>
        <w:numPr>
          <w:ilvl w:val="0"/>
          <w:numId w:val="0"/>
        </w:numPr>
        <w:jc w:val="center"/>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疫情防控责任书</w:t>
      </w:r>
    </w:p>
    <w:p>
      <w:pPr>
        <w:numPr>
          <w:ilvl w:val="0"/>
          <w:numId w:val="0"/>
        </w:numPr>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【】公司按照以下条款严格管理，【】公司的法定代表人为疫情防控承担者，承担疫情防控责任。机场公司所属【】部门有权对乙方管理情况进行监督。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一、【】公司负责监督员工在岗防护情况，做到防护到位。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二、【】公司要求员工严禁接触涉疫区域内的高危人员或物品，避免因管理不当导致的安全风险。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三、【】公司员工做到适宜接种全员接种疫苗，新进员工需接种疫苗后上岗。并做好员工疫苗接种的管控工作，避免因员工未接种疫苗导致的安全风险。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四、</w:t>
      </w:r>
      <w:r>
        <w:rPr>
          <w:rFonts w:hint="eastAsia" w:ascii="宋体" w:hAnsi="宋体" w:eastAsia="宋体" w:cs="宋体"/>
          <w:sz w:val="22"/>
          <w:szCs w:val="22"/>
          <w:highlight w:val="none"/>
          <w:lang w:val="en-US" w:eastAsia="zh-CN"/>
        </w:rPr>
        <w:t>【】公司需根据机场公司要求，及时安排员工开展核酸检测工作，核酸检测做到“应检尽检”。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五、</w:t>
      </w:r>
      <w:r>
        <w:rPr>
          <w:rFonts w:hint="eastAsia" w:ascii="宋体" w:hAnsi="宋体" w:eastAsia="宋体" w:cs="宋体"/>
          <w:sz w:val="22"/>
          <w:szCs w:val="22"/>
          <w:highlight w:val="none"/>
          <w:lang w:val="en-US" w:eastAsia="zh-CN"/>
        </w:rPr>
        <w:t>【】公司需做到培训到位及防控要求传达到位，定期对员工开展疫情防控培训，培训内容包括但不限于个人防护要求及近期国内疫情情况通报等，及时传达公司防控相关要求。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七、【】公司需做好员工身体状况动态监控，掌握职工健康状况，制定应急预案，如遇发热、咳嗽等症状者要求主动报告，并做好防护及送医措施。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八、【】公司需做好做好洗手液、口罩、温度计、75%酒精、含氯消毒液等药械物资准备。</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九、若因</w:t>
      </w:r>
      <w:r>
        <w:rPr>
          <w:rFonts w:hint="eastAsia" w:ascii="宋体" w:hAnsi="宋体" w:eastAsia="宋体" w:cs="宋体"/>
          <w:sz w:val="22"/>
          <w:szCs w:val="22"/>
          <w:highlight w:val="none"/>
          <w:lang w:val="en-US" w:eastAsia="zh-CN"/>
        </w:rPr>
        <w:t>【】公司及其员工</w:t>
      </w:r>
      <w:r>
        <w:rPr>
          <w:rFonts w:hint="eastAsia" w:ascii="宋体" w:hAnsi="宋体" w:eastAsia="宋体" w:cs="宋体"/>
          <w:color w:val="000000"/>
          <w:sz w:val="22"/>
          <w:szCs w:val="22"/>
          <w:highlight w:val="none"/>
          <w:lang w:val="en-US" w:eastAsia="zh-CN"/>
        </w:rPr>
        <w:t>原因导致新型冠状肺炎疫情传播，则</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承担由此产生的实际损失。而且机场公司有权解除合同，机场公司有权向</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w:t>
      </w:r>
    </w:p>
    <w:p>
      <w:pPr>
        <w:jc w:val="center"/>
        <w:rPr>
          <w:rFonts w:eastAsia="黑体" w:cs="Calibri"/>
          <w:kern w:val="0"/>
          <w:sz w:val="32"/>
        </w:rPr>
      </w:pPr>
    </w:p>
    <w:p>
      <w:pPr>
        <w:jc w:val="center"/>
        <w:rPr>
          <w:rFonts w:eastAsia="黑体" w:cs="Calibri"/>
          <w:kern w:val="0"/>
          <w:sz w:val="32"/>
        </w:rPr>
      </w:pPr>
    </w:p>
    <w:p>
      <w:pPr>
        <w:jc w:val="center"/>
        <w:rPr>
          <w:rFonts w:eastAsia="黑体" w:cs="Calibri"/>
          <w:kern w:val="0"/>
          <w:sz w:val="32"/>
        </w:rPr>
      </w:pPr>
    </w:p>
    <w:p>
      <w:pPr>
        <w:jc w:val="center"/>
        <w:rPr>
          <w:rFonts w:eastAsia="黑体" w:cs="Calibri"/>
          <w:kern w:val="0"/>
          <w:sz w:val="32"/>
        </w:rPr>
      </w:pPr>
    </w:p>
    <w:p>
      <w:pPr>
        <w:jc w:val="center"/>
        <w:rPr>
          <w:rFonts w:eastAsia="黑体" w:cs="Calibri"/>
          <w:kern w:val="0"/>
          <w:sz w:val="32"/>
        </w:rPr>
      </w:pPr>
    </w:p>
    <w:p>
      <w:pPr>
        <w:jc w:val="center"/>
        <w:rPr>
          <w:rFonts w:eastAsia="黑体" w:cs="Calibri"/>
          <w:kern w:val="0"/>
          <w:sz w:val="32"/>
        </w:rPr>
      </w:pPr>
      <w:r>
        <w:rPr>
          <w:rFonts w:eastAsia="黑体" w:cs="Calibri"/>
          <w:kern w:val="0"/>
          <w:sz w:val="32"/>
        </w:rPr>
        <w:t>第</w:t>
      </w:r>
      <w:r>
        <w:rPr>
          <w:rFonts w:hint="eastAsia" w:eastAsia="黑体" w:cs="Calibri"/>
          <w:kern w:val="0"/>
          <w:sz w:val="32"/>
        </w:rPr>
        <w:t>五</w:t>
      </w:r>
      <w:r>
        <w:rPr>
          <w:rFonts w:eastAsia="黑体" w:cs="Calibri"/>
          <w:kern w:val="0"/>
          <w:sz w:val="32"/>
        </w:rPr>
        <w:t>章  评标方法及标准</w:t>
      </w:r>
      <w:bookmarkEnd w:id="116"/>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Ansi="宋体" w:cs="Calibri"/>
          <w:bCs/>
          <w:sz w:val="22"/>
          <w:szCs w:val="22"/>
        </w:rPr>
      </w:pPr>
      <w:bookmarkStart w:id="117"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9"/>
        <w:spacing w:line="360" w:lineRule="exact"/>
        <w:rPr>
          <w:rFonts w:hAnsi="宋体" w:cs="Calibri"/>
          <w:b/>
          <w:bCs/>
          <w:sz w:val="22"/>
          <w:szCs w:val="22"/>
        </w:rPr>
      </w:pPr>
      <w:r>
        <w:rPr>
          <w:rFonts w:hAnsi="宋体" w:cs="Calibri"/>
          <w:b/>
          <w:bCs/>
          <w:sz w:val="22"/>
          <w:szCs w:val="22"/>
        </w:rPr>
        <w:t>一、评标原则</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Ansi="宋体" w:cs="Calibri"/>
          <w:sz w:val="22"/>
          <w:szCs w:val="22"/>
        </w:rPr>
      </w:pPr>
      <w:r>
        <w:rPr>
          <w:rFonts w:hAnsi="宋体" w:cs="Calibri"/>
          <w:bCs/>
          <w:sz w:val="22"/>
          <w:szCs w:val="22"/>
        </w:rPr>
        <w:t>评标应遵循公平、公正、科学、择优的原则。</w:t>
      </w:r>
    </w:p>
    <w:p>
      <w:pPr>
        <w:pStyle w:val="9"/>
        <w:spacing w:line="360" w:lineRule="exact"/>
        <w:rPr>
          <w:rFonts w:hAnsi="宋体" w:cs="Calibri"/>
          <w:b/>
          <w:bCs/>
          <w:sz w:val="22"/>
          <w:szCs w:val="22"/>
        </w:rPr>
      </w:pPr>
      <w:r>
        <w:rPr>
          <w:rFonts w:hAnsi="宋体" w:cs="Calibri"/>
          <w:b/>
          <w:bCs/>
          <w:sz w:val="22"/>
          <w:szCs w:val="22"/>
        </w:rPr>
        <w:t>二、评标组织</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9"/>
        <w:spacing w:line="360" w:lineRule="exact"/>
        <w:rPr>
          <w:rFonts w:hAnsi="宋体" w:cs="Calibri"/>
          <w:b/>
          <w:bCs/>
          <w:sz w:val="22"/>
          <w:szCs w:val="22"/>
        </w:rPr>
      </w:pPr>
      <w:r>
        <w:rPr>
          <w:rFonts w:hAnsi="宋体" w:cs="Calibri"/>
          <w:b/>
          <w:bCs/>
          <w:sz w:val="22"/>
          <w:szCs w:val="22"/>
        </w:rPr>
        <w:t>三、投标文件的评审</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Ansi="宋体" w:cs="Calibri"/>
          <w:b/>
          <w:sz w:val="22"/>
          <w:szCs w:val="22"/>
        </w:rPr>
      </w:pPr>
      <w:r>
        <w:rPr>
          <w:rFonts w:hAnsi="宋体" w:cs="Calibri"/>
          <w:b/>
          <w:sz w:val="22"/>
          <w:szCs w:val="22"/>
        </w:rPr>
        <w:t>3.1 符合性评审</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3、投标文件未按规定的格式填写，内容不全或关键字迹模糊、无法辨认的；</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6、不响应招标文件规定的实质性要求</w:t>
      </w:r>
      <w:r>
        <w:rPr>
          <w:rFonts w:hint="eastAsia" w:ascii="宋体" w:hAnsi="宋体" w:cs="Calibri"/>
          <w:sz w:val="22"/>
        </w:rPr>
        <w:t>；</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7、投标人以他人名义投标、或与他人串通投标、或以行贿手段谋取中标，或弄虚作假的；</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hint="eastAsia" w:ascii="宋体" w:hAnsi="宋体" w:cs="Calibri"/>
          <w:sz w:val="22"/>
        </w:rPr>
        <w:t>8</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评标委员会按以下原则对通过符合性审查的投标文件报价进行算术性修正：</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投标文件中的大写金额与小写金额不一致的，以大写金额为准；</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当通过符合性评审的单位少于三家时（不包括三家），应由评标委员会确认是否具有竞争性，如果有竞争性，则评标继续进行。</w:t>
      </w:r>
    </w:p>
    <w:p>
      <w:pPr>
        <w:pStyle w:val="9"/>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3.2.1 在评标过程中，评标委员会可以书面形式要求投标人对所提交的投标文件中不明确的内容进行书面澄清、说明或者补正。评标委员会不接受投标人主动提出的澄清、说明或补正。</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3.2.2澄清、说明和补正不得改变投标文件的实质性内容（算术性错误修正的除外）。投标人的书面澄清、说明和补正属于投标文件的组成部分。</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ascii="宋体" w:hAnsi="宋体" w:cs="Calibri"/>
          <w:sz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ascii="宋体" w:hAnsi="宋体" w:cs="Calibri"/>
          <w:sz w:val="22"/>
        </w:rPr>
      </w:pPr>
      <w:r>
        <w:rPr>
          <w:rFonts w:hint="eastAsia" w:ascii="宋体" w:hAnsi="宋体" w:cs="Calibri"/>
          <w:sz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9"/>
        <w:adjustRightInd w:val="0"/>
        <w:snapToGrid w:val="0"/>
        <w:spacing w:line="360" w:lineRule="exact"/>
        <w:ind w:firstLine="442" w:firstLineChars="200"/>
        <w:rPr>
          <w:rFonts w:hAnsi="宋体"/>
          <w:b/>
          <w:color w:val="000000"/>
          <w:sz w:val="22"/>
          <w:szCs w:val="22"/>
        </w:rPr>
      </w:pPr>
      <w:r>
        <w:rPr>
          <w:rFonts w:hint="eastAsia" w:hAnsi="宋体"/>
          <w:b/>
          <w:color w:val="000000"/>
          <w:sz w:val="22"/>
          <w:szCs w:val="22"/>
        </w:rPr>
        <w:t>每个投标人最终得分=商务报价分+资信及技术分</w:t>
      </w:r>
    </w:p>
    <w:p>
      <w:pPr>
        <w:spacing w:line="360" w:lineRule="exact"/>
        <w:ind w:firstLine="442" w:firstLineChars="200"/>
        <w:rPr>
          <w:rFonts w:cs="宋体"/>
          <w:b/>
          <w:sz w:val="22"/>
        </w:rPr>
      </w:pPr>
      <w:r>
        <w:rPr>
          <w:rFonts w:cs="宋体"/>
          <w:b/>
          <w:sz w:val="22"/>
        </w:rPr>
        <w:t>1.投标文件的资信评审（</w:t>
      </w:r>
      <w:r>
        <w:rPr>
          <w:rFonts w:hint="eastAsia" w:cs="宋体"/>
          <w:b/>
          <w:sz w:val="22"/>
          <w:lang w:val="en-US" w:eastAsia="zh-CN"/>
        </w:rPr>
        <w:t>3</w:t>
      </w:r>
      <w:r>
        <w:rPr>
          <w:rFonts w:cs="宋体"/>
          <w:b/>
          <w:sz w:val="22"/>
        </w:rPr>
        <w:t>分）</w:t>
      </w:r>
    </w:p>
    <w:p>
      <w:pPr>
        <w:spacing w:line="360" w:lineRule="exact"/>
        <w:ind w:firstLine="440" w:firstLineChars="200"/>
        <w:rPr>
          <w:rFonts w:cs="宋体"/>
          <w:sz w:val="22"/>
        </w:rPr>
      </w:pPr>
      <w:r>
        <w:rPr>
          <w:rFonts w:cs="宋体"/>
          <w:sz w:val="22"/>
        </w:rPr>
        <w:t>该评分分值由评标委员会成员统一打分（具体分值设定详见下表）。</w:t>
      </w:r>
    </w:p>
    <w:tbl>
      <w:tblPr>
        <w:tblStyle w:val="20"/>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 w:hRule="atLeast"/>
          <w:tblHeader/>
          <w:jc w:val="center"/>
        </w:trPr>
        <w:tc>
          <w:tcPr>
            <w:tcW w:w="8505" w:type="dxa"/>
            <w:gridSpan w:val="2"/>
            <w:vAlign w:val="center"/>
          </w:tcPr>
          <w:p>
            <w:pPr>
              <w:snapToGrid w:val="0"/>
              <w:jc w:val="center"/>
              <w:rPr>
                <w:rFonts w:cs="Arial"/>
                <w:sz w:val="22"/>
              </w:rPr>
            </w:pPr>
            <w:r>
              <w:rPr>
                <w:rFonts w:cs="Arial"/>
                <w:sz w:val="22"/>
              </w:rPr>
              <w:t>评分细则</w:t>
            </w:r>
          </w:p>
        </w:tc>
        <w:tc>
          <w:tcPr>
            <w:tcW w:w="1134" w:type="dxa"/>
            <w:vAlign w:val="center"/>
          </w:tcPr>
          <w:p>
            <w:pPr>
              <w:pStyle w:val="23"/>
              <w:snapToGrid w:val="0"/>
              <w:spacing w:line="240" w:lineRule="auto"/>
              <w:rPr>
                <w:rFonts w:hint="default" w:ascii="Calibri" w:hAnsi="Calibri" w:eastAsia="宋体" w:cs="宋体"/>
                <w:spacing w:val="-6"/>
                <w:sz w:val="22"/>
                <w:szCs w:val="22"/>
              </w:rPr>
            </w:pPr>
            <w:r>
              <w:rPr>
                <w:rFonts w:hint="default" w:ascii="Calibri" w:hAnsi="Calibri" w:eastAsia="宋体" w:cs="宋体"/>
                <w:spacing w:val="-6"/>
                <w:sz w:val="22"/>
                <w:szCs w:val="22"/>
              </w:rPr>
              <w:t>分值范围</w:t>
            </w:r>
            <w:r>
              <w:rPr>
                <w:rFonts w:ascii="Calibri" w:hAnsi="Calibri" w:eastAsia="宋体" w:cs="宋体"/>
                <w:spacing w:val="-6"/>
                <w:sz w:val="22"/>
                <w:szCs w:val="22"/>
              </w:rPr>
              <w:t>（</w:t>
            </w:r>
            <w:r>
              <w:rPr>
                <w:rFonts w:hint="eastAsia" w:ascii="Calibri" w:hAnsi="Calibri" w:eastAsia="宋体" w:cs="宋体"/>
                <w:spacing w:val="-6"/>
                <w:sz w:val="22"/>
                <w:szCs w:val="22"/>
                <w:lang w:val="en-US" w:eastAsia="zh-CN"/>
              </w:rPr>
              <w:t>3</w:t>
            </w:r>
            <w:r>
              <w:rPr>
                <w:rFonts w:ascii="Calibri" w:hAnsi="Calibri" w:eastAsia="宋体" w:cs="宋体"/>
                <w:spacing w:val="-6"/>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blHeader/>
          <w:jc w:val="center"/>
        </w:trPr>
        <w:tc>
          <w:tcPr>
            <w:tcW w:w="709" w:type="dxa"/>
            <w:vAlign w:val="center"/>
          </w:tcPr>
          <w:p>
            <w:pPr>
              <w:snapToGrid w:val="0"/>
              <w:jc w:val="center"/>
              <w:rPr>
                <w:rFonts w:cs="宋体"/>
                <w:sz w:val="22"/>
              </w:rPr>
            </w:pPr>
            <w:r>
              <w:rPr>
                <w:rFonts w:hint="eastAsia" w:cs="宋体"/>
                <w:sz w:val="22"/>
              </w:rPr>
              <w:t>1</w:t>
            </w:r>
          </w:p>
        </w:tc>
        <w:tc>
          <w:tcPr>
            <w:tcW w:w="7796" w:type="dxa"/>
            <w:vAlign w:val="center"/>
          </w:tcPr>
          <w:p>
            <w:pPr>
              <w:widowControl/>
              <w:snapToGrid w:val="0"/>
              <w:spacing w:line="340" w:lineRule="exact"/>
              <w:ind w:firstLine="420" w:firstLineChars="200"/>
              <w:jc w:val="left"/>
            </w:pPr>
            <w:r>
              <w:rPr>
                <w:rFonts w:hint="eastAsia"/>
                <w:szCs w:val="21"/>
              </w:rPr>
              <w:t>近三年</w:t>
            </w:r>
            <w:r>
              <w:rPr>
                <w:rFonts w:hint="eastAsia"/>
                <w:szCs w:val="21"/>
                <w:highlight w:val="none"/>
              </w:rPr>
              <w:t>（</w:t>
            </w:r>
            <w:r>
              <w:rPr>
                <w:szCs w:val="21"/>
                <w:highlight w:val="none"/>
              </w:rPr>
              <w:t>20</w:t>
            </w:r>
            <w:r>
              <w:rPr>
                <w:rFonts w:hint="eastAsia"/>
                <w:szCs w:val="21"/>
                <w:highlight w:val="none"/>
                <w:lang w:val="en-US" w:eastAsia="zh-CN"/>
              </w:rPr>
              <w:t>19</w:t>
            </w:r>
            <w:r>
              <w:rPr>
                <w:rFonts w:hint="eastAsia"/>
                <w:szCs w:val="21"/>
                <w:highlight w:val="none"/>
              </w:rPr>
              <w:t>年至今）</w:t>
            </w:r>
            <w:r>
              <w:rPr>
                <w:rFonts w:hint="eastAsia"/>
              </w:rPr>
              <w:t>的业绩，投标人具有类似清淤项目合同的，每有一个合同得1分，最高得</w:t>
            </w:r>
            <w:r>
              <w:rPr>
                <w:rFonts w:hint="eastAsia"/>
                <w:lang w:val="en-US" w:eastAsia="zh-CN"/>
              </w:rPr>
              <w:t>3</w:t>
            </w:r>
            <w:r>
              <w:rPr>
                <w:rFonts w:hint="eastAsia"/>
              </w:rPr>
              <w:t>分，没有不得分。</w:t>
            </w:r>
          </w:p>
          <w:p>
            <w:pPr>
              <w:pStyle w:val="15"/>
              <w:spacing w:before="0" w:after="0"/>
              <w:jc w:val="both"/>
              <w:rPr>
                <w:sz w:val="21"/>
                <w:szCs w:val="21"/>
              </w:rPr>
            </w:pPr>
            <w:r>
              <w:rPr>
                <w:sz w:val="21"/>
                <w:szCs w:val="21"/>
              </w:rPr>
              <w:t>需提供合同协议复印件并加盖投标人公章</w:t>
            </w:r>
            <w:r>
              <w:rPr>
                <w:rFonts w:hint="eastAsia"/>
                <w:sz w:val="21"/>
                <w:szCs w:val="21"/>
              </w:rPr>
              <w:t>，原件备查。</w:t>
            </w:r>
          </w:p>
          <w:p/>
        </w:tc>
        <w:tc>
          <w:tcPr>
            <w:tcW w:w="1134" w:type="dxa"/>
            <w:vAlign w:val="center"/>
          </w:tcPr>
          <w:p>
            <w:pPr>
              <w:pStyle w:val="23"/>
              <w:snapToGrid w:val="0"/>
              <w:spacing w:line="240" w:lineRule="auto"/>
              <w:rPr>
                <w:rFonts w:hint="default" w:ascii="Calibri" w:hAnsi="Calibri" w:eastAsia="宋体" w:cs="宋体"/>
                <w:spacing w:val="-6"/>
                <w:sz w:val="22"/>
                <w:szCs w:val="22"/>
              </w:rPr>
            </w:pPr>
            <w:r>
              <w:rPr>
                <w:rFonts w:hint="default" w:ascii="Calibri" w:hAnsi="Calibri" w:eastAsia="宋体" w:cs="宋体"/>
                <w:spacing w:val="-6"/>
                <w:sz w:val="22"/>
                <w:szCs w:val="22"/>
              </w:rPr>
              <w:t>0</w:t>
            </w:r>
            <w:r>
              <w:rPr>
                <w:rFonts w:ascii="Calibri" w:hAnsi="Calibri" w:eastAsia="宋体" w:cs="宋体"/>
                <w:spacing w:val="-6"/>
                <w:sz w:val="22"/>
                <w:szCs w:val="22"/>
              </w:rPr>
              <w:t>~</w:t>
            </w:r>
            <w:r>
              <w:rPr>
                <w:rFonts w:hint="eastAsia" w:ascii="Calibri" w:hAnsi="Calibri" w:eastAsia="宋体" w:cs="宋体"/>
                <w:spacing w:val="-6"/>
                <w:sz w:val="22"/>
                <w:szCs w:val="22"/>
                <w:lang w:val="en-US" w:eastAsia="zh-CN"/>
              </w:rPr>
              <w:t>3</w:t>
            </w:r>
          </w:p>
        </w:tc>
      </w:tr>
    </w:tbl>
    <w:p>
      <w:pPr>
        <w:spacing w:line="360" w:lineRule="exact"/>
        <w:ind w:firstLine="442" w:firstLineChars="200"/>
        <w:rPr>
          <w:rFonts w:cs="宋体"/>
          <w:b/>
          <w:sz w:val="22"/>
        </w:rPr>
      </w:pPr>
      <w:r>
        <w:rPr>
          <w:rFonts w:cs="宋体"/>
          <w:b/>
          <w:sz w:val="22"/>
        </w:rPr>
        <w:t>2.投标文件的技术评审（</w:t>
      </w:r>
      <w:r>
        <w:rPr>
          <w:rFonts w:hint="eastAsia" w:cs="宋体"/>
          <w:b/>
          <w:sz w:val="22"/>
          <w:lang w:val="en-US" w:eastAsia="zh-CN"/>
        </w:rPr>
        <w:t>37</w:t>
      </w:r>
      <w:r>
        <w:rPr>
          <w:rFonts w:cs="宋体"/>
          <w:b/>
          <w:sz w:val="22"/>
        </w:rPr>
        <w:t>分）</w:t>
      </w:r>
    </w:p>
    <w:p>
      <w:pPr>
        <w:adjustRightInd w:val="0"/>
        <w:snapToGrid w:val="0"/>
        <w:spacing w:line="360" w:lineRule="exact"/>
        <w:ind w:firstLine="440" w:firstLineChars="200"/>
        <w:rPr>
          <w:rFonts w:cs="宋体"/>
          <w:sz w:val="22"/>
        </w:rPr>
      </w:pPr>
      <w:r>
        <w:rPr>
          <w:rFonts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20"/>
        <w:tblW w:w="9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423"/>
        <w:gridCol w:w="947"/>
        <w:gridCol w:w="884"/>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186" w:type="dxa"/>
            <w:gridSpan w:val="2"/>
            <w:vMerge w:val="restart"/>
            <w:vAlign w:val="center"/>
          </w:tcPr>
          <w:p>
            <w:pPr>
              <w:adjustRightInd w:val="0"/>
              <w:snapToGrid w:val="0"/>
              <w:jc w:val="center"/>
              <w:rPr>
                <w:szCs w:val="21"/>
              </w:rPr>
            </w:pPr>
            <w:r>
              <w:rPr>
                <w:rFonts w:cs="Arial"/>
                <w:sz w:val="22"/>
              </w:rPr>
              <w:t>评分细则</w:t>
            </w:r>
          </w:p>
        </w:tc>
        <w:tc>
          <w:tcPr>
            <w:tcW w:w="2649" w:type="dxa"/>
            <w:gridSpan w:val="3"/>
            <w:vAlign w:val="center"/>
          </w:tcPr>
          <w:p>
            <w:pPr>
              <w:pStyle w:val="23"/>
              <w:adjustRightInd w:val="0"/>
              <w:snapToGrid w:val="0"/>
              <w:spacing w:line="240" w:lineRule="auto"/>
              <w:rPr>
                <w:rFonts w:hint="default" w:ascii="Calibri" w:hAnsi="Calibri" w:eastAsia="宋体" w:cs="宋体"/>
                <w:spacing w:val="-6"/>
                <w:sz w:val="21"/>
                <w:szCs w:val="21"/>
              </w:rPr>
            </w:pPr>
            <w:r>
              <w:rPr>
                <w:rFonts w:hint="default" w:ascii="Calibri" w:hAnsi="Calibri" w:eastAsia="宋体" w:cs="宋体"/>
                <w:spacing w:val="-6"/>
                <w:sz w:val="22"/>
                <w:szCs w:val="22"/>
              </w:rPr>
              <w:t>分值范围</w:t>
            </w:r>
            <w:r>
              <w:rPr>
                <w:rFonts w:ascii="Calibri" w:hAnsi="Calibri" w:eastAsia="宋体" w:cs="宋体"/>
                <w:spacing w:val="-6"/>
                <w:sz w:val="22"/>
                <w:szCs w:val="22"/>
              </w:rPr>
              <w:t>（</w:t>
            </w:r>
            <w:r>
              <w:rPr>
                <w:rFonts w:hint="eastAsia" w:ascii="Calibri" w:hAnsi="Calibri" w:eastAsia="宋体" w:cs="宋体"/>
                <w:spacing w:val="-6"/>
                <w:sz w:val="22"/>
                <w:szCs w:val="22"/>
                <w:lang w:val="en-US" w:eastAsia="zh-CN"/>
              </w:rPr>
              <w:t>37</w:t>
            </w:r>
            <w:r>
              <w:rPr>
                <w:rFonts w:ascii="Calibri" w:hAnsi="Calibri" w:eastAsia="宋体" w:cs="宋体"/>
                <w:spacing w:val="-6"/>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186" w:type="dxa"/>
            <w:gridSpan w:val="2"/>
            <w:vMerge w:val="continue"/>
            <w:vAlign w:val="center"/>
          </w:tcPr>
          <w:p>
            <w:pPr>
              <w:adjustRightInd w:val="0"/>
              <w:snapToGrid w:val="0"/>
              <w:jc w:val="center"/>
              <w:rPr>
                <w:rFonts w:cs="Arial"/>
                <w:sz w:val="22"/>
              </w:rPr>
            </w:pPr>
          </w:p>
        </w:tc>
        <w:tc>
          <w:tcPr>
            <w:tcW w:w="947" w:type="dxa"/>
            <w:vAlign w:val="center"/>
          </w:tcPr>
          <w:p>
            <w:pPr>
              <w:pStyle w:val="23"/>
              <w:adjustRightInd w:val="0"/>
              <w:snapToGrid w:val="0"/>
              <w:spacing w:line="240" w:lineRule="auto"/>
              <w:rPr>
                <w:rFonts w:hint="default" w:ascii="Calibri" w:hAnsi="Calibri" w:eastAsia="宋体" w:cs="宋体"/>
                <w:spacing w:val="-6"/>
                <w:sz w:val="22"/>
                <w:szCs w:val="22"/>
              </w:rPr>
            </w:pPr>
            <w:r>
              <w:rPr>
                <w:rFonts w:ascii="Calibri" w:hAnsi="Calibri" w:eastAsia="宋体" w:cs="宋体"/>
                <w:spacing w:val="-6"/>
                <w:sz w:val="22"/>
                <w:szCs w:val="22"/>
              </w:rPr>
              <w:t>较差</w:t>
            </w:r>
          </w:p>
        </w:tc>
        <w:tc>
          <w:tcPr>
            <w:tcW w:w="884" w:type="dxa"/>
            <w:vAlign w:val="center"/>
          </w:tcPr>
          <w:p>
            <w:pPr>
              <w:pStyle w:val="23"/>
              <w:adjustRightInd w:val="0"/>
              <w:snapToGrid w:val="0"/>
              <w:spacing w:line="240" w:lineRule="auto"/>
              <w:rPr>
                <w:rFonts w:hint="default" w:ascii="Calibri" w:hAnsi="Calibri" w:eastAsia="宋体" w:cs="宋体"/>
                <w:spacing w:val="-6"/>
                <w:sz w:val="22"/>
                <w:szCs w:val="22"/>
              </w:rPr>
            </w:pPr>
            <w:r>
              <w:rPr>
                <w:rFonts w:ascii="Calibri" w:hAnsi="Calibri" w:eastAsia="宋体" w:cs="宋体"/>
                <w:spacing w:val="-6"/>
                <w:sz w:val="22"/>
                <w:szCs w:val="22"/>
              </w:rPr>
              <w:t>一般</w:t>
            </w:r>
          </w:p>
        </w:tc>
        <w:tc>
          <w:tcPr>
            <w:tcW w:w="818" w:type="dxa"/>
            <w:vAlign w:val="center"/>
          </w:tcPr>
          <w:p>
            <w:pPr>
              <w:pStyle w:val="23"/>
              <w:adjustRightInd w:val="0"/>
              <w:snapToGrid w:val="0"/>
              <w:spacing w:line="240" w:lineRule="auto"/>
              <w:rPr>
                <w:rFonts w:hint="default" w:ascii="Calibri" w:hAnsi="Calibri" w:eastAsia="宋体" w:cs="宋体"/>
                <w:spacing w:val="-6"/>
                <w:sz w:val="22"/>
                <w:szCs w:val="22"/>
              </w:rPr>
            </w:pPr>
            <w:r>
              <w:rPr>
                <w:rFonts w:ascii="Calibri" w:hAnsi="Calibri" w:eastAsia="宋体" w:cs="宋体"/>
                <w:spacing w:val="-6"/>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jc w:val="center"/>
        </w:trPr>
        <w:tc>
          <w:tcPr>
            <w:tcW w:w="763" w:type="dxa"/>
            <w:vAlign w:val="center"/>
          </w:tcPr>
          <w:p>
            <w:pPr>
              <w:adjustRightInd w:val="0"/>
              <w:snapToGrid w:val="0"/>
              <w:jc w:val="center"/>
              <w:rPr>
                <w:rFonts w:cs="宋体"/>
                <w:kern w:val="0"/>
                <w:sz w:val="22"/>
              </w:rPr>
            </w:pPr>
            <w:r>
              <w:rPr>
                <w:rFonts w:cs="宋体"/>
                <w:kern w:val="0"/>
                <w:sz w:val="22"/>
              </w:rPr>
              <w:t>1</w:t>
            </w:r>
          </w:p>
        </w:tc>
        <w:tc>
          <w:tcPr>
            <w:tcW w:w="6423" w:type="dxa"/>
            <w:vAlign w:val="center"/>
          </w:tcPr>
          <w:p>
            <w:pPr>
              <w:adjustRightInd w:val="0"/>
              <w:snapToGrid w:val="0"/>
              <w:rPr>
                <w:rFonts w:cs="宋体"/>
                <w:kern w:val="0"/>
                <w:sz w:val="22"/>
              </w:rPr>
            </w:pPr>
            <w:r>
              <w:rPr>
                <w:rFonts w:hint="eastAsia" w:ascii="宋体" w:hAnsi="宋体" w:cs="宋体"/>
                <w:kern w:val="0"/>
                <w:sz w:val="22"/>
              </w:rPr>
              <w:t>根据投标人针对本项目服务内容的针对性、全面性、专业性</w:t>
            </w:r>
            <w:r>
              <w:rPr>
                <w:rFonts w:hint="eastAsia" w:ascii="宋体" w:hAnsi="宋体" w:cs="宋体"/>
                <w:kern w:val="0"/>
                <w:sz w:val="22"/>
                <w:lang w:eastAsia="zh-CN"/>
              </w:rPr>
              <w:t>，</w:t>
            </w:r>
            <w:r>
              <w:rPr>
                <w:rFonts w:hint="eastAsia" w:ascii="宋体" w:hAnsi="宋体" w:cs="宋体"/>
                <w:color w:val="000000"/>
                <w:kern w:val="0"/>
                <w:sz w:val="22"/>
              </w:rPr>
              <w:t>实施意见及重点、难点控制</w:t>
            </w:r>
            <w:r>
              <w:rPr>
                <w:rFonts w:hint="eastAsia" w:ascii="宋体" w:hAnsi="宋体" w:cs="宋体"/>
                <w:kern w:val="0"/>
                <w:sz w:val="22"/>
              </w:rPr>
              <w:t>等情况横向比较打分。</w:t>
            </w:r>
          </w:p>
        </w:tc>
        <w:tc>
          <w:tcPr>
            <w:tcW w:w="947" w:type="dxa"/>
            <w:vAlign w:val="center"/>
          </w:tcPr>
          <w:p>
            <w:pPr>
              <w:pStyle w:val="23"/>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1</w:t>
            </w:r>
            <w:r>
              <w:rPr>
                <w:rFonts w:hint="default" w:ascii="Calibri" w:hAnsi="Calibri" w:eastAsia="宋体" w:cs="宋体"/>
                <w:spacing w:val="0"/>
                <w:sz w:val="22"/>
                <w:szCs w:val="22"/>
              </w:rPr>
              <w:t>.9</w:t>
            </w:r>
          </w:p>
        </w:tc>
        <w:tc>
          <w:tcPr>
            <w:tcW w:w="884" w:type="dxa"/>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2</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4</w:t>
            </w:r>
            <w:r>
              <w:rPr>
                <w:rFonts w:hint="default" w:ascii="Calibri" w:hAnsi="Calibri" w:eastAsia="宋体" w:cs="宋体"/>
                <w:spacing w:val="0"/>
                <w:sz w:val="22"/>
                <w:szCs w:val="22"/>
              </w:rPr>
              <w:t>.9</w:t>
            </w:r>
          </w:p>
        </w:tc>
        <w:tc>
          <w:tcPr>
            <w:tcW w:w="818" w:type="dxa"/>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5</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cs="宋体"/>
                <w:kern w:val="0"/>
                <w:sz w:val="22"/>
              </w:rPr>
            </w:pPr>
            <w:r>
              <w:rPr>
                <w:rFonts w:cs="宋体"/>
                <w:kern w:val="0"/>
                <w:sz w:val="22"/>
              </w:rPr>
              <w:t>2</w:t>
            </w:r>
          </w:p>
        </w:tc>
        <w:tc>
          <w:tcPr>
            <w:tcW w:w="6423" w:type="dxa"/>
            <w:vAlign w:val="center"/>
          </w:tcPr>
          <w:p>
            <w:pPr>
              <w:adjustRightInd w:val="0"/>
              <w:snapToGrid w:val="0"/>
              <w:rPr>
                <w:rFonts w:cs="宋体"/>
                <w:kern w:val="0"/>
                <w:sz w:val="22"/>
              </w:rPr>
            </w:pPr>
            <w:r>
              <w:rPr>
                <w:rFonts w:hint="eastAsia" w:hAnsi="宋体"/>
                <w:bCs/>
                <w:szCs w:val="21"/>
              </w:rPr>
              <w:t>根据</w:t>
            </w:r>
            <w:r>
              <w:rPr>
                <w:rFonts w:hint="eastAsia"/>
              </w:rPr>
              <w:t>对投标人提供的本项目服务方案</w:t>
            </w:r>
            <w:r>
              <w:rPr>
                <w:rFonts w:hint="eastAsia" w:hAnsi="宋体"/>
                <w:bCs/>
                <w:szCs w:val="21"/>
              </w:rPr>
              <w:t>，</w:t>
            </w:r>
            <w:r>
              <w:rPr>
                <w:rFonts w:hint="eastAsia" w:hAnsi="宋体"/>
                <w:bCs/>
                <w:szCs w:val="21"/>
                <w:lang w:val="en-US" w:eastAsia="zh-CN"/>
              </w:rPr>
              <w:t>交通、安全</w:t>
            </w:r>
            <w:r>
              <w:rPr>
                <w:rFonts w:hint="eastAsia" w:hAnsi="宋体"/>
                <w:bCs/>
                <w:szCs w:val="21"/>
              </w:rPr>
              <w:t>保证措施具体有效等情况</w:t>
            </w:r>
            <w:r>
              <w:rPr>
                <w:rFonts w:hint="eastAsia" w:hAnsi="宋体"/>
                <w:bCs/>
                <w:szCs w:val="21"/>
                <w:lang w:val="en-US" w:eastAsia="zh-CN"/>
              </w:rPr>
              <w:t>进行综合评审，</w:t>
            </w:r>
            <w:r>
              <w:rPr>
                <w:rFonts w:hint="eastAsia" w:hAnsi="宋体"/>
                <w:bCs/>
                <w:szCs w:val="21"/>
              </w:rPr>
              <w:t>横向比较打分。</w:t>
            </w:r>
          </w:p>
        </w:tc>
        <w:tc>
          <w:tcPr>
            <w:tcW w:w="947"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1</w:t>
            </w:r>
            <w:r>
              <w:rPr>
                <w:rFonts w:hint="default" w:ascii="Calibri" w:hAnsi="Calibri" w:eastAsia="宋体" w:cs="宋体"/>
                <w:spacing w:val="0"/>
                <w:sz w:val="22"/>
                <w:szCs w:val="22"/>
              </w:rPr>
              <w:t>.9</w:t>
            </w:r>
          </w:p>
        </w:tc>
        <w:tc>
          <w:tcPr>
            <w:tcW w:w="884"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2</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4</w:t>
            </w:r>
            <w:r>
              <w:rPr>
                <w:rFonts w:hint="default" w:ascii="Calibri" w:hAnsi="Calibri" w:eastAsia="宋体" w:cs="宋体"/>
                <w:spacing w:val="0"/>
                <w:sz w:val="22"/>
                <w:szCs w:val="22"/>
              </w:rPr>
              <w:t>.9</w:t>
            </w:r>
          </w:p>
        </w:tc>
        <w:tc>
          <w:tcPr>
            <w:tcW w:w="818"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5</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hint="eastAsia" w:eastAsia="宋体" w:cs="宋体"/>
                <w:kern w:val="0"/>
                <w:sz w:val="22"/>
                <w:lang w:eastAsia="zh-CN"/>
              </w:rPr>
            </w:pPr>
            <w:r>
              <w:rPr>
                <w:rFonts w:hint="eastAsia" w:cs="宋体"/>
                <w:kern w:val="0"/>
                <w:sz w:val="22"/>
                <w:lang w:val="en-US" w:eastAsia="zh-CN"/>
              </w:rPr>
              <w:t>3</w:t>
            </w:r>
          </w:p>
        </w:tc>
        <w:tc>
          <w:tcPr>
            <w:tcW w:w="6423" w:type="dxa"/>
            <w:vAlign w:val="center"/>
          </w:tcPr>
          <w:p>
            <w:pPr>
              <w:adjustRightInd w:val="0"/>
              <w:snapToGrid w:val="0"/>
              <w:rPr>
                <w:rFonts w:cs="宋体"/>
                <w:kern w:val="0"/>
                <w:sz w:val="22"/>
              </w:rPr>
            </w:pPr>
            <w:r>
              <w:rPr>
                <w:rFonts w:hint="eastAsia" w:ascii="宋体" w:hAnsi="宋体"/>
                <w:kern w:val="0"/>
                <w:sz w:val="22"/>
              </w:rPr>
              <w:t>根据</w:t>
            </w:r>
            <w:r>
              <w:rPr>
                <w:rFonts w:hint="eastAsia" w:ascii="宋体" w:hAnsi="宋体" w:cs="宋体"/>
                <w:color w:val="000000"/>
                <w:kern w:val="0"/>
                <w:sz w:val="22"/>
              </w:rPr>
              <w:t>投标人承诺的维保服务的有效性和维保服务的响应时效性</w:t>
            </w:r>
            <w:r>
              <w:rPr>
                <w:rFonts w:hint="eastAsia" w:ascii="宋体" w:hAnsi="宋体" w:cs="宋体"/>
                <w:color w:val="000000"/>
                <w:kern w:val="0"/>
                <w:sz w:val="22"/>
                <w:lang w:val="en-US" w:eastAsia="zh-CN"/>
              </w:rPr>
              <w:t>及</w:t>
            </w:r>
            <w:r>
              <w:rPr>
                <w:rFonts w:hint="eastAsia" w:ascii="宋体" w:hAnsi="宋体" w:cs="宋体"/>
                <w:color w:val="000000"/>
                <w:kern w:val="0"/>
                <w:sz w:val="22"/>
                <w:lang w:eastAsia="zh-CN"/>
              </w:rPr>
              <w:t>对突发性</w:t>
            </w:r>
            <w:r>
              <w:rPr>
                <w:rFonts w:hint="eastAsia" w:ascii="宋体" w:hAnsi="宋体" w:cs="宋体"/>
                <w:color w:val="000000"/>
                <w:kern w:val="0"/>
                <w:sz w:val="22"/>
                <w:lang w:val="en-US" w:eastAsia="zh-CN"/>
              </w:rPr>
              <w:t>清淤服务</w:t>
            </w:r>
            <w:r>
              <w:rPr>
                <w:rFonts w:hint="eastAsia" w:ascii="宋体" w:hAnsi="宋体" w:cs="宋体"/>
                <w:color w:val="000000"/>
                <w:kern w:val="0"/>
                <w:sz w:val="22"/>
              </w:rPr>
              <w:t>承诺</w:t>
            </w:r>
            <w:r>
              <w:rPr>
                <w:rFonts w:hint="eastAsia" w:ascii="宋体" w:hAnsi="宋体" w:cs="宋体"/>
                <w:color w:val="000000"/>
                <w:kern w:val="0"/>
                <w:sz w:val="22"/>
                <w:lang w:val="en-US" w:eastAsia="zh-CN"/>
              </w:rPr>
              <w:t>工作</w:t>
            </w:r>
            <w:r>
              <w:rPr>
                <w:rFonts w:hint="eastAsia" w:ascii="宋体" w:hAnsi="宋体" w:cs="宋体"/>
                <w:color w:val="000000"/>
                <w:kern w:val="0"/>
                <w:sz w:val="22"/>
                <w:lang w:eastAsia="zh-CN"/>
              </w:rPr>
              <w:t>人员</w:t>
            </w:r>
            <w:r>
              <w:rPr>
                <w:rFonts w:hint="eastAsia" w:ascii="宋体" w:hAnsi="宋体" w:cs="宋体"/>
                <w:color w:val="000000"/>
                <w:kern w:val="0"/>
                <w:sz w:val="22"/>
              </w:rPr>
              <w:t>的</w:t>
            </w:r>
            <w:r>
              <w:rPr>
                <w:rFonts w:hint="eastAsia" w:ascii="宋体" w:hAnsi="宋体" w:cs="宋体"/>
                <w:color w:val="000000"/>
                <w:kern w:val="0"/>
                <w:sz w:val="22"/>
                <w:lang w:eastAsia="zh-CN"/>
              </w:rPr>
              <w:t>到场时间</w:t>
            </w:r>
            <w:r>
              <w:rPr>
                <w:rFonts w:hint="eastAsia" w:ascii="宋体" w:hAnsi="宋体" w:cs="宋体"/>
                <w:color w:val="000000"/>
                <w:kern w:val="0"/>
                <w:sz w:val="22"/>
              </w:rPr>
              <w:t>等情况</w:t>
            </w:r>
            <w:r>
              <w:rPr>
                <w:rFonts w:hint="eastAsia" w:ascii="宋体" w:hAnsi="宋体"/>
                <w:kern w:val="0"/>
                <w:sz w:val="22"/>
              </w:rPr>
              <w:t>符合招标人要求，合理有效等情况横向比较打分。</w:t>
            </w:r>
          </w:p>
        </w:tc>
        <w:tc>
          <w:tcPr>
            <w:tcW w:w="947"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1</w:t>
            </w:r>
            <w:r>
              <w:rPr>
                <w:rFonts w:hint="default" w:ascii="Calibri" w:hAnsi="Calibri" w:eastAsia="宋体" w:cs="宋体"/>
                <w:spacing w:val="0"/>
                <w:sz w:val="22"/>
                <w:szCs w:val="22"/>
              </w:rPr>
              <w:t>.9</w:t>
            </w:r>
          </w:p>
        </w:tc>
        <w:tc>
          <w:tcPr>
            <w:tcW w:w="884"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2</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4</w:t>
            </w:r>
            <w:r>
              <w:rPr>
                <w:rFonts w:hint="default" w:ascii="Calibri" w:hAnsi="Calibri" w:eastAsia="宋体" w:cs="宋体"/>
                <w:spacing w:val="0"/>
                <w:sz w:val="22"/>
                <w:szCs w:val="22"/>
              </w:rPr>
              <w:t>.9</w:t>
            </w:r>
          </w:p>
        </w:tc>
        <w:tc>
          <w:tcPr>
            <w:tcW w:w="818"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5</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hint="eastAsia" w:cs="宋体"/>
                <w:kern w:val="0"/>
                <w:sz w:val="22"/>
                <w:lang w:val="en-US" w:eastAsia="zh-CN"/>
              </w:rPr>
            </w:pPr>
            <w:r>
              <w:rPr>
                <w:rFonts w:hint="eastAsia" w:cs="宋体"/>
                <w:kern w:val="0"/>
                <w:sz w:val="22"/>
                <w:lang w:val="en-US" w:eastAsia="zh-CN"/>
              </w:rPr>
              <w:t>4</w:t>
            </w:r>
          </w:p>
        </w:tc>
        <w:tc>
          <w:tcPr>
            <w:tcW w:w="6423" w:type="dxa"/>
            <w:vAlign w:val="center"/>
          </w:tcPr>
          <w:p>
            <w:pPr>
              <w:adjustRightInd w:val="0"/>
              <w:snapToGrid w:val="0"/>
              <w:rPr>
                <w:rFonts w:hint="eastAsia" w:ascii="宋体" w:hAnsi="宋体"/>
                <w:kern w:val="0"/>
                <w:sz w:val="22"/>
              </w:rPr>
            </w:pPr>
            <w:r>
              <w:rPr>
                <w:rFonts w:hint="eastAsia" w:ascii="宋体" w:hAnsi="宋体"/>
                <w:kern w:val="0"/>
                <w:sz w:val="22"/>
              </w:rPr>
              <w:t>根据投标人承诺的不在机场内堆放，自行运出机场处理，是否有淤泥消纳相关方案，以保证机场内环境</w:t>
            </w:r>
            <w:r>
              <w:rPr>
                <w:rFonts w:hint="eastAsia" w:ascii="宋体" w:hAnsi="宋体"/>
                <w:kern w:val="0"/>
                <w:sz w:val="22"/>
                <w:lang w:val="en-US" w:eastAsia="zh-CN"/>
              </w:rPr>
              <w:t>等情况</w:t>
            </w:r>
            <w:r>
              <w:rPr>
                <w:rFonts w:hint="eastAsia" w:ascii="宋体" w:hAnsi="宋体"/>
                <w:kern w:val="0"/>
                <w:sz w:val="22"/>
              </w:rPr>
              <w:t>横向比较打分。</w:t>
            </w:r>
          </w:p>
        </w:tc>
        <w:tc>
          <w:tcPr>
            <w:tcW w:w="947"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1</w:t>
            </w:r>
            <w:r>
              <w:rPr>
                <w:rFonts w:hint="default" w:ascii="Calibri" w:hAnsi="Calibri" w:eastAsia="宋体" w:cs="宋体"/>
                <w:spacing w:val="0"/>
                <w:sz w:val="22"/>
                <w:szCs w:val="22"/>
              </w:rPr>
              <w:t>.9</w:t>
            </w:r>
          </w:p>
        </w:tc>
        <w:tc>
          <w:tcPr>
            <w:tcW w:w="884" w:type="dxa"/>
            <w:textDirection w:val="lrTb"/>
            <w:vAlign w:val="center"/>
          </w:tcPr>
          <w:p>
            <w:pPr>
              <w:pStyle w:val="23"/>
              <w:adjustRightInd w:val="0"/>
              <w:snapToGrid w:val="0"/>
              <w:spacing w:line="240" w:lineRule="auto"/>
              <w:rPr>
                <w:rFonts w:hint="eastAsia" w:ascii="Calibri" w:hAnsi="Calibri" w:eastAsia="宋体" w:cs="宋体"/>
                <w:spacing w:val="0"/>
                <w:sz w:val="22"/>
                <w:szCs w:val="22"/>
                <w:lang w:val="en-US" w:eastAsia="zh-CN"/>
              </w:rPr>
            </w:pPr>
            <w:r>
              <w:rPr>
                <w:rFonts w:hint="eastAsia" w:ascii="Calibri" w:hAnsi="Calibri" w:eastAsia="宋体" w:cs="宋体"/>
                <w:spacing w:val="0"/>
                <w:sz w:val="22"/>
                <w:szCs w:val="22"/>
                <w:lang w:val="en-US" w:eastAsia="zh-CN"/>
              </w:rPr>
              <w:t>2</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3</w:t>
            </w:r>
            <w:r>
              <w:rPr>
                <w:rFonts w:hint="default" w:ascii="Calibri" w:hAnsi="Calibri" w:eastAsia="宋体" w:cs="宋体"/>
                <w:spacing w:val="0"/>
                <w:sz w:val="22"/>
                <w:szCs w:val="22"/>
              </w:rPr>
              <w:t>.9</w:t>
            </w:r>
          </w:p>
        </w:tc>
        <w:tc>
          <w:tcPr>
            <w:tcW w:w="818" w:type="dxa"/>
            <w:textDirection w:val="lrTb"/>
            <w:vAlign w:val="center"/>
          </w:tcPr>
          <w:p>
            <w:pPr>
              <w:pStyle w:val="23"/>
              <w:adjustRightInd w:val="0"/>
              <w:snapToGrid w:val="0"/>
              <w:spacing w:line="240" w:lineRule="auto"/>
              <w:rPr>
                <w:rFonts w:hint="eastAsia" w:ascii="Calibri" w:hAnsi="Calibri" w:eastAsia="宋体" w:cs="宋体"/>
                <w:spacing w:val="0"/>
                <w:sz w:val="22"/>
                <w:szCs w:val="22"/>
                <w:lang w:val="en-US" w:eastAsia="zh-CN"/>
              </w:rPr>
            </w:pPr>
            <w:r>
              <w:rPr>
                <w:rFonts w:hint="eastAsia" w:ascii="Calibri" w:hAnsi="Calibri" w:eastAsia="宋体" w:cs="宋体"/>
                <w:spacing w:val="0"/>
                <w:sz w:val="22"/>
                <w:szCs w:val="22"/>
                <w:lang w:val="en-US" w:eastAsia="zh-CN"/>
              </w:rPr>
              <w:t>4</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hint="eastAsia" w:eastAsia="宋体" w:cs="宋体"/>
                <w:kern w:val="0"/>
                <w:sz w:val="22"/>
                <w:lang w:eastAsia="zh-CN"/>
              </w:rPr>
            </w:pPr>
            <w:r>
              <w:rPr>
                <w:rFonts w:hint="eastAsia" w:cs="宋体"/>
                <w:kern w:val="0"/>
                <w:sz w:val="22"/>
                <w:lang w:val="en-US" w:eastAsia="zh-CN"/>
              </w:rPr>
              <w:t>5</w:t>
            </w:r>
          </w:p>
        </w:tc>
        <w:tc>
          <w:tcPr>
            <w:tcW w:w="6423" w:type="dxa"/>
            <w:vAlign w:val="center"/>
          </w:tcPr>
          <w:p>
            <w:pPr>
              <w:adjustRightInd w:val="0"/>
              <w:snapToGrid w:val="0"/>
              <w:rPr>
                <w:rFonts w:cs="宋体"/>
                <w:kern w:val="0"/>
                <w:sz w:val="22"/>
              </w:rPr>
            </w:pPr>
            <w:r>
              <w:rPr>
                <w:rFonts w:hint="eastAsia" w:ascii="宋体" w:hAnsi="宋体" w:cs="Arial"/>
                <w:sz w:val="22"/>
              </w:rPr>
              <w:t>根据投标人拟为本项目所投入的人员的数量、岗位安排、人员配置、投入人员的合理性、针对性、专业性服务经验方面的情况</w:t>
            </w:r>
            <w:r>
              <w:rPr>
                <w:rFonts w:hint="eastAsia" w:hAnsi="宋体"/>
                <w:szCs w:val="21"/>
              </w:rPr>
              <w:t>横向比较，横向比较打分。</w:t>
            </w:r>
          </w:p>
        </w:tc>
        <w:tc>
          <w:tcPr>
            <w:tcW w:w="947"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1</w:t>
            </w:r>
            <w:r>
              <w:rPr>
                <w:rFonts w:hint="default" w:ascii="Calibri" w:hAnsi="Calibri" w:eastAsia="宋体" w:cs="宋体"/>
                <w:spacing w:val="0"/>
                <w:sz w:val="22"/>
                <w:szCs w:val="22"/>
              </w:rPr>
              <w:t>.9</w:t>
            </w:r>
          </w:p>
        </w:tc>
        <w:tc>
          <w:tcPr>
            <w:tcW w:w="884"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2</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4</w:t>
            </w:r>
            <w:r>
              <w:rPr>
                <w:rFonts w:hint="default" w:ascii="Calibri" w:hAnsi="Calibri" w:eastAsia="宋体" w:cs="宋体"/>
                <w:spacing w:val="0"/>
                <w:sz w:val="22"/>
                <w:szCs w:val="22"/>
              </w:rPr>
              <w:t>.9</w:t>
            </w:r>
          </w:p>
        </w:tc>
        <w:tc>
          <w:tcPr>
            <w:tcW w:w="818"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eastAsia" w:ascii="Calibri" w:hAnsi="Calibri" w:eastAsia="宋体" w:cs="宋体"/>
                <w:spacing w:val="0"/>
                <w:sz w:val="22"/>
                <w:szCs w:val="22"/>
                <w:lang w:val="en-US" w:eastAsia="zh-CN"/>
              </w:rPr>
              <w:t>5</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63" w:type="dxa"/>
            <w:vAlign w:val="center"/>
          </w:tcPr>
          <w:p>
            <w:pPr>
              <w:adjustRightInd w:val="0"/>
              <w:snapToGrid w:val="0"/>
              <w:jc w:val="center"/>
              <w:rPr>
                <w:rFonts w:hint="eastAsia" w:eastAsia="宋体" w:cs="宋体"/>
                <w:kern w:val="0"/>
                <w:sz w:val="22"/>
                <w:lang w:val="en-US" w:eastAsia="zh-CN"/>
              </w:rPr>
            </w:pPr>
            <w:r>
              <w:rPr>
                <w:rFonts w:hint="eastAsia" w:cs="宋体"/>
                <w:kern w:val="0"/>
                <w:sz w:val="22"/>
                <w:lang w:val="en-US" w:eastAsia="zh-CN"/>
              </w:rPr>
              <w:t>6</w:t>
            </w:r>
          </w:p>
        </w:tc>
        <w:tc>
          <w:tcPr>
            <w:tcW w:w="6423" w:type="dxa"/>
            <w:vAlign w:val="center"/>
          </w:tcPr>
          <w:p>
            <w:pPr>
              <w:adjustRightInd w:val="0"/>
              <w:snapToGrid w:val="0"/>
              <w:rPr>
                <w:rFonts w:hint="eastAsia" w:ascii="宋体" w:hAnsi="宋体" w:cs="Arial"/>
                <w:sz w:val="22"/>
              </w:rPr>
            </w:pPr>
            <w:r>
              <w:rPr>
                <w:rFonts w:hint="eastAsia" w:ascii="宋体" w:hAnsi="宋体" w:cs="宋体"/>
                <w:color w:val="000000"/>
                <w:kern w:val="0"/>
                <w:sz w:val="22"/>
              </w:rPr>
              <w:t>投标人针对本项目提出的优惠服务承诺进行横向比较，综合打分。</w:t>
            </w:r>
          </w:p>
        </w:tc>
        <w:tc>
          <w:tcPr>
            <w:tcW w:w="947" w:type="dxa"/>
            <w:textDirection w:val="lrTb"/>
            <w:vAlign w:val="center"/>
          </w:tcPr>
          <w:p>
            <w:pPr>
              <w:pStyle w:val="23"/>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1</w:t>
            </w:r>
            <w:r>
              <w:rPr>
                <w:rFonts w:hint="default" w:ascii="Calibri" w:hAnsi="Calibri" w:eastAsia="宋体" w:cs="宋体"/>
                <w:spacing w:val="0"/>
                <w:sz w:val="22"/>
                <w:szCs w:val="22"/>
              </w:rPr>
              <w:t>.9</w:t>
            </w:r>
          </w:p>
        </w:tc>
        <w:tc>
          <w:tcPr>
            <w:tcW w:w="884" w:type="dxa"/>
            <w:textDirection w:val="lrTb"/>
            <w:vAlign w:val="center"/>
          </w:tcPr>
          <w:p>
            <w:pPr>
              <w:pStyle w:val="23"/>
              <w:adjustRightInd w:val="0"/>
              <w:snapToGrid w:val="0"/>
              <w:spacing w:line="240" w:lineRule="auto"/>
              <w:rPr>
                <w:rFonts w:hint="eastAsia" w:ascii="Calibri" w:hAnsi="Calibri" w:eastAsia="宋体" w:cs="宋体"/>
                <w:spacing w:val="0"/>
                <w:sz w:val="22"/>
                <w:szCs w:val="22"/>
                <w:lang w:val="en-US" w:eastAsia="zh-CN"/>
              </w:rPr>
            </w:pPr>
            <w:r>
              <w:rPr>
                <w:rFonts w:hint="eastAsia" w:ascii="Calibri" w:hAnsi="Calibri" w:eastAsia="宋体" w:cs="宋体"/>
                <w:spacing w:val="0"/>
                <w:sz w:val="22"/>
                <w:szCs w:val="22"/>
                <w:lang w:val="en-US" w:eastAsia="zh-CN"/>
              </w:rPr>
              <w:t>2</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2</w:t>
            </w:r>
            <w:r>
              <w:rPr>
                <w:rFonts w:hint="default" w:ascii="Calibri" w:hAnsi="Calibri" w:eastAsia="宋体" w:cs="宋体"/>
                <w:spacing w:val="0"/>
                <w:sz w:val="22"/>
                <w:szCs w:val="22"/>
              </w:rPr>
              <w:t>.9</w:t>
            </w:r>
          </w:p>
        </w:tc>
        <w:tc>
          <w:tcPr>
            <w:tcW w:w="818" w:type="dxa"/>
            <w:textDirection w:val="lrTb"/>
            <w:vAlign w:val="center"/>
          </w:tcPr>
          <w:p>
            <w:pPr>
              <w:pStyle w:val="23"/>
              <w:adjustRightInd w:val="0"/>
              <w:snapToGrid w:val="0"/>
              <w:spacing w:line="240" w:lineRule="auto"/>
              <w:rPr>
                <w:rFonts w:hint="eastAsia" w:ascii="Calibri" w:hAnsi="Calibri" w:eastAsia="宋体" w:cs="宋体"/>
                <w:spacing w:val="0"/>
                <w:sz w:val="22"/>
                <w:szCs w:val="22"/>
                <w:lang w:val="en-US" w:eastAsia="zh-CN"/>
              </w:rPr>
            </w:pPr>
            <w:r>
              <w:rPr>
                <w:rFonts w:hint="eastAsia" w:ascii="Calibri" w:hAnsi="Calibri" w:eastAsia="宋体" w:cs="宋体"/>
                <w:spacing w:val="0"/>
                <w:sz w:val="22"/>
                <w:szCs w:val="22"/>
                <w:lang w:val="en-US" w:eastAsia="zh-CN"/>
              </w:rPr>
              <w:t>3</w:t>
            </w:r>
            <w:r>
              <w:rPr>
                <w:rFonts w:ascii="Calibri" w:hAnsi="Calibri" w:eastAsia="宋体" w:cs="宋体"/>
                <w:spacing w:val="0"/>
                <w:sz w:val="22"/>
                <w:szCs w:val="22"/>
              </w:rPr>
              <w:t>~</w:t>
            </w:r>
            <w:r>
              <w:rPr>
                <w:rFonts w:hint="eastAsia" w:ascii="Calibri" w:hAnsi="Calibri" w:eastAsia="宋体" w:cs="宋体"/>
                <w:spacing w:val="0"/>
                <w:sz w:val="22"/>
                <w:szCs w:val="22"/>
                <w:lang w:val="en-US" w:eastAsia="zh-CN"/>
              </w:rPr>
              <w:t>4</w:t>
            </w:r>
          </w:p>
        </w:tc>
      </w:tr>
    </w:tbl>
    <w:p>
      <w:pPr>
        <w:pStyle w:val="9"/>
        <w:adjustRightInd w:val="0"/>
        <w:snapToGrid w:val="0"/>
        <w:spacing w:line="360" w:lineRule="exact"/>
        <w:rPr>
          <w:rFonts w:cs="宋体"/>
          <w:b/>
          <w:sz w:val="22"/>
        </w:rPr>
      </w:pPr>
      <w:r>
        <w:rPr>
          <w:rFonts w:hint="eastAsia" w:hAnsi="宋体"/>
          <w:b/>
          <w:color w:val="000000"/>
          <w:sz w:val="22"/>
          <w:szCs w:val="22"/>
        </w:rPr>
        <w:t xml:space="preserve">   </w:t>
      </w:r>
      <w:r>
        <w:rPr>
          <w:rFonts w:cs="宋体"/>
          <w:b/>
          <w:sz w:val="22"/>
        </w:rPr>
        <w:t>3.投标文件的商务报价评审（</w:t>
      </w:r>
      <w:r>
        <w:rPr>
          <w:rFonts w:hint="eastAsia" w:cs="宋体"/>
          <w:b/>
          <w:sz w:val="22"/>
          <w:lang w:val="en-US" w:eastAsia="zh-CN"/>
        </w:rPr>
        <w:t>6</w:t>
      </w:r>
      <w:r>
        <w:rPr>
          <w:rFonts w:cs="宋体"/>
          <w:b/>
          <w:sz w:val="22"/>
        </w:rPr>
        <w:t>0分）</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由评标委员会全体成员对投标文件的商务报价进行统一评审。评标委员会应对报价的范围、数量、单价、费用组成和总价等进行全面审阅和对比分析，找出报价差异的原因及存在的问题。</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投标报价</w:t>
      </w:r>
      <w:r>
        <w:rPr>
          <w:rFonts w:hint="eastAsia" w:hAnsi="宋体" w:cs="Calibri"/>
          <w:b/>
          <w:bCs/>
          <w:sz w:val="22"/>
          <w:szCs w:val="22"/>
        </w:rPr>
        <w:t>扣除税金(按投标函承诺的增值税税率扣减)</w:t>
      </w:r>
      <w:r>
        <w:rPr>
          <w:rFonts w:hint="eastAsia" w:hAnsi="宋体" w:cs="Calibri"/>
          <w:sz w:val="22"/>
          <w:szCs w:val="22"/>
        </w:rPr>
        <w:t>后为评标价(即不含税价)。</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评标基准价由评标委员会依据下述方法计算，除计算差错外，确认后的评标基准价在本次招标期间保持不变。</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计算差错，仅限于以下两种情况：(1)纯算术性四则运算差错；(2)未按约定的计算方法，多计或者少计投标人报价的。由于评标差错，导致否决投标错误，重新评标纠正等其他情况，不属于计算差错。</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评分范围：通过符合性审查的所有投标文件进入评分范围(下称有效评标价)。</w:t>
      </w:r>
    </w:p>
    <w:p>
      <w:pPr>
        <w:pStyle w:val="9"/>
        <w:adjustRightInd w:val="0"/>
        <w:snapToGrid w:val="0"/>
        <w:spacing w:line="360" w:lineRule="exact"/>
        <w:ind w:firstLine="440" w:firstLineChars="200"/>
        <w:rPr>
          <w:rFonts w:hint="eastAsia" w:hAnsi="宋体" w:cs="Calibri"/>
          <w:b/>
          <w:bCs/>
          <w:sz w:val="22"/>
          <w:szCs w:val="22"/>
        </w:rPr>
      </w:pPr>
      <w:r>
        <w:rPr>
          <w:rFonts w:hint="eastAsia" w:hAnsi="宋体" w:cs="Calibri"/>
          <w:b/>
          <w:bCs/>
          <w:sz w:val="22"/>
          <w:szCs w:val="22"/>
        </w:rPr>
        <w:t xml:space="preserve"> 二次平均法</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报价平均值：有效评标价的算术平均值为报价平均值(有效评标价在5个及以上时，去除一个最高价和一个最低价；有效评标价在8个及以上时，去除一个最高价、一个次高价和一个最低价、一个次低价)。</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评标基准价：报价平均值与有效评标价中的次低评标价(不足4个的与最低评标价)的算术平均值为评标基准价。</w:t>
      </w:r>
    </w:p>
    <w:p>
      <w:pPr>
        <w:pStyle w:val="9"/>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hAnsi="宋体" w:cs="Calibri"/>
          <w:sz w:val="22"/>
          <w:szCs w:val="22"/>
        </w:rPr>
      </w:pPr>
      <w:r>
        <w:rPr>
          <w:rFonts w:hint="eastAsia" w:hAnsi="宋体" w:cs="Calibri"/>
          <w:sz w:val="22"/>
          <w:szCs w:val="22"/>
        </w:rPr>
        <w:t>根据投标文件的有效评标价与评标基准价对比，计算投标人的商务报价的得分值。即：</w:t>
      </w:r>
    </w:p>
    <w:p>
      <w:pPr>
        <w:pStyle w:val="9"/>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a.有效评标价等于评标基准价时，得满分；</w:t>
      </w:r>
    </w:p>
    <w:p>
      <w:pPr>
        <w:pStyle w:val="9"/>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b.有效评标价每低于评标基准价1个百分点，扣0.5分；</w:t>
      </w:r>
    </w:p>
    <w:p>
      <w:pPr>
        <w:pStyle w:val="9"/>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c.有效评标价每高于评标基准价1个百分点，扣1分。</w:t>
      </w:r>
    </w:p>
    <w:p>
      <w:pPr>
        <w:pStyle w:val="9"/>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以上报价得分不足一个百分点时，使用直线插入法计算，保留小数2位。</w:t>
      </w:r>
    </w:p>
    <w:p>
      <w:pPr>
        <w:pStyle w:val="9"/>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投标文件的商务标评分不足30分的，计为30分。</w:t>
      </w:r>
    </w:p>
    <w:p>
      <w:pPr>
        <w:pStyle w:val="9"/>
        <w:spacing w:line="360" w:lineRule="exact"/>
        <w:rPr>
          <w:rFonts w:hAnsi="宋体" w:cs="Calibri"/>
          <w:b/>
          <w:sz w:val="22"/>
          <w:szCs w:val="22"/>
        </w:rPr>
      </w:pPr>
      <w:r>
        <w:rPr>
          <w:rFonts w:hAnsi="宋体" w:cs="Calibri"/>
          <w:b/>
          <w:sz w:val="22"/>
          <w:szCs w:val="22"/>
        </w:rPr>
        <w:t>3.4推荐中标候选人</w:t>
      </w:r>
    </w:p>
    <w:p>
      <w:pPr>
        <w:pStyle w:val="9"/>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lang w:val="en-US" w:eastAsia="zh-CN"/>
        </w:rPr>
        <w:t>4</w:t>
      </w:r>
      <w:r>
        <w:rPr>
          <w:rFonts w:hAnsi="宋体" w:cs="Calibri"/>
          <w:sz w:val="22"/>
          <w:szCs w:val="22"/>
        </w:rPr>
        <w:t>.1当有效投标文件大于等于二名时，评标委员会</w:t>
      </w:r>
      <w:r>
        <w:rPr>
          <w:rFonts w:hint="eastAsia" w:hAnsi="宋体" w:cs="Calibri"/>
          <w:sz w:val="22"/>
          <w:szCs w:val="22"/>
        </w:rPr>
        <w:t>推荐得分最高的投标人为中标候选人（如果得分相同则按投标人报价从低到高顺序推荐为中标候选人，如果投标报价也相同，则抽签决定）。</w:t>
      </w:r>
    </w:p>
    <w:p>
      <w:pPr>
        <w:pStyle w:val="9"/>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lang w:val="en-US" w:eastAsia="zh-CN"/>
        </w:rPr>
        <w:t>4</w:t>
      </w:r>
      <w:r>
        <w:rPr>
          <w:rFonts w:hAnsi="宋体" w:cs="Calibri"/>
          <w:sz w:val="22"/>
          <w:szCs w:val="22"/>
        </w:rPr>
        <w:t>.3当有效投标文件只有一名时，则由评标委员会确定是否推荐为中标候选人。</w:t>
      </w:r>
    </w:p>
    <w:p>
      <w:pPr>
        <w:pStyle w:val="9"/>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9"/>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9"/>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9"/>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w:t>
      </w:r>
      <w:r>
        <w:rPr>
          <w:rFonts w:hint="eastAsia" w:hAnsi="宋体" w:cs="Calibri"/>
          <w:sz w:val="22"/>
          <w:szCs w:val="22"/>
        </w:rPr>
        <w:t>可</w:t>
      </w:r>
      <w:r>
        <w:rPr>
          <w:rFonts w:hAnsi="宋体" w:cs="Calibri"/>
          <w:sz w:val="22"/>
          <w:szCs w:val="22"/>
        </w:rPr>
        <w:t>重新招标。</w:t>
      </w:r>
    </w:p>
    <w:p>
      <w:pPr>
        <w:pStyle w:val="9"/>
        <w:adjustRightInd w:val="0"/>
        <w:snapToGrid w:val="0"/>
        <w:spacing w:line="360" w:lineRule="exact"/>
        <w:ind w:firstLine="440" w:firstLineChars="200"/>
        <w:rPr>
          <w:rFonts w:hAnsi="宋体" w:cs="Calibri"/>
          <w:sz w:val="22"/>
          <w:szCs w:val="22"/>
        </w:rPr>
      </w:pPr>
      <w:r>
        <w:rPr>
          <w:rFonts w:hint="eastAsia" w:hAnsi="宋体" w:cs="Calibri"/>
          <w:sz w:val="22"/>
          <w:szCs w:val="22"/>
        </w:rPr>
        <w:t xml:space="preserve">4.2 </w:t>
      </w:r>
      <w:r>
        <w:rPr>
          <w:rFonts w:hAnsi="宋体" w:cs="Calibri"/>
          <w:sz w:val="22"/>
          <w:szCs w:val="22"/>
        </w:rPr>
        <w:t xml:space="preserve"> 如发生投诉争议等情况时，经查实中标候选人存在违法、违规行为，不符合中标条件，且该行为在评标时是无法发现和确认的，招标人可重新招标。</w:t>
      </w:r>
    </w:p>
    <w:p>
      <w:pPr>
        <w:rPr>
          <w:rFonts w:ascii="宋体" w:hAnsi="宋体" w:cs="宋体"/>
          <w:b/>
          <w:bCs/>
          <w:sz w:val="24"/>
          <w:szCs w:val="24"/>
        </w:rPr>
      </w:pPr>
    </w:p>
    <w:bookmarkEnd w:id="117"/>
    <w:p/>
    <w:p>
      <w:pPr>
        <w:pStyle w:val="3"/>
        <w:spacing w:before="0" w:after="0" w:line="360" w:lineRule="auto"/>
        <w:jc w:val="center"/>
        <w:rPr>
          <w:rFonts w:ascii="Calibri" w:hAnsi="Calibri" w:eastAsia="黑体" w:cs="Calibri"/>
          <w:kern w:val="0"/>
          <w:sz w:val="32"/>
        </w:rPr>
      </w:pPr>
      <w:r>
        <w:br w:type="page"/>
      </w:r>
      <w:bookmarkStart w:id="118"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8"/>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9" w:name="_Toc171421958"/>
      <w:r>
        <w:rPr>
          <w:rFonts w:cs="Calibri"/>
          <w:color w:val="000000"/>
        </w:rPr>
        <w:t>封面</w:t>
      </w:r>
      <w:bookmarkEnd w:id="119"/>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杭州萧山国际机场航站楼地下车库进出口伸缩缝排水沟清淤项目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276" w:lineRule="auto"/>
        <w:rPr>
          <w:rFonts w:cs="宋体"/>
          <w:b/>
          <w:sz w:val="22"/>
        </w:rPr>
      </w:pPr>
      <w:r>
        <w:rPr>
          <w:rFonts w:cs="宋体"/>
          <w:b/>
          <w:sz w:val="22"/>
          <w:u w:val="single"/>
        </w:rPr>
        <w:t xml:space="preserve">                    </w:t>
      </w:r>
      <w:r>
        <w:rPr>
          <w:rFonts w:cs="宋体"/>
          <w:b/>
          <w:sz w:val="22"/>
        </w:rPr>
        <w:t>（招标人）：</w:t>
      </w:r>
    </w:p>
    <w:p>
      <w:pPr>
        <w:spacing w:line="276" w:lineRule="auto"/>
        <w:ind w:firstLine="220" w:firstLineChars="100"/>
        <w:rPr>
          <w:rFonts w:cs="宋体"/>
          <w:sz w:val="22"/>
        </w:rPr>
      </w:pPr>
      <w:r>
        <w:rPr>
          <w:rFonts w:cs="宋体"/>
          <w:sz w:val="22"/>
        </w:rPr>
        <w:t xml:space="preserve">    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cs="宋体"/>
          <w:sz w:val="22"/>
        </w:rPr>
        <w:t>），服务期</w:t>
      </w:r>
      <w:r>
        <w:rPr>
          <w:rFonts w:hint="eastAsia" w:cs="宋体"/>
          <w:sz w:val="22"/>
          <w:u w:val="single"/>
        </w:rPr>
        <w:t xml:space="preserve"> </w:t>
      </w:r>
      <w:r>
        <w:rPr>
          <w:rFonts w:cs="宋体"/>
          <w:b/>
          <w:sz w:val="22"/>
          <w:u w:val="single"/>
        </w:rPr>
        <w:t xml:space="preserve">响应招标文件要求 </w:t>
      </w:r>
      <w:r>
        <w:rPr>
          <w:rFonts w:cs="宋体"/>
          <w:sz w:val="22"/>
        </w:rPr>
        <w:t>。</w:t>
      </w:r>
    </w:p>
    <w:p>
      <w:pPr>
        <w:spacing w:line="276" w:lineRule="auto"/>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pacing w:line="276" w:lineRule="auto"/>
        <w:ind w:firstLine="440" w:firstLineChars="200"/>
        <w:rPr>
          <w:rFonts w:ascii="宋体" w:hAnsi="宋体"/>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pacing w:line="276" w:lineRule="auto"/>
        <w:ind w:firstLine="440" w:firstLineChars="200"/>
      </w:pPr>
      <w:r>
        <w:rPr>
          <w:rFonts w:hint="eastAsia" w:ascii="宋体" w:hAnsi="宋体"/>
          <w:sz w:val="22"/>
        </w:rPr>
        <w:t>（2）</w:t>
      </w:r>
      <w:r>
        <w:rPr>
          <w:rFonts w:ascii="宋体" w:hAnsi="宋体"/>
          <w:b/>
          <w:bCs/>
          <w:spacing w:val="-1"/>
          <w:sz w:val="22"/>
        </w:rPr>
        <w:t>具有一般纳税人资格，</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pacing w:line="276" w:lineRule="auto"/>
        <w:ind w:firstLine="440" w:firstLineChars="200"/>
        <w:rPr>
          <w:rFonts w:cs="宋体"/>
          <w:b/>
          <w:sz w:val="22"/>
        </w:rPr>
      </w:pPr>
      <w:r>
        <w:rPr>
          <w:rFonts w:ascii="宋体" w:hAnsi="宋体"/>
          <w:sz w:val="22"/>
        </w:rPr>
        <w:t>（</w:t>
      </w:r>
      <w:r>
        <w:rPr>
          <w:rFonts w:hint="eastAsia" w:ascii="宋体" w:hAnsi="宋体"/>
          <w:sz w:val="22"/>
        </w:rPr>
        <w:t>3）我方</w:t>
      </w:r>
      <w:bookmarkStart w:id="120" w:name="_Hlk47708015"/>
      <w:r>
        <w:rPr>
          <w:rFonts w:hint="eastAsia" w:ascii="宋体" w:hAnsi="宋体"/>
          <w:sz w:val="22"/>
        </w:rPr>
        <w:t>未</w:t>
      </w:r>
      <w:r>
        <w:rPr>
          <w:rFonts w:ascii="宋体" w:hAnsi="宋体"/>
          <w:sz w:val="22"/>
        </w:rPr>
        <w:t>被列入失信被执行人名单</w:t>
      </w:r>
      <w:bookmarkEnd w:id="120"/>
      <w:r>
        <w:rPr>
          <w:rFonts w:ascii="宋体" w:hAnsi="宋体"/>
          <w:sz w:val="22"/>
        </w:rPr>
        <w:t>（以投标截止日“信用中国”网站查询结果为准）</w:t>
      </w:r>
      <w:r>
        <w:rPr>
          <w:rFonts w:hint="eastAsia" w:ascii="宋体" w:hAnsi="宋体"/>
          <w:sz w:val="22"/>
        </w:rPr>
        <w:t>；</w:t>
      </w:r>
    </w:p>
    <w:p>
      <w:pPr>
        <w:spacing w:line="276" w:lineRule="auto"/>
        <w:ind w:firstLine="440" w:firstLineChars="200"/>
        <w:rPr>
          <w:rFonts w:cs="宋体"/>
          <w:b/>
          <w:sz w:val="22"/>
        </w:rPr>
      </w:pPr>
      <w:r>
        <w:rPr>
          <w:rFonts w:hint="eastAsia" w:ascii="宋体" w:hAnsi="宋体"/>
          <w:sz w:val="22"/>
        </w:rPr>
        <w:t>（4）</w:t>
      </w:r>
      <w:r>
        <w:rPr>
          <w:rFonts w:hint="eastAsia" w:ascii="宋体" w:hAnsi="宋体" w:cs="宋体"/>
          <w:sz w:val="22"/>
        </w:rPr>
        <w:t>我方及</w:t>
      </w:r>
      <w:r>
        <w:rPr>
          <w:rFonts w:ascii="宋体" w:hAnsi="宋体" w:cs="宋体"/>
          <w:sz w:val="22"/>
        </w:rPr>
        <w:t>拟派的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pacing w:line="276" w:lineRule="auto"/>
        <w:ind w:firstLine="440" w:firstLineChars="200"/>
        <w:rPr>
          <w:kern w:val="0"/>
          <w:sz w:val="22"/>
        </w:rPr>
      </w:pPr>
      <w:r>
        <w:rPr>
          <w:rFonts w:hint="eastAsia" w:ascii="宋体" w:hAnsi="宋体"/>
          <w:sz w:val="22"/>
        </w:rPr>
        <w:t>（5）</w:t>
      </w:r>
      <w:r>
        <w:rPr>
          <w:kern w:val="0"/>
          <w:sz w:val="22"/>
        </w:rPr>
        <w:t>在招投标过程中，廉洁自律并对所获悉的招标人的相关信息予以保密；如我方中标，承诺将招标文件所附的廉洁自律承诺书作为合同附件</w:t>
      </w:r>
      <w:r>
        <w:rPr>
          <w:rFonts w:hint="eastAsia"/>
          <w:kern w:val="0"/>
          <w:sz w:val="22"/>
        </w:rPr>
        <w:t>；</w:t>
      </w:r>
    </w:p>
    <w:p>
      <w:pPr>
        <w:spacing w:line="276" w:lineRule="auto"/>
        <w:ind w:firstLine="440" w:firstLineChars="200"/>
        <w:rPr>
          <w:rFonts w:cs="宋体"/>
          <w:sz w:val="22"/>
        </w:rPr>
      </w:pPr>
      <w:r>
        <w:rPr>
          <w:rFonts w:ascii="宋体" w:hAnsi="宋体"/>
          <w:sz w:val="22"/>
        </w:rPr>
        <w:t>2</w:t>
      </w:r>
      <w:r>
        <w:rPr>
          <w:rFonts w:hint="eastAsia" w:ascii="宋体" w:hAnsi="宋体"/>
          <w:sz w:val="22"/>
        </w:rPr>
        <w:t>.我方在此声明，所递交的投标文件及有关资料内容完整、真实和准确。</w:t>
      </w:r>
      <w:r>
        <w:rPr>
          <w:kern w:val="0"/>
          <w:sz w:val="22"/>
        </w:rPr>
        <w:t>以上承诺如有虚假，我方愿意接受</w:t>
      </w:r>
      <w:r>
        <w:rPr>
          <w:rFonts w:hint="eastAsia"/>
          <w:kern w:val="0"/>
          <w:sz w:val="22"/>
        </w:rPr>
        <w:t>招标人</w:t>
      </w:r>
      <w:r>
        <w:rPr>
          <w:kern w:val="0"/>
          <w:sz w:val="22"/>
        </w:rPr>
        <w:t>处罚，给招标人造成损失的，愿意依法承担赔偿责任。如已中标，同意招标人取消我公司中标资格的处理。</w:t>
      </w:r>
    </w:p>
    <w:p>
      <w:pPr>
        <w:spacing w:line="276" w:lineRule="auto"/>
        <w:ind w:firstLine="440" w:firstLineChars="200"/>
        <w:rPr>
          <w:rFonts w:cs="宋体"/>
          <w:sz w:val="22"/>
        </w:rPr>
      </w:pPr>
      <w:r>
        <w:rPr>
          <w:rFonts w:ascii="宋体" w:hAnsi="宋体"/>
          <w:sz w:val="22"/>
        </w:rPr>
        <w:t>3</w:t>
      </w:r>
      <w:r>
        <w:rPr>
          <w:rFonts w:hint="eastAsia" w:ascii="宋体" w:hAnsi="宋体"/>
          <w:sz w:val="22"/>
        </w:rPr>
        <w:t>.我方已详细审查招标文件包括澄清函和修改文件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已完全理解上述文件的全部内容，并放弃提出任何误解或不明作为抗辩的权利。</w:t>
      </w:r>
    </w:p>
    <w:p>
      <w:pPr>
        <w:spacing w:line="276" w:lineRule="auto"/>
        <w:ind w:firstLine="440" w:firstLineChars="200"/>
        <w:rPr>
          <w:rFonts w:cs="宋体"/>
          <w:sz w:val="22"/>
        </w:rPr>
      </w:pPr>
      <w:r>
        <w:rPr>
          <w:rFonts w:ascii="宋体" w:hAnsi="宋体"/>
          <w:sz w:val="22"/>
        </w:rPr>
        <w:t>4</w:t>
      </w:r>
      <w:r>
        <w:rPr>
          <w:rFonts w:hint="eastAsia" w:ascii="宋体" w:hAnsi="宋体"/>
          <w:sz w:val="22"/>
        </w:rPr>
        <w:t>.我方同意按照你方可能提出的要求，提供有关的任何其它数字或资料，并对你方可能不接受最低报价及任何报价表示理解。</w:t>
      </w:r>
    </w:p>
    <w:p>
      <w:pPr>
        <w:spacing w:line="276" w:lineRule="auto"/>
        <w:ind w:firstLine="440" w:firstLineChars="200"/>
        <w:rPr>
          <w:rFonts w:cs="宋体"/>
          <w:sz w:val="22"/>
        </w:rPr>
      </w:pPr>
      <w:r>
        <w:rPr>
          <w:rFonts w:ascii="宋体" w:hAnsi="宋体"/>
          <w:sz w:val="22"/>
        </w:rPr>
        <w:t>5</w:t>
      </w:r>
      <w:r>
        <w:rPr>
          <w:rFonts w:hint="eastAsia" w:ascii="宋体" w:hAnsi="宋体"/>
          <w:sz w:val="22"/>
        </w:rPr>
        <w:t>.在合同协议书正式签署生效之前，本投标函连同你方的中标通知书将构成我们双方之间共同遵守的文件，对双方具有约束力。</w:t>
      </w:r>
    </w:p>
    <w:p>
      <w:pPr>
        <w:spacing w:line="276" w:lineRule="auto"/>
        <w:ind w:firstLine="502" w:firstLineChars="228"/>
        <w:rPr>
          <w:rFonts w:cs="宋体"/>
          <w:b/>
          <w:sz w:val="22"/>
        </w:rPr>
      </w:pPr>
      <w:r>
        <w:rPr>
          <w:rFonts w:ascii="宋体" w:hAnsi="宋体"/>
          <w:sz w:val="22"/>
        </w:rPr>
        <w:t>6</w:t>
      </w:r>
      <w:r>
        <w:rPr>
          <w:rFonts w:hint="eastAsia" w:ascii="宋体" w:hAnsi="宋体"/>
          <w:sz w:val="22"/>
        </w:rPr>
        <w:t>.（其他补充说明）</w:t>
      </w:r>
      <w:r>
        <w:rPr>
          <w:rFonts w:ascii="宋体" w:hAnsi="宋体"/>
          <w:sz w:val="22"/>
          <w:u w:val="single"/>
        </w:rPr>
        <w:t xml:space="preserve">                                              </w:t>
      </w:r>
      <w:r>
        <w:rPr>
          <w:rFonts w:hint="eastAsia" w:ascii="宋体" w:hAnsi="宋体"/>
          <w:sz w:val="22"/>
        </w:rPr>
        <w:t>。</w:t>
      </w:r>
    </w:p>
    <w:p>
      <w:pPr>
        <w:spacing w:line="276" w:lineRule="auto"/>
        <w:ind w:left="480" w:firstLine="221" w:firstLineChars="100"/>
        <w:rPr>
          <w:rFonts w:cs="宋体"/>
          <w:b/>
          <w:sz w:val="22"/>
        </w:rPr>
      </w:pPr>
    </w:p>
    <w:p>
      <w:pPr>
        <w:spacing w:line="276" w:lineRule="auto"/>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pacing w:line="276" w:lineRule="auto"/>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pacing w:line="276" w:lineRule="auto"/>
        <w:ind w:firstLine="3969" w:firstLineChars="1804"/>
        <w:jc w:val="left"/>
        <w:rPr>
          <w:rFonts w:cs="宋体"/>
          <w:sz w:val="22"/>
          <w:u w:val="single"/>
        </w:rPr>
      </w:pPr>
      <w:r>
        <w:rPr>
          <w:rFonts w:cs="宋体"/>
          <w:sz w:val="22"/>
        </w:rPr>
        <w:t>联系人：</w:t>
      </w:r>
      <w:r>
        <w:rPr>
          <w:rFonts w:cs="宋体"/>
          <w:sz w:val="22"/>
          <w:u w:val="single"/>
        </w:rPr>
        <w:t xml:space="preserve">                    </w:t>
      </w:r>
    </w:p>
    <w:p>
      <w:pPr>
        <w:spacing w:line="276" w:lineRule="auto"/>
        <w:ind w:firstLine="3969" w:firstLineChars="1804"/>
        <w:jc w:val="left"/>
        <w:rPr>
          <w:rFonts w:cs="宋体"/>
          <w:sz w:val="22"/>
          <w:u w:val="single"/>
        </w:rPr>
      </w:pPr>
      <w:r>
        <w:rPr>
          <w:rFonts w:cs="宋体"/>
          <w:sz w:val="22"/>
        </w:rPr>
        <w:t>联系地址：</w:t>
      </w:r>
      <w:r>
        <w:rPr>
          <w:rFonts w:cs="宋体"/>
          <w:sz w:val="22"/>
          <w:u w:val="single"/>
        </w:rPr>
        <w:t xml:space="preserve">                    </w:t>
      </w:r>
    </w:p>
    <w:p>
      <w:pPr>
        <w:spacing w:line="276" w:lineRule="auto"/>
        <w:ind w:firstLine="3969" w:firstLineChars="1804"/>
        <w:jc w:val="left"/>
        <w:rPr>
          <w:rFonts w:cs="宋体"/>
          <w:sz w:val="22"/>
          <w:u w:val="single"/>
        </w:rPr>
      </w:pPr>
      <w:r>
        <w:rPr>
          <w:rFonts w:cs="宋体"/>
          <w:sz w:val="22"/>
        </w:rPr>
        <w:t>电话：</w:t>
      </w:r>
      <w:r>
        <w:rPr>
          <w:rFonts w:cs="宋体"/>
          <w:sz w:val="22"/>
          <w:u w:val="single"/>
        </w:rPr>
        <w:t xml:space="preserve">                    </w:t>
      </w:r>
    </w:p>
    <w:p>
      <w:pPr>
        <w:spacing w:line="276" w:lineRule="auto"/>
        <w:ind w:firstLine="3969" w:firstLineChars="1804"/>
        <w:jc w:val="left"/>
        <w:rPr>
          <w:rFonts w:cs="宋体"/>
          <w:sz w:val="22"/>
          <w:u w:val="single"/>
        </w:rPr>
      </w:pPr>
      <w:r>
        <w:rPr>
          <w:rFonts w:cs="宋体"/>
          <w:sz w:val="22"/>
        </w:rPr>
        <w:t>邮编：</w:t>
      </w:r>
      <w:r>
        <w:rPr>
          <w:rFonts w:cs="宋体"/>
          <w:sz w:val="22"/>
          <w:u w:val="single"/>
        </w:rPr>
        <w:t xml:space="preserve">                    </w:t>
      </w:r>
    </w:p>
    <w:p>
      <w:pPr>
        <w:spacing w:line="276" w:lineRule="auto"/>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snapToGrid w:val="0"/>
        <w:spacing w:line="440" w:lineRule="exact"/>
        <w:ind w:firstLine="3150" w:firstLineChars="1500"/>
        <w:rPr>
          <w:rFonts w:cs="Calibri"/>
          <w:color w:val="000000"/>
          <w:szCs w:val="21"/>
        </w:rPr>
      </w:pPr>
    </w:p>
    <w:p>
      <w:pPr>
        <w:snapToGrid w:val="0"/>
        <w:spacing w:line="440" w:lineRule="exact"/>
        <w:ind w:firstLine="3150" w:firstLineChars="1500"/>
        <w:rPr>
          <w:rFonts w:cs="Calibri"/>
          <w:color w:val="000000"/>
          <w:szCs w:val="21"/>
        </w:rPr>
      </w:pPr>
    </w:p>
    <w:p>
      <w:pPr>
        <w:spacing w:line="440" w:lineRule="exact"/>
        <w:jc w:val="center"/>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lang w:val="en-US" w:eastAsia="zh-CN"/>
        </w:rPr>
        <w:t>二</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单位：元</w:t>
      </w:r>
    </w:p>
    <w:tbl>
      <w:tblPr>
        <w:tblStyle w:val="20"/>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3167"/>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2224" w:type="dxa"/>
            <w:vAlign w:val="center"/>
          </w:tcPr>
          <w:p>
            <w:pPr>
              <w:jc w:val="right"/>
              <w:rPr>
                <w:rFonts w:hint="eastAsia"/>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-2540</wp:posOffset>
                      </wp:positionV>
                      <wp:extent cx="1409700" cy="1018540"/>
                      <wp:effectExtent l="2540" t="3810" r="16510" b="6350"/>
                      <wp:wrapNone/>
                      <wp:docPr id="1" name="直接连接符 1"/>
                      <wp:cNvGraphicFramePr/>
                      <a:graphic xmlns:a="http://schemas.openxmlformats.org/drawingml/2006/main">
                        <a:graphicData uri="http://schemas.microsoft.com/office/word/2010/wordprocessingShape">
                          <wps:wsp>
                            <wps:cNvCnPr/>
                            <wps:spPr>
                              <a:xfrm>
                                <a:off x="723265" y="1553845"/>
                                <a:ext cx="1409700" cy="1018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pt;margin-top:-0.2pt;height:80.2pt;width:111pt;z-index:251660288;mso-width-relative:page;mso-height-relative:page;" filled="f" stroked="t" coordsize="21600,21600" o:gfxdata="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6EjLvWAAAACQEAAA8AAAAAAAAA&#10;AQAgAAAAIgAAAGRycy9kb3ducmV2LnhtbFBLAQIUABQAAAAIAIdO4kCt3GFR2gEAAHQDAAAOAAAA&#10;AAAAAAEAIAAAACUBAABkcnMvZTJvRG9jLnhtbFBLBQYAAAAABgAGAFkBAABxBQAAAAA=&#10;">
                      <v:fill on="f" focussize="0,0"/>
                      <v:stroke weight="0.5pt" color="#000000 [3200]" miterlimit="8" joinstyle="miter"/>
                      <v:imagedata o:title=""/>
                      <o:lock v:ext="edit" aspectratio="f"/>
                    </v:line>
                  </w:pict>
                </mc:Fallback>
              </mc:AlternateContent>
            </w:r>
            <w:r>
              <w:rPr>
                <w:rFonts w:hint="eastAsia"/>
                <w:lang w:val="en-US" w:eastAsia="zh-CN"/>
              </w:rPr>
              <w:t xml:space="preserve">      </w:t>
            </w:r>
          </w:p>
          <w:p>
            <w:pPr>
              <w:jc w:val="right"/>
              <w:rPr>
                <w:rFonts w:hint="eastAsia"/>
                <w:lang w:val="en-US" w:eastAsia="zh-CN"/>
              </w:rPr>
            </w:pPr>
          </w:p>
          <w:p>
            <w:pPr>
              <w:jc w:val="right"/>
              <w:rPr>
                <w:rFonts w:hint="eastAsia"/>
                <w:lang w:val="en-US" w:eastAsia="zh-CN"/>
              </w:rPr>
            </w:pPr>
            <w:r>
              <w:rPr>
                <w:rFonts w:hint="eastAsia"/>
                <w:lang w:val="en-US" w:eastAsia="zh-CN"/>
              </w:rPr>
              <w:t>费用名称</w:t>
            </w:r>
          </w:p>
          <w:p>
            <w:pPr>
              <w:jc w:val="left"/>
              <w:rPr>
                <w:rFonts w:hint="eastAsia"/>
                <w:lang w:val="en-US" w:eastAsia="zh-CN"/>
              </w:rPr>
            </w:pPr>
          </w:p>
          <w:p>
            <w:pPr>
              <w:jc w:val="left"/>
              <w:rPr>
                <w:rFonts w:hint="eastAsia" w:eastAsia="宋体"/>
                <w:lang w:val="en-US" w:eastAsia="zh-CN"/>
              </w:rPr>
            </w:pPr>
            <w:r>
              <w:rPr>
                <w:rFonts w:hint="eastAsia"/>
                <w:lang w:val="en-US" w:eastAsia="zh-CN"/>
              </w:rPr>
              <w:t>金额</w:t>
            </w:r>
          </w:p>
        </w:tc>
        <w:tc>
          <w:tcPr>
            <w:tcW w:w="3167" w:type="dxa"/>
            <w:vAlign w:val="center"/>
          </w:tcPr>
          <w:p>
            <w:pPr>
              <w:jc w:val="center"/>
              <w:rPr>
                <w:rFonts w:hint="eastAsia" w:eastAsia="宋体" w:cs="Calibri"/>
                <w:szCs w:val="21"/>
                <w:lang w:val="en-US" w:eastAsia="zh-CN"/>
              </w:rPr>
            </w:pPr>
            <w:r>
              <w:rPr>
                <w:rFonts w:hint="eastAsia" w:cs="Calibri"/>
                <w:szCs w:val="21"/>
                <w:lang w:val="en-US" w:eastAsia="zh-CN"/>
              </w:rPr>
              <w:t>每月服务费</w:t>
            </w:r>
          </w:p>
        </w:tc>
        <w:tc>
          <w:tcPr>
            <w:tcW w:w="3649" w:type="dxa"/>
            <w:tcBorders>
              <w:left w:val="single" w:color="auto" w:sz="4" w:space="0"/>
            </w:tcBorders>
            <w:vAlign w:val="center"/>
          </w:tcPr>
          <w:p>
            <w:pPr>
              <w:jc w:val="center"/>
              <w:rPr>
                <w:rFonts w:hint="eastAsia" w:eastAsia="宋体" w:cs="Calibri"/>
                <w:szCs w:val="21"/>
                <w:lang w:val="en-US" w:eastAsia="zh-CN"/>
              </w:rPr>
            </w:pPr>
            <w:r>
              <w:rPr>
                <w:rFonts w:hint="eastAsia" w:cs="Calibri"/>
                <w:szCs w:val="21"/>
                <w:lang w:val="en-US" w:eastAsia="zh-CN"/>
              </w:rPr>
              <w:t>服务费总价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224" w:type="dxa"/>
            <w:vAlign w:val="center"/>
          </w:tcPr>
          <w:p>
            <w:pPr>
              <w:jc w:val="center"/>
              <w:rPr>
                <w:rFonts w:ascii="宋体" w:hAnsi="宋体" w:cs="宋体"/>
                <w:b/>
                <w:szCs w:val="21"/>
              </w:rPr>
            </w:pPr>
            <w:r>
              <w:rPr>
                <w:rFonts w:hint="eastAsia" w:ascii="宋体" w:hAnsi="宋体" w:cs="宋体"/>
                <w:bCs/>
                <w:szCs w:val="21"/>
              </w:rPr>
              <w:t>不含税价格</w:t>
            </w:r>
          </w:p>
        </w:tc>
        <w:tc>
          <w:tcPr>
            <w:tcW w:w="3167" w:type="dxa"/>
            <w:vAlign w:val="center"/>
          </w:tcPr>
          <w:p>
            <w:pPr>
              <w:jc w:val="right"/>
              <w:rPr>
                <w:rFonts w:cs="Calibri"/>
                <w:bCs/>
                <w:szCs w:val="21"/>
              </w:rPr>
            </w:pPr>
          </w:p>
        </w:tc>
        <w:tc>
          <w:tcPr>
            <w:tcW w:w="3649" w:type="dxa"/>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224" w:type="dxa"/>
            <w:vAlign w:val="center"/>
          </w:tcPr>
          <w:p>
            <w:pPr>
              <w:jc w:val="center"/>
              <w:rPr>
                <w:rFonts w:ascii="宋体" w:hAnsi="宋体" w:cs="宋体"/>
                <w:bCs/>
                <w:szCs w:val="21"/>
              </w:rPr>
            </w:pPr>
            <w:r>
              <w:rPr>
                <w:rFonts w:hint="eastAsia" w:ascii="宋体" w:hAnsi="宋体" w:cs="宋体"/>
                <w:bCs/>
                <w:szCs w:val="21"/>
              </w:rPr>
              <w:t>税金</w:t>
            </w:r>
          </w:p>
        </w:tc>
        <w:tc>
          <w:tcPr>
            <w:tcW w:w="3167" w:type="dxa"/>
            <w:vAlign w:val="center"/>
          </w:tcPr>
          <w:p>
            <w:pPr>
              <w:jc w:val="right"/>
              <w:rPr>
                <w:rFonts w:cs="Calibri"/>
                <w:bCs/>
                <w:szCs w:val="21"/>
              </w:rPr>
            </w:pPr>
          </w:p>
        </w:tc>
        <w:tc>
          <w:tcPr>
            <w:tcW w:w="3649" w:type="dxa"/>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2224" w:type="dxa"/>
            <w:vAlign w:val="center"/>
          </w:tcPr>
          <w:p>
            <w:pPr>
              <w:jc w:val="center"/>
              <w:rPr>
                <w:rFonts w:cs="Calibri"/>
                <w:bCs/>
                <w:szCs w:val="21"/>
              </w:rPr>
            </w:pPr>
            <w:r>
              <w:rPr>
                <w:rFonts w:cs="Calibri"/>
                <w:bCs/>
                <w:szCs w:val="21"/>
              </w:rPr>
              <w:t>价税合计</w:t>
            </w:r>
          </w:p>
        </w:tc>
        <w:tc>
          <w:tcPr>
            <w:tcW w:w="3167" w:type="dxa"/>
            <w:vAlign w:val="center"/>
          </w:tcPr>
          <w:p>
            <w:pPr>
              <w:jc w:val="right"/>
              <w:rPr>
                <w:rFonts w:cs="Calibri"/>
                <w:bCs/>
                <w:szCs w:val="21"/>
              </w:rPr>
            </w:pPr>
          </w:p>
        </w:tc>
        <w:tc>
          <w:tcPr>
            <w:tcW w:w="3649" w:type="dxa"/>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hint="eastAsia" w:eastAsia="宋体" w:cs="Calibri"/>
          <w:b/>
          <w:szCs w:val="21"/>
          <w:lang w:val="en-US" w:eastAsia="zh-CN"/>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lang w:val="en-US" w:eastAsia="zh-CN"/>
        </w:rPr>
        <w:t>三</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026" name="Text Box 6"/>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vert="horz" wrap="square" lIns="91440" tIns="45720" rIns="91440" bIns="45720" anchor="t" upright="1">
                        <a:noAutofit/>
                      </wps:bodyPr>
                    </wps:wsp>
                  </a:graphicData>
                </a:graphic>
              </wp:anchor>
            </w:drawing>
          </mc:Choice>
          <mc:Fallback>
            <w:pict>
              <v:rect id="Text Box 6" o:spid="_x0000_s1026" o:spt="1"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6Yi9vWAAAABwEA&#10;AA8AAAAAAAAAAQAgAAAAIgAAAGRycy9kb3ducmV2LnhtbFBLAQIUABQAAAAIAIdO4kDY6Yy7HAIA&#10;AFQEAAAOAAAAAAAAAAEAIAAAACUBAABkcnMvZTJvRG9jLnhtbFBLBQYAAAAABgAGAFkBAACzBQAA&#10;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rect>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lang w:val="en-US" w:eastAsia="zh-CN"/>
        </w:rPr>
        <w:t>四</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027" name="Text Box 7"/>
                <wp:cNvGraphicFramePr/>
                <a:graphic xmlns:a="http://schemas.openxmlformats.org/drawingml/2006/main">
                  <a:graphicData uri="http://schemas.microsoft.com/office/word/2010/wordprocessingShape">
                    <wps:wsp>
                      <wps:cNvSpPr/>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vert="horz" wrap="square" lIns="91440" tIns="45720" rIns="91440" bIns="45720" anchor="t" upright="1">
                        <a:noAutofit/>
                      </wps:bodyPr>
                    </wps:wsp>
                  </a:graphicData>
                </a:graphic>
              </wp:anchor>
            </w:drawing>
          </mc:Choice>
          <mc:Fallback>
            <w:pict>
              <v:rect id="Text Box 7" o:spid="_x0000_s1026" o:spt="1"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Mx1ldcAAAAJ&#10;AQAADwAAAAAAAAABACAAAAAiAAAAZHJzL2Rvd25yZXYueG1sUEsBAhQAFAAAAAgAh07iQOr7UZcd&#10;AgAAVAQAAA4AAAAAAAAAAQAgAAAAJgEAAGRycy9lMm9Eb2MueG1sUEsFBgAAAAAGAAYAWQEAALU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rect>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20"/>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numPr>
          <w:ilvl w:val="0"/>
          <w:numId w:val="0"/>
        </w:numPr>
        <w:spacing w:line="440" w:lineRule="exact"/>
        <w:jc w:val="center"/>
        <w:rPr>
          <w:rFonts w:eastAsia="黑体" w:cs="Calibri"/>
          <w:color w:val="000000"/>
          <w:sz w:val="32"/>
          <w:szCs w:val="32"/>
        </w:rPr>
      </w:pPr>
      <w:r>
        <w:rPr>
          <w:rFonts w:hint="eastAsia" w:eastAsia="黑体" w:cs="Calibri"/>
          <w:color w:val="000000"/>
          <w:sz w:val="32"/>
          <w:szCs w:val="32"/>
          <w:lang w:eastAsia="zh-CN"/>
        </w:rPr>
        <w:t>（</w:t>
      </w:r>
      <w:r>
        <w:rPr>
          <w:rFonts w:hint="eastAsia" w:eastAsia="黑体" w:cs="Calibri"/>
          <w:color w:val="000000"/>
          <w:sz w:val="32"/>
          <w:szCs w:val="32"/>
          <w:lang w:val="en-US" w:eastAsia="zh-CN"/>
        </w:rPr>
        <w:t>四</w:t>
      </w:r>
      <w:r>
        <w:rPr>
          <w:rFonts w:hint="eastAsia" w:eastAsia="黑体" w:cs="Calibri"/>
          <w:color w:val="000000"/>
          <w:sz w:val="32"/>
          <w:szCs w:val="32"/>
          <w:lang w:eastAsia="zh-CN"/>
        </w:rPr>
        <w:t>）</w:t>
      </w: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p>
      <w:pPr>
        <w:pStyle w:val="4"/>
        <w:spacing w:before="156" w:after="156"/>
        <w:rPr>
          <w:rFonts w:ascii="宋体" w:hAnsi="宋体" w:eastAsia="宋体" w:cs="宋体"/>
          <w:sz w:val="21"/>
          <w:szCs w:val="21"/>
        </w:rPr>
      </w:pPr>
    </w:p>
    <w:tbl>
      <w:tblPr>
        <w:tblStyle w:val="20"/>
        <w:tblW w:w="9446" w:type="dxa"/>
        <w:tblInd w:w="0" w:type="dxa"/>
        <w:tblLayout w:type="fixed"/>
        <w:tblCellMar>
          <w:top w:w="0" w:type="dxa"/>
          <w:left w:w="0" w:type="dxa"/>
          <w:bottom w:w="0" w:type="dxa"/>
          <w:right w:w="0" w:type="dxa"/>
        </w:tblCellMar>
      </w:tblPr>
      <w:tblGrid>
        <w:gridCol w:w="538"/>
        <w:gridCol w:w="1648"/>
        <w:gridCol w:w="1095"/>
        <w:gridCol w:w="2385"/>
        <w:gridCol w:w="1515"/>
        <w:gridCol w:w="2265"/>
      </w:tblGrid>
      <w:tr>
        <w:tblPrEx>
          <w:tblLayout w:type="fixed"/>
          <w:tblCellMar>
            <w:top w:w="0" w:type="dxa"/>
            <w:left w:w="0" w:type="dxa"/>
            <w:bottom w:w="0" w:type="dxa"/>
            <w:right w:w="0" w:type="dxa"/>
          </w:tblCellMar>
        </w:tblPrEx>
        <w:trPr>
          <w:trHeight w:val="1089" w:hRule="atLeast"/>
        </w:trPr>
        <w:tc>
          <w:tcPr>
            <w:tcW w:w="538" w:type="dxa"/>
            <w:tcBorders>
              <w:top w:val="single" w:color="000000" w:sz="6"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bookmarkStart w:id="121" w:name="_Toc438052133"/>
            <w:bookmarkEnd w:id="121"/>
            <w:r>
              <w:rPr>
                <w:rFonts w:ascii="宋体" w:hAnsi="宋体" w:cs="宋体"/>
                <w:szCs w:val="21"/>
              </w:rPr>
              <w:t>序号</w:t>
            </w:r>
          </w:p>
        </w:tc>
        <w:tc>
          <w:tcPr>
            <w:tcW w:w="1648" w:type="dxa"/>
            <w:tcBorders>
              <w:top w:val="single" w:color="000000" w:sz="6"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r>
              <w:rPr>
                <w:rFonts w:ascii="宋体" w:hAnsi="宋体" w:cs="宋体"/>
                <w:szCs w:val="21"/>
              </w:rPr>
              <w:t>建设单位名称</w:t>
            </w:r>
          </w:p>
        </w:tc>
        <w:tc>
          <w:tcPr>
            <w:tcW w:w="1095" w:type="dxa"/>
            <w:tcBorders>
              <w:top w:val="single" w:color="000000" w:sz="6"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r>
              <w:rPr>
                <w:rFonts w:ascii="宋体" w:hAnsi="宋体" w:cs="宋体"/>
                <w:szCs w:val="21"/>
              </w:rPr>
              <w:t>建设单位证明人及电话</w:t>
            </w:r>
          </w:p>
        </w:tc>
        <w:tc>
          <w:tcPr>
            <w:tcW w:w="2385" w:type="dxa"/>
            <w:tcBorders>
              <w:top w:val="single" w:color="000000" w:sz="6"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r>
              <w:rPr>
                <w:rFonts w:ascii="宋体" w:hAnsi="宋体" w:cs="宋体"/>
                <w:szCs w:val="21"/>
              </w:rPr>
              <w:t>项目</w:t>
            </w:r>
            <w:r>
              <w:rPr>
                <w:rFonts w:ascii="宋体" w:hAnsi="宋体" w:cs="宋体"/>
                <w:szCs w:val="21"/>
              </w:rPr>
              <w:br w:type="textWrapping"/>
            </w:r>
            <w:r>
              <w:rPr>
                <w:rFonts w:ascii="宋体" w:hAnsi="宋体" w:cs="宋体"/>
                <w:szCs w:val="21"/>
              </w:rPr>
              <w:t>名称</w:t>
            </w:r>
          </w:p>
        </w:tc>
        <w:tc>
          <w:tcPr>
            <w:tcW w:w="1515" w:type="dxa"/>
            <w:tcBorders>
              <w:top w:val="single" w:color="000000" w:sz="6" w:space="0"/>
              <w:left w:val="single" w:color="000000" w:sz="4" w:space="0"/>
              <w:bottom w:val="single" w:color="000000" w:sz="4" w:space="0"/>
              <w:right w:val="single" w:color="000000" w:sz="4" w:space="0"/>
            </w:tcBorders>
            <w:vAlign w:val="center"/>
          </w:tcPr>
          <w:p>
            <w:pPr>
              <w:tabs>
                <w:tab w:val="left" w:pos="-108"/>
                <w:tab w:val="left" w:pos="8347"/>
              </w:tabs>
              <w:spacing w:before="100" w:beforeAutospacing="1" w:after="100" w:afterAutospacing="1" w:line="0" w:lineRule="atLeast"/>
              <w:ind w:left="-109" w:right="-42"/>
              <w:jc w:val="center"/>
              <w:rPr>
                <w:rFonts w:ascii="宋体" w:hAnsi="宋体" w:cs="宋体"/>
                <w:szCs w:val="21"/>
              </w:rPr>
            </w:pPr>
            <w:r>
              <w:rPr>
                <w:rFonts w:ascii="宋体" w:hAnsi="宋体" w:cs="宋体"/>
                <w:szCs w:val="21"/>
              </w:rPr>
              <w:t>合同金额</w:t>
            </w:r>
            <w:r>
              <w:rPr>
                <w:rFonts w:ascii="宋体" w:hAnsi="宋体" w:cs="宋体"/>
                <w:szCs w:val="21"/>
              </w:rPr>
              <w:br w:type="textWrapping"/>
            </w:r>
            <w:r>
              <w:rPr>
                <w:rFonts w:ascii="宋体" w:hAnsi="宋体" w:cs="宋体"/>
                <w:szCs w:val="21"/>
              </w:rPr>
              <w:t>（元）</w:t>
            </w:r>
          </w:p>
        </w:tc>
        <w:tc>
          <w:tcPr>
            <w:tcW w:w="2265" w:type="dxa"/>
            <w:tcBorders>
              <w:top w:val="single" w:color="000000" w:sz="6"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r>
              <w:rPr>
                <w:rFonts w:ascii="宋体" w:hAnsi="宋体" w:cs="宋体"/>
                <w:szCs w:val="21"/>
              </w:rPr>
              <w:t>备注</w:t>
            </w: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648"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095"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385"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1515" w:type="dxa"/>
            <w:tcBorders>
              <w:top w:val="single" w:color="000000" w:sz="4" w:space="0"/>
              <w:left w:val="single" w:color="000000" w:sz="4" w:space="0"/>
              <w:bottom w:val="single" w:color="000000" w:sz="6" w:space="0"/>
              <w:right w:val="single" w:color="000000" w:sz="4"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c>
          <w:tcPr>
            <w:tcW w:w="2265" w:type="dxa"/>
            <w:tcBorders>
              <w:top w:val="single" w:color="000000" w:sz="4" w:space="0"/>
              <w:left w:val="single" w:color="000000" w:sz="4" w:space="0"/>
              <w:bottom w:val="single" w:color="000000" w:sz="6" w:space="0"/>
              <w:right w:val="single" w:color="000000" w:sz="6" w:space="0"/>
            </w:tcBorders>
            <w:vAlign w:val="center"/>
          </w:tcPr>
          <w:p>
            <w:pPr>
              <w:tabs>
                <w:tab w:val="left" w:pos="0"/>
                <w:tab w:val="left" w:pos="8347"/>
              </w:tabs>
              <w:spacing w:before="100" w:beforeAutospacing="1" w:after="100" w:afterAutospacing="1" w:line="0" w:lineRule="atLeast"/>
              <w:ind w:right="-42"/>
              <w:jc w:val="center"/>
              <w:rPr>
                <w:rFonts w:ascii="宋体" w:hAnsi="宋体" w:cs="宋体"/>
                <w:szCs w:val="21"/>
              </w:rPr>
            </w:pPr>
          </w:p>
        </w:tc>
      </w:tr>
    </w:tbl>
    <w:p>
      <w:pPr>
        <w:pStyle w:val="24"/>
        <w:rPr>
          <w:rFonts w:ascii="宋体" w:hAnsi="宋体" w:cs="宋体"/>
          <w:sz w:val="21"/>
        </w:rPr>
      </w:pPr>
      <w:r>
        <w:rPr>
          <w:rFonts w:ascii="宋体" w:hAnsi="宋体" w:cs="宋体"/>
          <w:sz w:val="21"/>
        </w:rPr>
        <w:t>注：提供合同关键页复印件，至少包括首页、内容页、金额页、签字页，需明显体现服务时间、内容、金额。</w:t>
      </w:r>
    </w:p>
    <w:p>
      <w:pPr>
        <w:spacing w:line="440" w:lineRule="exact"/>
        <w:jc w:val="center"/>
        <w:rPr>
          <w:rFonts w:eastAsia="黑体" w:cs="Calibri"/>
          <w:color w:val="000000"/>
          <w:szCs w:val="21"/>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七</w:t>
      </w:r>
      <w:r>
        <w:rPr>
          <w:rFonts w:eastAsia="黑体" w:cs="Calibri"/>
          <w:color w:val="000000"/>
          <w:sz w:val="32"/>
          <w:szCs w:val="32"/>
        </w:rPr>
        <w:t>）项目负责人简介</w:t>
      </w:r>
    </w:p>
    <w:tbl>
      <w:tblPr>
        <w:tblStyle w:val="20"/>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10"/>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10"/>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主要参与</w:t>
      </w:r>
      <w:r>
        <w:rPr>
          <w:rFonts w:hint="eastAsia" w:eastAsia="黑体" w:cs="Calibri"/>
          <w:color w:val="000000"/>
          <w:sz w:val="32"/>
          <w:szCs w:val="32"/>
        </w:rPr>
        <w:t>服务</w:t>
      </w:r>
      <w:r>
        <w:rPr>
          <w:rFonts w:eastAsia="黑体" w:cs="Calibri"/>
          <w:color w:val="000000"/>
          <w:sz w:val="32"/>
          <w:szCs w:val="32"/>
        </w:rPr>
        <w:t>人员简介</w:t>
      </w:r>
    </w:p>
    <w:tbl>
      <w:tblPr>
        <w:tblStyle w:val="2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2"/>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2"/>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2"/>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241"/>
              <w:jc w:val="center"/>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2"/>
              <w:snapToGrid w:val="0"/>
              <w:ind w:firstLine="0"/>
              <w:rPr>
                <w:rFonts w:ascii="Calibri" w:hAnsi="Calibri" w:cs="Calibri"/>
                <w:sz w:val="21"/>
                <w:szCs w:val="21"/>
              </w:rPr>
            </w:pPr>
          </w:p>
        </w:tc>
        <w:tc>
          <w:tcPr>
            <w:tcW w:w="1540" w:type="dxa"/>
          </w:tcPr>
          <w:p>
            <w:pPr>
              <w:pStyle w:val="2"/>
              <w:snapToGrid w:val="0"/>
              <w:ind w:firstLine="241"/>
              <w:jc w:val="center"/>
              <w:rPr>
                <w:rFonts w:ascii="Calibri" w:hAnsi="Calibri" w:cs="Calibri"/>
                <w:sz w:val="21"/>
                <w:szCs w:val="21"/>
              </w:rPr>
            </w:pPr>
          </w:p>
        </w:tc>
        <w:tc>
          <w:tcPr>
            <w:tcW w:w="1520" w:type="dxa"/>
          </w:tcPr>
          <w:p>
            <w:pPr>
              <w:pStyle w:val="2"/>
              <w:snapToGrid w:val="0"/>
              <w:ind w:firstLine="241"/>
              <w:jc w:val="center"/>
              <w:rPr>
                <w:rFonts w:ascii="Calibri" w:hAnsi="Calibri" w:cs="Calibri"/>
                <w:sz w:val="21"/>
                <w:szCs w:val="21"/>
              </w:rPr>
            </w:pPr>
          </w:p>
        </w:tc>
        <w:tc>
          <w:tcPr>
            <w:tcW w:w="1620" w:type="dxa"/>
          </w:tcPr>
          <w:p>
            <w:pPr>
              <w:pStyle w:val="2"/>
              <w:snapToGrid w:val="0"/>
              <w:ind w:firstLine="241"/>
              <w:jc w:val="center"/>
              <w:rPr>
                <w:rFonts w:ascii="Calibri" w:hAnsi="Calibri" w:cs="Calibri"/>
                <w:sz w:val="21"/>
                <w:szCs w:val="21"/>
              </w:rPr>
            </w:pPr>
          </w:p>
        </w:tc>
        <w:tc>
          <w:tcPr>
            <w:tcW w:w="2880" w:type="dxa"/>
          </w:tcPr>
          <w:p>
            <w:pPr>
              <w:pStyle w:val="2"/>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sectPr>
      <w:footerReference r:id="rId7" w:type="default"/>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黑体简体">
    <w:altName w:val="方正小标宋简体"/>
    <w:panose1 w:val="00000000000000000000"/>
    <w:charset w:val="86"/>
    <w:family w:val="script"/>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仿宋体">
    <w:altName w:val="宋体"/>
    <w:panose1 w:val="00000000000000000000"/>
    <w:charset w:val="86"/>
    <w:family w:val="auto"/>
    <w:pitch w:val="default"/>
    <w:sig w:usb0="00000000" w:usb1="00000000" w:usb2="00000010" w:usb3="00000000" w:csb0="00040000" w:csb1="00000000"/>
  </w:font>
  <w:font w:name="CommercialPi BT">
    <w:altName w:val="Symbol"/>
    <w:panose1 w:val="05020102010206080802"/>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华文细黑">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Univers">
    <w:altName w:val="Arial"/>
    <w:panose1 w:val="00000000000000000000"/>
    <w:charset w:val="00"/>
    <w:family w:val="swiss"/>
    <w:pitch w:val="default"/>
    <w:sig w:usb0="00000000" w:usb1="00000000" w:usb2="00000000" w:usb3="00000000" w:csb0="0000000F" w:csb1="00000000"/>
  </w:font>
  <w:font w:name="Calisto MT">
    <w:panose1 w:val="02040603050505030304"/>
    <w:charset w:val="00"/>
    <w:family w:val="roman"/>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CS?o｡ﾀ?">
    <w:altName w:val="MS Gothic"/>
    <w:panose1 w:val="00000000000000000000"/>
    <w:charset w:val="80"/>
    <w:family w:val="modern"/>
    <w:pitch w:val="default"/>
    <w:sig w:usb0="00000000" w:usb1="00000000" w:usb2="00000010" w:usb3="00000000" w:csb0="00020000" w:csb1="00000000"/>
  </w:font>
  <w:font w:name="华文中宋">
    <w:panose1 w:val="02010600040101010101"/>
    <w:charset w:val="86"/>
    <w:family w:val="auto"/>
    <w:pitch w:val="default"/>
    <w:sig w:usb0="00000287" w:usb1="080F0000" w:usb2="00000000" w:usb3="00000000" w:csb0="0004009F" w:csb1="DFD70000"/>
  </w:font>
  <w:font w:name="长城仿宋">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DFKai-SB">
    <w:panose1 w:val="03000509000000000000"/>
    <w:charset w:val="88"/>
    <w:family w:val="script"/>
    <w:pitch w:val="default"/>
    <w:sig w:usb0="00000003" w:usb1="082E0000" w:usb2="00000016" w:usb3="00000000" w:csb0="00100001" w:csb1="00000000"/>
  </w:font>
  <w:font w:name="Times New Roman Bold">
    <w:altName w:val="Times New Roman"/>
    <w:panose1 w:val="02020803070505020304"/>
    <w:charset w:val="00"/>
    <w:family w:val="auto"/>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Heiti SC Medium">
    <w:altName w:val="Arial Unicode MS"/>
    <w:panose1 w:val="00000000000000000000"/>
    <w:charset w:val="80"/>
    <w:family w:val="auto"/>
    <w:pitch w:val="default"/>
    <w:sig w:usb0="00000000" w:usb1="00000000" w:usb2="00000010" w:usb3="00000000" w:csb0="003E0001" w:csb1="00000000"/>
  </w:font>
  <w:font w:name="Microsoft JhengHei">
    <w:panose1 w:val="020B0604030504040204"/>
    <w:charset w:val="88"/>
    <w:family w:val="swiss"/>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MingLiU-ExtB">
    <w:panose1 w:val="02020500000000000000"/>
    <w:charset w:val="88"/>
    <w:family w:val="auto"/>
    <w:pitch w:val="default"/>
    <w:sig w:usb0="8000002F" w:usb1="02000008" w:usb2="00000000" w:usb3="00000000" w:csb0="00100001"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Semilight">
    <w:altName w:val="Malgun Gothic"/>
    <w:panose1 w:val="020B0502040204020203"/>
    <w:charset w:val="80"/>
    <w:family w:val="auto"/>
    <w:pitch w:val="default"/>
    <w:sig w:usb0="00000000" w:usb1="00000000" w:usb2="00000012" w:usb3="00000000" w:csb0="203E01BD" w:csb1="D7FF0000"/>
  </w:font>
  <w:font w:name="Meiryo">
    <w:panose1 w:val="020B0604030504040204"/>
    <w:charset w:val="80"/>
    <w:family w:val="swiss"/>
    <w:pitch w:val="default"/>
    <w:sig w:usb0="E10102FF" w:usb1="EAC7FFFF" w:usb2="00010012" w:usb3="00000000" w:csb0="6002009F" w:csb1="DFD70000"/>
  </w:font>
  <w:font w:name="Wingdings">
    <w:panose1 w:val="05000000000000000000"/>
    <w:charset w:val="00"/>
    <w:family w:val="auto"/>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ArialMT">
    <w:altName w:val="Times New Roman"/>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Microsoft YaHei UI">
    <w:altName w:val="宋体"/>
    <w:panose1 w:val="020B0503020204020204"/>
    <w:charset w:val="86"/>
    <w:family w:val="swiss"/>
    <w:pitch w:val="default"/>
    <w:sig w:usb0="00000000" w:usb1="00000000" w:usb2="00000016" w:usb3="00000000" w:csb0="0004001F" w:csb1="00000000"/>
  </w:font>
  <w:font w:name="Segoe UI Emoji">
    <w:panose1 w:val="020B0502040204020203"/>
    <w:charset w:val="00"/>
    <w:family w:val="auto"/>
    <w:pitch w:val="default"/>
    <w:sig w:usb0="00000001" w:usb1="02000000" w:usb2="00000000" w:usb3="00000000" w:csb0="00000001" w:csb1="00000000"/>
  </w:font>
  <w:font w:name="Yu Gothic">
    <w:altName w:val="MS UI Gothic"/>
    <w:panose1 w:val="020B0400000000000000"/>
    <w:charset w:val="80"/>
    <w:family w:val="auto"/>
    <w:pitch w:val="default"/>
    <w:sig w:usb0="00000000" w:usb1="00000000" w:usb2="00000016" w:usb3="00000000" w:csb0="2002009F" w:csb1="00000000"/>
  </w:font>
  <w:font w:name="MV Boli">
    <w:panose1 w:val="02000500030200090000"/>
    <w:charset w:val="00"/>
    <w:family w:val="auto"/>
    <w:pitch w:val="default"/>
    <w:sig w:usb0="00000003" w:usb1="00000000" w:usb2="00000100" w:usb3="00000000" w:csb0="00000001"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S UI Gothic"/>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Arial Unicode MS">
    <w:panose1 w:val="020B0604020202020204"/>
    <w:charset w:val="80"/>
    <w:family w:val="swiss"/>
    <w:pitch w:val="default"/>
    <w:sig w:usb0="FFFFFFFF" w:usb1="E9FFFFFF" w:usb2="0000003F" w:usb3="00000000" w:csb0="603F01FF" w:csb1="FFFF0000"/>
  </w:font>
  <w:font w:name="Microsoft Sans Serif">
    <w:panose1 w:val="020B0604020202020204"/>
    <w:charset w:val="00"/>
    <w:family w:val="auto"/>
    <w:pitch w:val="default"/>
    <w:sig w:usb0="E1002AFF" w:usb1="C0000002" w:usb2="00000008" w:usb3="00000000" w:csb0="200101FF" w:csb1="20280000"/>
  </w:font>
  <w:font w:name="方正仿宋_GB2312">
    <w:altName w:val="仿宋"/>
    <w:panose1 w:val="02000000000000000000"/>
    <w:charset w:val="86"/>
    <w:family w:val="auto"/>
    <w:pitch w:val="default"/>
    <w:sig w:usb0="00000000" w:usb1="00000000" w:usb2="00000000" w:usb3="00000000" w:csb0="00000000" w:csb1="00000000"/>
  </w:font>
  <w:font w:name="GulimChe">
    <w:panose1 w:val="020B0609000101010101"/>
    <w:charset w:val="81"/>
    <w:family w:val="modern"/>
    <w:pitch w:val="default"/>
    <w:sig w:usb0="B00002AF" w:usb1="69D77CFB" w:usb2="00000030" w:usb3="00000000" w:csb0="4008009F" w:csb1="DFD70000"/>
  </w:font>
  <w:font w:name="仿宋体">
    <w:altName w:val="仿宋"/>
    <w:panose1 w:val="00000000000000000000"/>
    <w:charset w:val="00"/>
    <w:family w:val="auto"/>
    <w:pitch w:val="default"/>
    <w:sig w:usb0="00000000" w:usb1="00000000" w:usb2="00000010" w:usb3="00000000" w:csb0="00040000" w:csb1="00000000"/>
  </w:font>
  <w:font w:name="方正书宋简体">
    <w:altName w:val="宋体"/>
    <w:panose1 w:val="00000000000000000000"/>
    <w:charset w:val="00"/>
    <w:family w:val="script"/>
    <w:pitch w:val="default"/>
    <w:sig w:usb0="00000000" w:usb1="00000000" w:usb2="00000010" w:usb3="00000000" w:csb0="00040000" w:csb1="00000000"/>
  </w:font>
  <w:font w:name="长城仿宋">
    <w:altName w:val="仿宋"/>
    <w:panose1 w:val="00000000000000000000"/>
    <w:charset w:val="00"/>
    <w:family w:val="modern"/>
    <w:pitch w:val="default"/>
    <w:sig w:usb0="00000000" w:usb1="00000000" w:usb2="00000010" w:usb3="00000000" w:csb0="00040000" w:csb1="00000000"/>
  </w:font>
  <w:font w:name="font-weight : 400">
    <w:altName w:val="Arial"/>
    <w:panose1 w:val="00000000000000000000"/>
    <w:charset w:val="00"/>
    <w:family w:val="roman"/>
    <w:pitch w:val="default"/>
    <w:sig w:usb0="00000000" w:usb1="00000000" w:usb2="00000000" w:usb3="00000000" w:csb0="00000000" w:csb1="00000000"/>
  </w:font>
  <w:font w:name="昆仑楷体">
    <w:altName w:val="宋体"/>
    <w:panose1 w:val="00000000000000000000"/>
    <w:charset w:val="86"/>
    <w:family w:val="modern"/>
    <w:pitch w:val="default"/>
    <w:sig w:usb0="00000000" w:usb1="00000000" w:usb2="00000010" w:usb3="00000000" w:csb0="00040000" w:csb1="00000000"/>
  </w:font>
  <w:font w:name="思源黑体 CN Bold">
    <w:altName w:val="黑体"/>
    <w:panose1 w:val="00000000000000000000"/>
    <w:charset w:val="86"/>
    <w:family w:val="swiss"/>
    <w:pitch w:val="default"/>
    <w:sig w:usb0="00000000" w:usb1="00000000" w:usb2="00000016" w:usb3="00000000" w:csb0="00060107" w:csb1="00000000"/>
  </w:font>
  <w:font w:name="华文楷体">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00002FF" w:usb1="4000ACFF" w:usb2="00000001" w:usb3="00000000" w:csb0="2000019F" w:csb1="00000000"/>
  </w:font>
  <w:font w:name="Arial">
    <w:panose1 w:val="020B0604020202020204"/>
    <w:charset w:val="80"/>
    <w:family w:val="swiss"/>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Helvetica">
    <w:altName w:val="Arial"/>
    <w:panose1 w:val="020B0504020202020204"/>
    <w:charset w:val="00"/>
    <w:family w:val="swiss"/>
    <w:pitch w:val="default"/>
    <w:sig w:usb0="00000000" w:usb1="00000000" w:usb2="00000009" w:usb3="00000000" w:csb0="000001FF" w:csb1="00000000"/>
  </w:font>
  <w:font w:name="宋体|呯堈...">
    <w:altName w:val="宋体"/>
    <w:panose1 w:val="00000000000000000000"/>
    <w:charset w:val="86"/>
    <w:family w:val="roma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1" w:usb3="00000000" w:csb0="400001BF" w:csb1="DFF70000"/>
  </w:font>
  <w:font w:name="仿宋_GB2312">
    <w:panose1 w:val="02010609030101010101"/>
    <w:charset w:val="48"/>
    <w:family w:val="modern"/>
    <w:pitch w:val="default"/>
    <w:sig w:usb0="00000001" w:usb1="080E0000" w:usb2="00000000" w:usb3="00000000" w:csb0="00040000" w:csb1="00000000"/>
  </w:font>
  <w:font w:name="方正小标宋简体">
    <w:panose1 w:val="03000509000000000000"/>
    <w:charset w:val="48"/>
    <w:family w:val="script"/>
    <w:pitch w:val="default"/>
    <w:sig w:usb0="00000001" w:usb1="080E0000" w:usb2="00000000" w:usb3="00000000" w:csb0="00040000" w:csb1="00000000"/>
  </w:font>
  <w:font w:name="方正仿宋_GB2312">
    <w:altName w:val="仿宋"/>
    <w:panose1 w:val="02000000000000000000"/>
    <w:charset w:val="48"/>
    <w:family w:val="auto"/>
    <w:pitch w:val="default"/>
    <w:sig w:usb0="00000000" w:usb1="00000000" w:usb2="00000000" w:usb3="00000000" w:csb0="00000000" w:csb1="00000000"/>
  </w:font>
  <w:font w:name="Microsoft JhengHei">
    <w:panose1 w:val="020B0604030504040204"/>
    <w:charset w:val="50"/>
    <w:family w:val="swiss"/>
    <w:pitch w:val="default"/>
    <w:sig w:usb0="00000087" w:usb1="28AF4000" w:usb2="00000016" w:usb3="00000000" w:csb0="00100009" w:csb1="00000000"/>
  </w:font>
  <w:font w:name="仿宋">
    <w:panose1 w:val="02010609060101010101"/>
    <w:charset w:val="48"/>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Malgun Gothic">
    <w:panose1 w:val="020B0503020000020004"/>
    <w:charset w:val="81"/>
    <w:family w:val="auto"/>
    <w:pitch w:val="default"/>
    <w:sig w:usb0="900002AF" w:usb1="01D77CFB" w:usb2="00000012" w:usb3="00000000" w:csb0="00080001" w:csb1="00000000"/>
  </w:font>
  <w:font w:name="仿宋_GB2312">
    <w:panose1 w:val="02010609030101010101"/>
    <w:charset w:val="34"/>
    <w:family w:val="modern"/>
    <w:pitch w:val="default"/>
    <w:sig w:usb0="00000001" w:usb1="080E0000" w:usb2="00000000" w:usb3="00000000" w:csb0="00040000" w:csb1="00000000"/>
  </w:font>
  <w:font w:name="Meiryo">
    <w:panose1 w:val="020B0604030504040204"/>
    <w:charset w:val="28"/>
    <w:family w:val="swiss"/>
    <w:pitch w:val="default"/>
    <w:sig w:usb0="E10102FF" w:usb1="EAC7FFFF" w:usb2="00010012" w:usb3="00000000" w:csb0="6002009F" w:csb1="DFD70000"/>
  </w:font>
  <w:font w:name="微软雅黑">
    <w:panose1 w:val="020B0503020204020204"/>
    <w:charset w:val="34"/>
    <w:family w:val="swiss"/>
    <w:pitch w:val="default"/>
    <w:sig w:usb0="80000287" w:usb1="280F3C52" w:usb2="00000016" w:usb3="00000000" w:csb0="0004001F" w:csb1="00000000"/>
  </w:font>
  <w:font w:name="方正小标宋简体">
    <w:panose1 w:val="03000509000000000000"/>
    <w:charset w:val="34"/>
    <w:family w:val="script"/>
    <w:pitch w:val="default"/>
    <w:sig w:usb0="00000001" w:usb1="080E0000" w:usb2="00000000" w:usb3="00000000" w:csb0="00040000" w:csb1="00000000"/>
  </w:font>
  <w:font w:name="仿宋">
    <w:panose1 w:val="02010609060101010101"/>
    <w:charset w:val="34"/>
    <w:family w:val="modern"/>
    <w:pitch w:val="default"/>
    <w:sig w:usb0="800002BF" w:usb1="38CF7CFA" w:usb2="00000016" w:usb3="00000000" w:csb0="00040001" w:csb1="00000000"/>
  </w:font>
  <w:font w:name="Adobe 楷体 Std R">
    <w:altName w:val="宋体"/>
    <w:panose1 w:val="00000000000000000000"/>
    <w:charset w:val="34"/>
    <w:family w:val="roman"/>
    <w:pitch w:val="default"/>
    <w:sig w:usb0="00000000" w:usb1="00000000" w:usb2="00000016" w:usb3="00000000" w:csb0="00060007" w:csb1="00000000"/>
  </w:font>
  <w:font w:name="新宋体-18030">
    <w:altName w:val="微软雅黑"/>
    <w:panose1 w:val="02010609060101010101"/>
    <w:charset w:val="86"/>
    <w:family w:val="modern"/>
    <w:pitch w:val="default"/>
    <w:sig w:usb0="00000000" w:usb1="00000000" w:usb2="000A005E" w:usb3="00000000" w:csb0="00040001" w:csb1="00000000"/>
  </w:font>
  <w:font w:name="Century Gothic">
    <w:panose1 w:val="020B0502020202020204"/>
    <w:charset w:val="00"/>
    <w:family w:val="swiss"/>
    <w:pitch w:val="default"/>
    <w:sig w:usb0="00000287" w:usb1="00000000" w:usb2="00000000" w:usb3="00000000" w:csb0="2000009F" w:csb1="DFD70000"/>
  </w:font>
  <w:font w:name="......">
    <w:altName w:val="MS Gothic"/>
    <w:panose1 w:val="00000000000000000000"/>
    <w:charset w:val="80"/>
    <w:family w:val="modern"/>
    <w:pitch w:val="default"/>
    <w:sig w:usb0="00000000" w:usb1="00000000" w:usb2="00000010" w:usb3="00000000" w:csb0="00020000" w:csb1="00000000"/>
  </w:font>
  <w:font w:name="宋体-PUA">
    <w:altName w:val="宋体"/>
    <w:panose1 w:val="00000000000000000000"/>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PUA">
    <w:altName w:val="宋体"/>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Traditional Arabic">
    <w:panose1 w:val="02020603050405020304"/>
    <w:charset w:val="00"/>
    <w:family w:val="roman"/>
    <w:pitch w:val="default"/>
    <w:sig w:usb0="00006003" w:usb1="80000000" w:usb2="00000008" w:usb3="00000000" w:csb0="00000041" w:csb1="20080000"/>
  </w:font>
  <w:font w:name="CommercialPi BT">
    <w:altName w:val="微软雅黑"/>
    <w:panose1 w:val="05020102010006080802"/>
    <w:charset w:val="00"/>
    <w:family w:val="roman"/>
    <w:pitch w:val="default"/>
    <w:sig w:usb0="00000000" w:usb1="00000000" w:usb2="00000000" w:usb3="00000000" w:csb0="00040001" w:csb1="00000000"/>
  </w:font>
  <w:font w:name="Adobe 楷体 Std R">
    <w:altName w:val="宋体"/>
    <w:panose1 w:val="00000000000000000000"/>
    <w:charset w:val="00"/>
    <w:family w:val="roman"/>
    <w:pitch w:val="default"/>
    <w:sig w:usb0="00000000" w:usb1="00000000" w:usb2="00000016" w:usb3="00000000" w:csb0="00060007" w:csb1="00000000"/>
  </w:font>
  <w:font w:name="Cambria Math">
    <w:panose1 w:val="02040503050406030204"/>
    <w:charset w:val="00"/>
    <w:family w:val="auto"/>
    <w:pitch w:val="default"/>
    <w:sig w:usb0="E00002FF" w:usb1="420024FF" w:usb2="00000000" w:usb3="00000000" w:csb0="2000019F"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w:t>
    </w:r>
    <w:r>
      <w:t xml:space="preserve"> 11 -</w:t>
    </w:r>
    <w:r>
      <w:fldChar w:fldCharType="end"/>
    </w:r>
  </w:p>
  <w:p>
    <w:pPr>
      <w:pStyle w:val="11"/>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fldChar w:fldCharType="begin"/>
    </w:r>
    <w:r>
      <w:rPr>
        <w:rStyle w:val="17"/>
      </w:rPr>
      <w:instrText xml:space="preserve">PAGE  </w:instrText>
    </w:r>
    <w:r>
      <w:fldChar w:fldCharType="separate"/>
    </w:r>
    <w:r>
      <w:rPr>
        <w:rStyle w:val="17"/>
      </w:rPr>
      <w:t>0</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Style w:val="17"/>
      </w:rPr>
      <w:fldChar w:fldCharType="begin"/>
    </w:r>
    <w:r>
      <w:rPr>
        <w:rStyle w:val="17"/>
      </w:rPr>
      <w:instrText xml:space="preserve"> PAGE </w:instrText>
    </w:r>
    <w:r>
      <w:rPr>
        <w:rStyle w:val="17"/>
      </w:rPr>
      <w:fldChar w:fldCharType="separate"/>
    </w:r>
    <w:r>
      <w:rPr>
        <w:rStyle w:val="17"/>
      </w:rPr>
      <w:t>- 28 -</w:t>
    </w:r>
    <w:r>
      <w:rPr>
        <w:rStyle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fldChar w:fldCharType="begin"/>
    </w:r>
    <w:r>
      <w:rPr>
        <w:rStyle w:val="17"/>
      </w:rPr>
      <w:instrText xml:space="preserve">PAGE  </w:instrText>
    </w:r>
    <w:r>
      <w:fldChar w:fldCharType="separate"/>
    </w:r>
    <w:r>
      <w:rPr>
        <w:rStyle w:val="17"/>
      </w:rPr>
      <w:t>0</w:t>
    </w:r>
    <w: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rPr>
      <w:t>杭州萧山国际机场航站楼地下车库进出口伸缩缝排水沟清淤项目招标文件</w:t>
    </w:r>
  </w:p>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4"/>
      <w:numFmt w:val="chineseCounting"/>
      <w:suff w:val="space"/>
      <w:lvlText w:val="第%1章"/>
      <w:lvlJc w:val="left"/>
      <w:rPr>
        <w:rFonts w:hint="eastAsia"/>
      </w:rPr>
    </w:lvl>
  </w:abstractNum>
  <w:abstractNum w:abstractNumId="1">
    <w:nsid w:val="00000006"/>
    <w:multiLevelType w:val="singleLevel"/>
    <w:tmpl w:val="00000006"/>
    <w:lvl w:ilvl="0" w:tentative="0">
      <w:start w:val="3"/>
      <w:numFmt w:val="chineseCounting"/>
      <w:suff w:val="space"/>
      <w:lvlText w:val="第%1章"/>
      <w:lvlJc w:val="left"/>
    </w:lvl>
  </w:abstractNum>
  <w:abstractNum w:abstractNumId="2">
    <w:nsid w:val="00000007"/>
    <w:multiLevelType w:val="singleLevel"/>
    <w:tmpl w:val="00000007"/>
    <w:lvl w:ilvl="0" w:tentative="0">
      <w:start w:val="1"/>
      <w:numFmt w:val="chineseCounting"/>
      <w:suff w:val="nothing"/>
      <w:lvlText w:val="%1、"/>
      <w:lvlJc w:val="left"/>
    </w:lvl>
  </w:abstractNum>
  <w:abstractNum w:abstractNumId="3">
    <w:nsid w:val="00000008"/>
    <w:multiLevelType w:val="singleLevel"/>
    <w:tmpl w:val="00000008"/>
    <w:lvl w:ilvl="0" w:tentative="0">
      <w:start w:val="1"/>
      <w:numFmt w:val="decimal"/>
      <w:suff w:val="nothing"/>
      <w:lvlText w:val="%1、"/>
      <w:lvlJc w:val="left"/>
      <w:rPr>
        <w:sz w:val="24"/>
        <w:szCs w:val="24"/>
      </w:rPr>
    </w:lvl>
  </w:abstractNum>
  <w:abstractNum w:abstractNumId="4">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5DB23849"/>
    <w:multiLevelType w:val="singleLevel"/>
    <w:tmpl w:val="5DB23849"/>
    <w:lvl w:ilvl="0" w:tentative="0">
      <w:start w:val="1"/>
      <w:numFmt w:val="decimal"/>
      <w:suff w:val="nothing"/>
      <w:lvlText w:val="%1、"/>
      <w:lvlJc w:val="left"/>
    </w:lvl>
  </w:abstractNum>
  <w:abstractNum w:abstractNumId="6">
    <w:nsid w:val="62FF5BE2"/>
    <w:multiLevelType w:val="singleLevel"/>
    <w:tmpl w:val="62FF5BE2"/>
    <w:lvl w:ilvl="0" w:tentative="0">
      <w:start w:val="3"/>
      <w:numFmt w:val="chineseCounting"/>
      <w:suff w:val="nothing"/>
      <w:lvlText w:val="%1、"/>
      <w:lvlJc w:val="left"/>
    </w:lvl>
  </w:abstractNum>
  <w:abstractNum w:abstractNumId="7">
    <w:nsid w:val="6302E9F5"/>
    <w:multiLevelType w:val="singleLevel"/>
    <w:tmpl w:val="6302E9F5"/>
    <w:lvl w:ilvl="0" w:tentative="0">
      <w:start w:val="1"/>
      <w:numFmt w:val="decimal"/>
      <w:suff w:val="nothing"/>
      <w:lvlText w:val="(%1)"/>
      <w:lvlJc w:val="left"/>
    </w:lvl>
  </w:abstractNum>
  <w:abstractNum w:abstractNumId="8">
    <w:nsid w:val="630573BF"/>
    <w:multiLevelType w:val="singleLevel"/>
    <w:tmpl w:val="630573BF"/>
    <w:lvl w:ilvl="0" w:tentative="0">
      <w:start w:val="1"/>
      <w:numFmt w:val="chineseCounting"/>
      <w:suff w:val="nothing"/>
      <w:lvlText w:val="%1、"/>
      <w:lvlJc w:val="left"/>
    </w:lvl>
  </w:abstractNum>
  <w:abstractNum w:abstractNumId="9">
    <w:nsid w:val="630596E8"/>
    <w:multiLevelType w:val="singleLevel"/>
    <w:tmpl w:val="630596E8"/>
    <w:lvl w:ilvl="0" w:tentative="0">
      <w:start w:val="5"/>
      <w:numFmt w:val="decimal"/>
      <w:suff w:val="nothing"/>
      <w:lvlText w:val="%1．"/>
      <w:lvlJc w:val="left"/>
    </w:lvl>
  </w:abstractNum>
  <w:abstractNum w:abstractNumId="10">
    <w:nsid w:val="6305CEBC"/>
    <w:multiLevelType w:val="singleLevel"/>
    <w:tmpl w:val="6305CEBC"/>
    <w:lvl w:ilvl="0" w:tentative="0">
      <w:start w:val="9"/>
      <w:numFmt w:val="decimal"/>
      <w:suff w:val="nothing"/>
      <w:lvlText w:val="%1、"/>
      <w:lvlJc w:val="left"/>
    </w:lvl>
  </w:abstractNum>
  <w:abstractNum w:abstractNumId="11">
    <w:nsid w:val="6305D4E8"/>
    <w:multiLevelType w:val="singleLevel"/>
    <w:tmpl w:val="6305D4E8"/>
    <w:lvl w:ilvl="0" w:tentative="0">
      <w:start w:val="1"/>
      <w:numFmt w:val="decimal"/>
      <w:suff w:val="nothing"/>
      <w:lvlText w:val="（%1）"/>
      <w:lvlJc w:val="left"/>
    </w:lvl>
  </w:abstractNum>
  <w:num w:numId="1">
    <w:abstractNumId w:val="8"/>
  </w:num>
  <w:num w:numId="2">
    <w:abstractNumId w:val="1"/>
  </w:num>
  <w:num w:numId="3">
    <w:abstractNumId w:val="2"/>
  </w:num>
  <w:num w:numId="4">
    <w:abstractNumId w:val="6"/>
  </w:num>
  <w:num w:numId="5">
    <w:abstractNumId w:val="3"/>
  </w:num>
  <w:num w:numId="6">
    <w:abstractNumId w:val="5"/>
  </w:num>
  <w:num w:numId="7">
    <w:abstractNumId w:val="0"/>
  </w:num>
  <w:num w:numId="8">
    <w:abstractNumId w:val="9"/>
  </w:num>
  <w:num w:numId="9">
    <w:abstractNumId w:val="1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48"/>
    <w:rsid w:val="00112599"/>
    <w:rsid w:val="001407EE"/>
    <w:rsid w:val="00153B97"/>
    <w:rsid w:val="001A198D"/>
    <w:rsid w:val="001C1336"/>
    <w:rsid w:val="001D35C3"/>
    <w:rsid w:val="001E123F"/>
    <w:rsid w:val="002372CA"/>
    <w:rsid w:val="0027005D"/>
    <w:rsid w:val="002D16C2"/>
    <w:rsid w:val="003663DC"/>
    <w:rsid w:val="00391ECC"/>
    <w:rsid w:val="00394D3F"/>
    <w:rsid w:val="003A0357"/>
    <w:rsid w:val="003A3BCD"/>
    <w:rsid w:val="003B488A"/>
    <w:rsid w:val="003F3082"/>
    <w:rsid w:val="00410823"/>
    <w:rsid w:val="004335D8"/>
    <w:rsid w:val="00440249"/>
    <w:rsid w:val="004773A2"/>
    <w:rsid w:val="004E48EB"/>
    <w:rsid w:val="005044F1"/>
    <w:rsid w:val="00543248"/>
    <w:rsid w:val="0056660C"/>
    <w:rsid w:val="00594A4E"/>
    <w:rsid w:val="005B4588"/>
    <w:rsid w:val="005E4C2C"/>
    <w:rsid w:val="006424F6"/>
    <w:rsid w:val="00664F51"/>
    <w:rsid w:val="006B51D5"/>
    <w:rsid w:val="007313FE"/>
    <w:rsid w:val="007C5189"/>
    <w:rsid w:val="007E51C2"/>
    <w:rsid w:val="007F5978"/>
    <w:rsid w:val="00925E22"/>
    <w:rsid w:val="00930CE3"/>
    <w:rsid w:val="009A5CD8"/>
    <w:rsid w:val="009F0A76"/>
    <w:rsid w:val="00A240B0"/>
    <w:rsid w:val="00A4701A"/>
    <w:rsid w:val="00A86AFF"/>
    <w:rsid w:val="00AD5EDF"/>
    <w:rsid w:val="00B162D6"/>
    <w:rsid w:val="00B25727"/>
    <w:rsid w:val="00B703D0"/>
    <w:rsid w:val="00C26834"/>
    <w:rsid w:val="00C57342"/>
    <w:rsid w:val="00C77D98"/>
    <w:rsid w:val="00CA12BD"/>
    <w:rsid w:val="00CD6D04"/>
    <w:rsid w:val="00D33C02"/>
    <w:rsid w:val="00DF6745"/>
    <w:rsid w:val="00E07039"/>
    <w:rsid w:val="00E21A07"/>
    <w:rsid w:val="00E531AC"/>
    <w:rsid w:val="00E91905"/>
    <w:rsid w:val="00EC7C3D"/>
    <w:rsid w:val="00EE4F8C"/>
    <w:rsid w:val="00F046B1"/>
    <w:rsid w:val="00F213C4"/>
    <w:rsid w:val="00F47B71"/>
    <w:rsid w:val="020C7434"/>
    <w:rsid w:val="02482912"/>
    <w:rsid w:val="02485A1D"/>
    <w:rsid w:val="028D7FAD"/>
    <w:rsid w:val="02A26277"/>
    <w:rsid w:val="02AA3729"/>
    <w:rsid w:val="02D12DD3"/>
    <w:rsid w:val="02DC662C"/>
    <w:rsid w:val="02EF78A6"/>
    <w:rsid w:val="030E7542"/>
    <w:rsid w:val="033B0C88"/>
    <w:rsid w:val="03BC7A94"/>
    <w:rsid w:val="03DB2294"/>
    <w:rsid w:val="043D74BD"/>
    <w:rsid w:val="04771212"/>
    <w:rsid w:val="048508D0"/>
    <w:rsid w:val="049F4464"/>
    <w:rsid w:val="05096467"/>
    <w:rsid w:val="05124C33"/>
    <w:rsid w:val="05994D6B"/>
    <w:rsid w:val="05E713BE"/>
    <w:rsid w:val="061638D2"/>
    <w:rsid w:val="062C216E"/>
    <w:rsid w:val="06356992"/>
    <w:rsid w:val="06481CC1"/>
    <w:rsid w:val="06716D9A"/>
    <w:rsid w:val="067B17A7"/>
    <w:rsid w:val="067C199A"/>
    <w:rsid w:val="06921380"/>
    <w:rsid w:val="069E4B34"/>
    <w:rsid w:val="078A0CCB"/>
    <w:rsid w:val="08090AD6"/>
    <w:rsid w:val="08213960"/>
    <w:rsid w:val="08331FBD"/>
    <w:rsid w:val="08406CEB"/>
    <w:rsid w:val="086619E2"/>
    <w:rsid w:val="088B1985"/>
    <w:rsid w:val="089514F9"/>
    <w:rsid w:val="089769AF"/>
    <w:rsid w:val="089C112C"/>
    <w:rsid w:val="089E0ADB"/>
    <w:rsid w:val="08FF19D5"/>
    <w:rsid w:val="095410AD"/>
    <w:rsid w:val="09B552AF"/>
    <w:rsid w:val="09CC2210"/>
    <w:rsid w:val="0A1014AA"/>
    <w:rsid w:val="0A2833BE"/>
    <w:rsid w:val="0A3575D9"/>
    <w:rsid w:val="0A437288"/>
    <w:rsid w:val="0A695F2E"/>
    <w:rsid w:val="0A776D7D"/>
    <w:rsid w:val="0AB351CA"/>
    <w:rsid w:val="0AF949D2"/>
    <w:rsid w:val="0B300E82"/>
    <w:rsid w:val="0B3A2425"/>
    <w:rsid w:val="0B6B6D5F"/>
    <w:rsid w:val="0B71198C"/>
    <w:rsid w:val="0B7F2A89"/>
    <w:rsid w:val="0B912F78"/>
    <w:rsid w:val="0B993895"/>
    <w:rsid w:val="0BA55D3A"/>
    <w:rsid w:val="0BB22472"/>
    <w:rsid w:val="0BDE1AAB"/>
    <w:rsid w:val="0C4C083D"/>
    <w:rsid w:val="0CA32D09"/>
    <w:rsid w:val="0CAE5BA0"/>
    <w:rsid w:val="0CF55781"/>
    <w:rsid w:val="0D903B28"/>
    <w:rsid w:val="0DC40125"/>
    <w:rsid w:val="0DD42EF3"/>
    <w:rsid w:val="0E000AB2"/>
    <w:rsid w:val="0E1E37F9"/>
    <w:rsid w:val="0E241701"/>
    <w:rsid w:val="0E49670A"/>
    <w:rsid w:val="0E7A72FA"/>
    <w:rsid w:val="0EAA1F8D"/>
    <w:rsid w:val="0EB654B1"/>
    <w:rsid w:val="0F162F78"/>
    <w:rsid w:val="0F223486"/>
    <w:rsid w:val="0F2A1B68"/>
    <w:rsid w:val="0F5C7FEC"/>
    <w:rsid w:val="0FD230BA"/>
    <w:rsid w:val="10F7105E"/>
    <w:rsid w:val="10F97188"/>
    <w:rsid w:val="114C1AC2"/>
    <w:rsid w:val="116642B8"/>
    <w:rsid w:val="116E780A"/>
    <w:rsid w:val="11E508F2"/>
    <w:rsid w:val="121D4F4D"/>
    <w:rsid w:val="12623D56"/>
    <w:rsid w:val="130C2BED"/>
    <w:rsid w:val="131C42E8"/>
    <w:rsid w:val="135C2F31"/>
    <w:rsid w:val="138337D1"/>
    <w:rsid w:val="140861FD"/>
    <w:rsid w:val="14105148"/>
    <w:rsid w:val="14846A61"/>
    <w:rsid w:val="148A79E2"/>
    <w:rsid w:val="14AE0127"/>
    <w:rsid w:val="14C663B2"/>
    <w:rsid w:val="151571AC"/>
    <w:rsid w:val="154878AA"/>
    <w:rsid w:val="159D188F"/>
    <w:rsid w:val="16E50208"/>
    <w:rsid w:val="17022FEA"/>
    <w:rsid w:val="1715258B"/>
    <w:rsid w:val="17723FFB"/>
    <w:rsid w:val="18037F90"/>
    <w:rsid w:val="18686A24"/>
    <w:rsid w:val="189B09C4"/>
    <w:rsid w:val="18D631BC"/>
    <w:rsid w:val="18FF5DCA"/>
    <w:rsid w:val="192D36AB"/>
    <w:rsid w:val="195D70A1"/>
    <w:rsid w:val="19DA2BF1"/>
    <w:rsid w:val="19F13742"/>
    <w:rsid w:val="19FF65BA"/>
    <w:rsid w:val="1A543D9C"/>
    <w:rsid w:val="1A707782"/>
    <w:rsid w:val="1AA77FF5"/>
    <w:rsid w:val="1AB50A12"/>
    <w:rsid w:val="1ABE527F"/>
    <w:rsid w:val="1ABF01A4"/>
    <w:rsid w:val="1AE477C8"/>
    <w:rsid w:val="1AF6260E"/>
    <w:rsid w:val="1B0E0142"/>
    <w:rsid w:val="1B1D3E69"/>
    <w:rsid w:val="1B5F4E3B"/>
    <w:rsid w:val="1B6467C4"/>
    <w:rsid w:val="1B854400"/>
    <w:rsid w:val="1BB127CD"/>
    <w:rsid w:val="1BB66DFF"/>
    <w:rsid w:val="1C003366"/>
    <w:rsid w:val="1C457C7E"/>
    <w:rsid w:val="1C633469"/>
    <w:rsid w:val="1CB03310"/>
    <w:rsid w:val="1CFE1FF8"/>
    <w:rsid w:val="1D7F6AA2"/>
    <w:rsid w:val="1D8E4D0E"/>
    <w:rsid w:val="1DA20564"/>
    <w:rsid w:val="1DAC0981"/>
    <w:rsid w:val="1DC20028"/>
    <w:rsid w:val="1DF21C8B"/>
    <w:rsid w:val="1DFB35F5"/>
    <w:rsid w:val="1E2908EC"/>
    <w:rsid w:val="1E3D4028"/>
    <w:rsid w:val="1E9E62EA"/>
    <w:rsid w:val="1EC21A7E"/>
    <w:rsid w:val="1F173DE8"/>
    <w:rsid w:val="1FCF4059"/>
    <w:rsid w:val="1FDE01EF"/>
    <w:rsid w:val="1FFA2924"/>
    <w:rsid w:val="20114F7C"/>
    <w:rsid w:val="2024666E"/>
    <w:rsid w:val="20494FD7"/>
    <w:rsid w:val="205A01CF"/>
    <w:rsid w:val="2067588B"/>
    <w:rsid w:val="208133D1"/>
    <w:rsid w:val="208B2C05"/>
    <w:rsid w:val="20D25117"/>
    <w:rsid w:val="20FB3366"/>
    <w:rsid w:val="21F8422D"/>
    <w:rsid w:val="220F2679"/>
    <w:rsid w:val="22751618"/>
    <w:rsid w:val="229C2B7E"/>
    <w:rsid w:val="23185976"/>
    <w:rsid w:val="23322FAC"/>
    <w:rsid w:val="233A16A0"/>
    <w:rsid w:val="241C41E3"/>
    <w:rsid w:val="245667EC"/>
    <w:rsid w:val="24713D02"/>
    <w:rsid w:val="247434F1"/>
    <w:rsid w:val="248317D0"/>
    <w:rsid w:val="255411EA"/>
    <w:rsid w:val="25620C11"/>
    <w:rsid w:val="2581749C"/>
    <w:rsid w:val="25987B31"/>
    <w:rsid w:val="25A00B95"/>
    <w:rsid w:val="25BF34EC"/>
    <w:rsid w:val="25C478E4"/>
    <w:rsid w:val="25CD5A0B"/>
    <w:rsid w:val="262B673D"/>
    <w:rsid w:val="26551146"/>
    <w:rsid w:val="26C3271D"/>
    <w:rsid w:val="26C83285"/>
    <w:rsid w:val="26C94D04"/>
    <w:rsid w:val="273A4807"/>
    <w:rsid w:val="275D2F25"/>
    <w:rsid w:val="276A6BC2"/>
    <w:rsid w:val="277316AE"/>
    <w:rsid w:val="279275C4"/>
    <w:rsid w:val="27EC3F3B"/>
    <w:rsid w:val="282C5207"/>
    <w:rsid w:val="283159B1"/>
    <w:rsid w:val="28532145"/>
    <w:rsid w:val="287C03E8"/>
    <w:rsid w:val="289013FB"/>
    <w:rsid w:val="28906796"/>
    <w:rsid w:val="28EE2575"/>
    <w:rsid w:val="29057C51"/>
    <w:rsid w:val="29686A3F"/>
    <w:rsid w:val="2972023B"/>
    <w:rsid w:val="29BA6B75"/>
    <w:rsid w:val="29E92C54"/>
    <w:rsid w:val="2A140579"/>
    <w:rsid w:val="2A736C31"/>
    <w:rsid w:val="2AC077CB"/>
    <w:rsid w:val="2B1B0578"/>
    <w:rsid w:val="2B1B495F"/>
    <w:rsid w:val="2B40361F"/>
    <w:rsid w:val="2B6B234F"/>
    <w:rsid w:val="2BC821FB"/>
    <w:rsid w:val="2BD13023"/>
    <w:rsid w:val="2BD84276"/>
    <w:rsid w:val="2BE70E55"/>
    <w:rsid w:val="2BFD73D3"/>
    <w:rsid w:val="2C9F4A77"/>
    <w:rsid w:val="2CAF6246"/>
    <w:rsid w:val="2CD67EBC"/>
    <w:rsid w:val="2CEC19A5"/>
    <w:rsid w:val="2D4108AB"/>
    <w:rsid w:val="2D795813"/>
    <w:rsid w:val="2D802115"/>
    <w:rsid w:val="2DA03791"/>
    <w:rsid w:val="2DD731C1"/>
    <w:rsid w:val="2E1F7032"/>
    <w:rsid w:val="2E3C4076"/>
    <w:rsid w:val="2EF253B4"/>
    <w:rsid w:val="2F4B6057"/>
    <w:rsid w:val="2F716E53"/>
    <w:rsid w:val="2F813E1C"/>
    <w:rsid w:val="2F8172C4"/>
    <w:rsid w:val="2F9A59CF"/>
    <w:rsid w:val="2FC011F2"/>
    <w:rsid w:val="30165841"/>
    <w:rsid w:val="3061203B"/>
    <w:rsid w:val="308D7892"/>
    <w:rsid w:val="310C13DF"/>
    <w:rsid w:val="31411484"/>
    <w:rsid w:val="314973BB"/>
    <w:rsid w:val="31E4669F"/>
    <w:rsid w:val="32203AAB"/>
    <w:rsid w:val="324C1F23"/>
    <w:rsid w:val="32945134"/>
    <w:rsid w:val="32A77317"/>
    <w:rsid w:val="330B0CFB"/>
    <w:rsid w:val="330D300F"/>
    <w:rsid w:val="33240BD3"/>
    <w:rsid w:val="33917F5F"/>
    <w:rsid w:val="33B5687B"/>
    <w:rsid w:val="33DE18BE"/>
    <w:rsid w:val="3413363B"/>
    <w:rsid w:val="3425787E"/>
    <w:rsid w:val="35295BEC"/>
    <w:rsid w:val="35A91E2D"/>
    <w:rsid w:val="35BE4539"/>
    <w:rsid w:val="360F2197"/>
    <w:rsid w:val="367C74C9"/>
    <w:rsid w:val="367D7DA4"/>
    <w:rsid w:val="369852A4"/>
    <w:rsid w:val="36A06300"/>
    <w:rsid w:val="373401DB"/>
    <w:rsid w:val="37520E73"/>
    <w:rsid w:val="37853D70"/>
    <w:rsid w:val="37E11B2B"/>
    <w:rsid w:val="38083C04"/>
    <w:rsid w:val="3813309C"/>
    <w:rsid w:val="385F2F16"/>
    <w:rsid w:val="387358D6"/>
    <w:rsid w:val="38FE7DA6"/>
    <w:rsid w:val="390B4A53"/>
    <w:rsid w:val="393279FA"/>
    <w:rsid w:val="39626E38"/>
    <w:rsid w:val="39AB5997"/>
    <w:rsid w:val="3A134C44"/>
    <w:rsid w:val="3A4E470C"/>
    <w:rsid w:val="3A526EBE"/>
    <w:rsid w:val="3A8B5DB2"/>
    <w:rsid w:val="3B1D0923"/>
    <w:rsid w:val="3B3738EE"/>
    <w:rsid w:val="3B5C012F"/>
    <w:rsid w:val="3B6F5C1F"/>
    <w:rsid w:val="3B7E62B1"/>
    <w:rsid w:val="3BAB0475"/>
    <w:rsid w:val="3BE47ECF"/>
    <w:rsid w:val="3C171BE4"/>
    <w:rsid w:val="3C2E7893"/>
    <w:rsid w:val="3C2F336E"/>
    <w:rsid w:val="3C391D51"/>
    <w:rsid w:val="3C4D306C"/>
    <w:rsid w:val="3C7322D4"/>
    <w:rsid w:val="3CD51A2A"/>
    <w:rsid w:val="3D0017CB"/>
    <w:rsid w:val="3D096DD1"/>
    <w:rsid w:val="3D2C63E2"/>
    <w:rsid w:val="3D327DE8"/>
    <w:rsid w:val="3D4F4D71"/>
    <w:rsid w:val="3D9E66E0"/>
    <w:rsid w:val="3DA84F0D"/>
    <w:rsid w:val="3E0B1F87"/>
    <w:rsid w:val="3E1F3760"/>
    <w:rsid w:val="3E556F47"/>
    <w:rsid w:val="3E893AAA"/>
    <w:rsid w:val="3EA43F64"/>
    <w:rsid w:val="3ECA74DE"/>
    <w:rsid w:val="3EE404AA"/>
    <w:rsid w:val="3EEB4F68"/>
    <w:rsid w:val="3EF17DEF"/>
    <w:rsid w:val="3EF87C73"/>
    <w:rsid w:val="3F7D3537"/>
    <w:rsid w:val="3FDC3D9A"/>
    <w:rsid w:val="3FEC045F"/>
    <w:rsid w:val="3FF3699F"/>
    <w:rsid w:val="40181EA7"/>
    <w:rsid w:val="40A65906"/>
    <w:rsid w:val="40F55643"/>
    <w:rsid w:val="412A5EB8"/>
    <w:rsid w:val="41A823B0"/>
    <w:rsid w:val="41C77405"/>
    <w:rsid w:val="41F22C86"/>
    <w:rsid w:val="420B427F"/>
    <w:rsid w:val="4227020B"/>
    <w:rsid w:val="423B0466"/>
    <w:rsid w:val="424B685B"/>
    <w:rsid w:val="43556DEF"/>
    <w:rsid w:val="43724A09"/>
    <w:rsid w:val="439B48DC"/>
    <w:rsid w:val="43CA1F54"/>
    <w:rsid w:val="43F77146"/>
    <w:rsid w:val="44052433"/>
    <w:rsid w:val="440B2AA7"/>
    <w:rsid w:val="44172EBB"/>
    <w:rsid w:val="441C0F1A"/>
    <w:rsid w:val="445B144B"/>
    <w:rsid w:val="44C333CD"/>
    <w:rsid w:val="4508048C"/>
    <w:rsid w:val="454B325C"/>
    <w:rsid w:val="45A975AE"/>
    <w:rsid w:val="45B03128"/>
    <w:rsid w:val="45BA1687"/>
    <w:rsid w:val="45C46FD2"/>
    <w:rsid w:val="45E0539E"/>
    <w:rsid w:val="460C1ED2"/>
    <w:rsid w:val="466E08ED"/>
    <w:rsid w:val="46836916"/>
    <w:rsid w:val="46C25080"/>
    <w:rsid w:val="46CA1A53"/>
    <w:rsid w:val="46E43E69"/>
    <w:rsid w:val="47640420"/>
    <w:rsid w:val="478C0C36"/>
    <w:rsid w:val="479E3BBC"/>
    <w:rsid w:val="47A27E9E"/>
    <w:rsid w:val="47D04151"/>
    <w:rsid w:val="47D92520"/>
    <w:rsid w:val="47F502F8"/>
    <w:rsid w:val="47FA022D"/>
    <w:rsid w:val="48360994"/>
    <w:rsid w:val="486335FC"/>
    <w:rsid w:val="489C1FFA"/>
    <w:rsid w:val="48C178BE"/>
    <w:rsid w:val="49261CEE"/>
    <w:rsid w:val="495170FC"/>
    <w:rsid w:val="49B77F3E"/>
    <w:rsid w:val="49BC4814"/>
    <w:rsid w:val="4A263C47"/>
    <w:rsid w:val="4A4813F8"/>
    <w:rsid w:val="4A4D38AD"/>
    <w:rsid w:val="4A5C7AFC"/>
    <w:rsid w:val="4A720D06"/>
    <w:rsid w:val="4ADF22E1"/>
    <w:rsid w:val="4B095820"/>
    <w:rsid w:val="4B211C9C"/>
    <w:rsid w:val="4B6573D7"/>
    <w:rsid w:val="4BA51134"/>
    <w:rsid w:val="4BAE7B2F"/>
    <w:rsid w:val="4BCC4562"/>
    <w:rsid w:val="4BED1855"/>
    <w:rsid w:val="4C461256"/>
    <w:rsid w:val="4C5E5A61"/>
    <w:rsid w:val="4C941221"/>
    <w:rsid w:val="4C9A2C95"/>
    <w:rsid w:val="4CA74709"/>
    <w:rsid w:val="4CAC6220"/>
    <w:rsid w:val="4CB459E2"/>
    <w:rsid w:val="4DF5599C"/>
    <w:rsid w:val="4DFA381F"/>
    <w:rsid w:val="4E03083E"/>
    <w:rsid w:val="4E163B26"/>
    <w:rsid w:val="4E230BA4"/>
    <w:rsid w:val="4E754327"/>
    <w:rsid w:val="4E8C66E6"/>
    <w:rsid w:val="4E8E3FDD"/>
    <w:rsid w:val="4EE1171D"/>
    <w:rsid w:val="4F0005C7"/>
    <w:rsid w:val="4F1A67CD"/>
    <w:rsid w:val="4F2B7AA3"/>
    <w:rsid w:val="4F6A593B"/>
    <w:rsid w:val="4F713A76"/>
    <w:rsid w:val="4F915184"/>
    <w:rsid w:val="4FDE0A6D"/>
    <w:rsid w:val="4FE071F9"/>
    <w:rsid w:val="4FFB2001"/>
    <w:rsid w:val="502412BA"/>
    <w:rsid w:val="503F2209"/>
    <w:rsid w:val="505A30A0"/>
    <w:rsid w:val="50964770"/>
    <w:rsid w:val="50A770A7"/>
    <w:rsid w:val="50B17B7B"/>
    <w:rsid w:val="50C448A0"/>
    <w:rsid w:val="50E20359"/>
    <w:rsid w:val="51003479"/>
    <w:rsid w:val="510F5E9F"/>
    <w:rsid w:val="514C0962"/>
    <w:rsid w:val="51645CAB"/>
    <w:rsid w:val="51666301"/>
    <w:rsid w:val="51667B7E"/>
    <w:rsid w:val="51817845"/>
    <w:rsid w:val="51C36CC1"/>
    <w:rsid w:val="51D1608D"/>
    <w:rsid w:val="52325BB2"/>
    <w:rsid w:val="5274704D"/>
    <w:rsid w:val="52A33C0D"/>
    <w:rsid w:val="52E866FB"/>
    <w:rsid w:val="531A0D32"/>
    <w:rsid w:val="531D5270"/>
    <w:rsid w:val="531F5B65"/>
    <w:rsid w:val="532A7005"/>
    <w:rsid w:val="5347441C"/>
    <w:rsid w:val="535E0A14"/>
    <w:rsid w:val="53A11BE0"/>
    <w:rsid w:val="53D368EA"/>
    <w:rsid w:val="53E54CE8"/>
    <w:rsid w:val="54104C11"/>
    <w:rsid w:val="541B7145"/>
    <w:rsid w:val="549E0246"/>
    <w:rsid w:val="54DA234C"/>
    <w:rsid w:val="54F2309B"/>
    <w:rsid w:val="550276E5"/>
    <w:rsid w:val="552A65CC"/>
    <w:rsid w:val="553374B0"/>
    <w:rsid w:val="55610922"/>
    <w:rsid w:val="557E22B6"/>
    <w:rsid w:val="55A912BD"/>
    <w:rsid w:val="55A95490"/>
    <w:rsid w:val="55CC1BC0"/>
    <w:rsid w:val="55FC5863"/>
    <w:rsid w:val="561D5FDD"/>
    <w:rsid w:val="56402CDD"/>
    <w:rsid w:val="569064C9"/>
    <w:rsid w:val="56BE6DE6"/>
    <w:rsid w:val="57AC176B"/>
    <w:rsid w:val="57D57D3B"/>
    <w:rsid w:val="57EC4CF6"/>
    <w:rsid w:val="57F85737"/>
    <w:rsid w:val="58267ABA"/>
    <w:rsid w:val="587E6935"/>
    <w:rsid w:val="58FA4443"/>
    <w:rsid w:val="599A7D70"/>
    <w:rsid w:val="59B32350"/>
    <w:rsid w:val="5A735C51"/>
    <w:rsid w:val="5A8F7BB7"/>
    <w:rsid w:val="5AF50B06"/>
    <w:rsid w:val="5AFB6629"/>
    <w:rsid w:val="5B22784B"/>
    <w:rsid w:val="5B390381"/>
    <w:rsid w:val="5BD614A7"/>
    <w:rsid w:val="5BE36AF2"/>
    <w:rsid w:val="5C5E2C2A"/>
    <w:rsid w:val="5C8378EE"/>
    <w:rsid w:val="5CA55572"/>
    <w:rsid w:val="5CA8495D"/>
    <w:rsid w:val="5CB038BE"/>
    <w:rsid w:val="5CC13F9C"/>
    <w:rsid w:val="5D361410"/>
    <w:rsid w:val="5D94585B"/>
    <w:rsid w:val="5DAC488B"/>
    <w:rsid w:val="5DB96DF2"/>
    <w:rsid w:val="5DE23B57"/>
    <w:rsid w:val="5DF11233"/>
    <w:rsid w:val="5DFA352B"/>
    <w:rsid w:val="5E0B13E1"/>
    <w:rsid w:val="5E1A41CD"/>
    <w:rsid w:val="5E243ACE"/>
    <w:rsid w:val="5E6D3D7D"/>
    <w:rsid w:val="5E853EEC"/>
    <w:rsid w:val="5E896919"/>
    <w:rsid w:val="5EAA542A"/>
    <w:rsid w:val="5F1747C8"/>
    <w:rsid w:val="5F3C066D"/>
    <w:rsid w:val="5FAE3816"/>
    <w:rsid w:val="5FB45717"/>
    <w:rsid w:val="5FDE4010"/>
    <w:rsid w:val="603121AD"/>
    <w:rsid w:val="60864D86"/>
    <w:rsid w:val="60CD651A"/>
    <w:rsid w:val="60D652D6"/>
    <w:rsid w:val="613A201B"/>
    <w:rsid w:val="619C0A2A"/>
    <w:rsid w:val="61AA2A86"/>
    <w:rsid w:val="61B058F9"/>
    <w:rsid w:val="62065DDC"/>
    <w:rsid w:val="621416E4"/>
    <w:rsid w:val="624D6B1D"/>
    <w:rsid w:val="626B5ACF"/>
    <w:rsid w:val="62870725"/>
    <w:rsid w:val="62A15DCF"/>
    <w:rsid w:val="62F046A0"/>
    <w:rsid w:val="62FB39CF"/>
    <w:rsid w:val="630B7AE3"/>
    <w:rsid w:val="631176F9"/>
    <w:rsid w:val="637E3CDF"/>
    <w:rsid w:val="63D620C5"/>
    <w:rsid w:val="640B5BDC"/>
    <w:rsid w:val="64980A5A"/>
    <w:rsid w:val="64B319BF"/>
    <w:rsid w:val="64ED56D1"/>
    <w:rsid w:val="650C6590"/>
    <w:rsid w:val="6533041B"/>
    <w:rsid w:val="654B0C59"/>
    <w:rsid w:val="654C1A4A"/>
    <w:rsid w:val="65525D2A"/>
    <w:rsid w:val="65DE2BEA"/>
    <w:rsid w:val="662F5351"/>
    <w:rsid w:val="663632DB"/>
    <w:rsid w:val="66476E97"/>
    <w:rsid w:val="669A3CFE"/>
    <w:rsid w:val="67330990"/>
    <w:rsid w:val="673966FC"/>
    <w:rsid w:val="67620DAB"/>
    <w:rsid w:val="67684F4E"/>
    <w:rsid w:val="67C376EE"/>
    <w:rsid w:val="67D44ACC"/>
    <w:rsid w:val="67D80322"/>
    <w:rsid w:val="67EE2095"/>
    <w:rsid w:val="67EF3E03"/>
    <w:rsid w:val="68050490"/>
    <w:rsid w:val="683457A6"/>
    <w:rsid w:val="68A16396"/>
    <w:rsid w:val="68B858E5"/>
    <w:rsid w:val="68C34255"/>
    <w:rsid w:val="691F4DA7"/>
    <w:rsid w:val="6932512B"/>
    <w:rsid w:val="693F23A9"/>
    <w:rsid w:val="69516271"/>
    <w:rsid w:val="696E78C2"/>
    <w:rsid w:val="69900936"/>
    <w:rsid w:val="69EA49E1"/>
    <w:rsid w:val="69F67338"/>
    <w:rsid w:val="6A1555CF"/>
    <w:rsid w:val="6A1667B0"/>
    <w:rsid w:val="6A353382"/>
    <w:rsid w:val="6A4951FF"/>
    <w:rsid w:val="6ACE52E4"/>
    <w:rsid w:val="6B166389"/>
    <w:rsid w:val="6B251F03"/>
    <w:rsid w:val="6B4A5017"/>
    <w:rsid w:val="6B4C7F27"/>
    <w:rsid w:val="6BA160A2"/>
    <w:rsid w:val="6BC63875"/>
    <w:rsid w:val="6BDF11B9"/>
    <w:rsid w:val="6BFD1F19"/>
    <w:rsid w:val="6C091151"/>
    <w:rsid w:val="6C742BFD"/>
    <w:rsid w:val="6CBB105E"/>
    <w:rsid w:val="6CCB41BA"/>
    <w:rsid w:val="6CF657E8"/>
    <w:rsid w:val="6D1C2093"/>
    <w:rsid w:val="6D672463"/>
    <w:rsid w:val="6D9B27F4"/>
    <w:rsid w:val="6DA079A4"/>
    <w:rsid w:val="6DC940BD"/>
    <w:rsid w:val="6E2952C2"/>
    <w:rsid w:val="6EC0431C"/>
    <w:rsid w:val="6EE266A2"/>
    <w:rsid w:val="6EF555DF"/>
    <w:rsid w:val="6F074147"/>
    <w:rsid w:val="6F4644C2"/>
    <w:rsid w:val="6F6048BA"/>
    <w:rsid w:val="6FAB1EA1"/>
    <w:rsid w:val="7024257D"/>
    <w:rsid w:val="706B496A"/>
    <w:rsid w:val="71353ED7"/>
    <w:rsid w:val="71354A59"/>
    <w:rsid w:val="71840D1F"/>
    <w:rsid w:val="721B29D5"/>
    <w:rsid w:val="72383CF1"/>
    <w:rsid w:val="723D4CBF"/>
    <w:rsid w:val="7255024C"/>
    <w:rsid w:val="72A24D18"/>
    <w:rsid w:val="72B45A90"/>
    <w:rsid w:val="72BB6B5D"/>
    <w:rsid w:val="72D208AE"/>
    <w:rsid w:val="72DE5ED7"/>
    <w:rsid w:val="72E074CC"/>
    <w:rsid w:val="72FB56BC"/>
    <w:rsid w:val="734608D2"/>
    <w:rsid w:val="7354676B"/>
    <w:rsid w:val="738C09B4"/>
    <w:rsid w:val="739E1E77"/>
    <w:rsid w:val="73BB70EF"/>
    <w:rsid w:val="74DC3073"/>
    <w:rsid w:val="7502480F"/>
    <w:rsid w:val="75471053"/>
    <w:rsid w:val="75660556"/>
    <w:rsid w:val="75A218F7"/>
    <w:rsid w:val="75D626C5"/>
    <w:rsid w:val="761C1EE9"/>
    <w:rsid w:val="763B4741"/>
    <w:rsid w:val="7655596B"/>
    <w:rsid w:val="76731501"/>
    <w:rsid w:val="76831F2B"/>
    <w:rsid w:val="76F56CDB"/>
    <w:rsid w:val="77293457"/>
    <w:rsid w:val="785B5E9C"/>
    <w:rsid w:val="788C2348"/>
    <w:rsid w:val="78B6211D"/>
    <w:rsid w:val="78D65BFE"/>
    <w:rsid w:val="78E0335A"/>
    <w:rsid w:val="79391384"/>
    <w:rsid w:val="798D4564"/>
    <w:rsid w:val="79CE1504"/>
    <w:rsid w:val="79F3499F"/>
    <w:rsid w:val="79F75056"/>
    <w:rsid w:val="7A2C7A88"/>
    <w:rsid w:val="7A307D2F"/>
    <w:rsid w:val="7A3C4320"/>
    <w:rsid w:val="7A8029B7"/>
    <w:rsid w:val="7AE2373D"/>
    <w:rsid w:val="7B002650"/>
    <w:rsid w:val="7B030916"/>
    <w:rsid w:val="7B3A4B6B"/>
    <w:rsid w:val="7B6559D7"/>
    <w:rsid w:val="7B77363A"/>
    <w:rsid w:val="7B88078E"/>
    <w:rsid w:val="7BA06A99"/>
    <w:rsid w:val="7BA317D2"/>
    <w:rsid w:val="7BC062DE"/>
    <w:rsid w:val="7C0004C1"/>
    <w:rsid w:val="7C0824CB"/>
    <w:rsid w:val="7C1F1EB0"/>
    <w:rsid w:val="7C2E114C"/>
    <w:rsid w:val="7C910ED4"/>
    <w:rsid w:val="7CF9370C"/>
    <w:rsid w:val="7D1C00CA"/>
    <w:rsid w:val="7D64312D"/>
    <w:rsid w:val="7D702B6A"/>
    <w:rsid w:val="7DA01538"/>
    <w:rsid w:val="7DB97AB4"/>
    <w:rsid w:val="7E175D82"/>
    <w:rsid w:val="7E291B8D"/>
    <w:rsid w:val="7E4B410A"/>
    <w:rsid w:val="7E5020D6"/>
    <w:rsid w:val="7EA47EE3"/>
    <w:rsid w:val="7EB17B17"/>
    <w:rsid w:val="7F5960C7"/>
    <w:rsid w:val="7FB77299"/>
    <w:rsid w:val="7FC8284D"/>
    <w:rsid w:val="7FF63C3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4">
    <w:name w:val="heading 2"/>
    <w:basedOn w:val="5"/>
    <w:next w:val="1"/>
    <w:unhideWhenUsed/>
    <w:qFormat/>
    <w:uiPriority w:val="0"/>
    <w:pPr>
      <w:spacing w:before="260" w:after="260" w:line="413" w:lineRule="auto"/>
      <w:outlineLvl w:val="1"/>
    </w:pPr>
    <w:rPr>
      <w:rFonts w:ascii="Arial" w:hAnsi="Arial" w:eastAsia="黑体"/>
      <w:b/>
      <w:sz w:val="32"/>
      <w:szCs w:val="32"/>
    </w:rPr>
  </w:style>
  <w:style w:type="paragraph" w:styleId="6">
    <w:name w:val="heading 5"/>
    <w:basedOn w:val="1"/>
    <w:next w:val="1"/>
    <w:unhideWhenUsed/>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customStyle="1" w:styleId="5">
    <w:name w:val="标题 55"/>
    <w:basedOn w:val="6"/>
    <w:qFormat/>
    <w:uiPriority w:val="2"/>
    <w:rPr>
      <w:rFonts w:ascii="方正黑体简体" w:hAnsi="方正黑体简体" w:eastAsia="方正黑体简体"/>
      <w:b w:val="0"/>
    </w:rPr>
  </w:style>
  <w:style w:type="paragraph" w:styleId="7">
    <w:name w:val="Body Text First Indent"/>
    <w:basedOn w:val="8"/>
    <w:next w:val="1"/>
    <w:qFormat/>
    <w:uiPriority w:val="0"/>
    <w:pPr>
      <w:ind w:firstLine="420" w:firstLineChars="100"/>
    </w:pPr>
  </w:style>
  <w:style w:type="paragraph" w:styleId="8">
    <w:name w:val="Body Text"/>
    <w:basedOn w:val="1"/>
    <w:next w:val="7"/>
    <w:qFormat/>
    <w:uiPriority w:val="0"/>
    <w:pPr>
      <w:spacing w:after="120"/>
    </w:pPr>
    <w:rPr>
      <w:rFonts w:ascii="Times New Roman" w:hAnsi="Times New Roman"/>
      <w:szCs w:val="24"/>
    </w:rPr>
  </w:style>
  <w:style w:type="paragraph" w:styleId="9">
    <w:name w:val="Plain Text"/>
    <w:basedOn w:val="1"/>
    <w:qFormat/>
    <w:uiPriority w:val="0"/>
    <w:rPr>
      <w:rFonts w:ascii="宋体" w:hAnsi="Courier New"/>
      <w:kern w:val="0"/>
      <w:sz w:val="20"/>
      <w:szCs w:val="21"/>
    </w:rPr>
  </w:style>
  <w:style w:type="paragraph" w:styleId="10">
    <w:name w:val="Date"/>
    <w:basedOn w:val="1"/>
    <w:next w:val="1"/>
    <w:qFormat/>
    <w:uiPriority w:val="0"/>
    <w:pPr>
      <w:ind w:left="100" w:leftChars="2500"/>
    </w:pPr>
    <w:rPr>
      <w:rFonts w:ascii="Times New Roman" w:hAnsi="Times New Roman"/>
      <w:b/>
      <w:bCs/>
      <w:kern w:val="0"/>
      <w:sz w:val="36"/>
      <w:szCs w:val="24"/>
    </w:rPr>
  </w:style>
  <w:style w:type="paragraph" w:styleId="11">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3">
    <w:name w:val="toc 1"/>
    <w:basedOn w:val="3"/>
    <w:next w:val="1"/>
    <w:qFormat/>
    <w:uiPriority w:val="0"/>
    <w:pPr>
      <w:tabs>
        <w:tab w:val="right" w:leader="dot" w:pos="8659"/>
      </w:tabs>
      <w:spacing w:before="0" w:after="0" w:line="240" w:lineRule="auto"/>
      <w:jc w:val="center"/>
    </w:pPr>
    <w:rPr>
      <w:b w:val="0"/>
      <w:sz w:val="21"/>
    </w:rPr>
  </w:style>
  <w:style w:type="paragraph" w:styleId="14">
    <w:name w:val="index 1"/>
    <w:basedOn w:val="1"/>
    <w:next w:val="1"/>
    <w:qFormat/>
    <w:uiPriority w:val="0"/>
    <w:pPr>
      <w:spacing w:line="320" w:lineRule="exact"/>
    </w:pPr>
    <w:rPr>
      <w:rFonts w:ascii="Times New Roman" w:hAnsi="Times New Roman"/>
      <w:snapToGrid w:val="0"/>
      <w:color w:val="FF6600"/>
      <w:kern w:val="0"/>
      <w:sz w:val="18"/>
      <w:szCs w:val="21"/>
    </w:rPr>
  </w:style>
  <w:style w:type="paragraph" w:styleId="15">
    <w:name w:val="Title"/>
    <w:basedOn w:val="1"/>
    <w:next w:val="1"/>
    <w:qFormat/>
    <w:uiPriority w:val="0"/>
    <w:pPr>
      <w:spacing w:before="240" w:after="60"/>
      <w:jc w:val="center"/>
      <w:outlineLvl w:val="0"/>
    </w:pPr>
    <w:rPr>
      <w:rFonts w:ascii="Arial" w:hAnsi="Arial"/>
      <w:b/>
      <w:bCs/>
      <w:kern w:val="0"/>
      <w:sz w:val="32"/>
      <w:szCs w:val="32"/>
    </w:rPr>
  </w:style>
  <w:style w:type="character" w:styleId="17">
    <w:name w:val="page number"/>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paragraph" w:customStyle="1" w:styleId="21">
    <w:name w:val="样式 标题 1 + (符号) Arial 三号"/>
    <w:basedOn w:val="3"/>
    <w:qFormat/>
    <w:uiPriority w:val="0"/>
    <w:pPr>
      <w:snapToGrid w:val="0"/>
      <w:spacing w:before="0" w:after="0" w:line="360" w:lineRule="auto"/>
    </w:pPr>
    <w:rPr>
      <w:sz w:val="32"/>
    </w:rPr>
  </w:style>
  <w:style w:type="character" w:customStyle="1" w:styleId="22">
    <w:name w:val="zbggmain style9"/>
    <w:qFormat/>
    <w:uiPriority w:val="0"/>
  </w:style>
  <w:style w:type="paragraph" w:customStyle="1" w:styleId="23">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24">
    <w:name w:val="注"/>
    <w:basedOn w:val="25"/>
    <w:qFormat/>
    <w:uiPriority w:val="1"/>
    <w:pPr>
      <w:spacing w:line="288" w:lineRule="auto"/>
      <w:ind w:firstLine="0"/>
    </w:pPr>
    <w:rPr>
      <w:sz w:val="20"/>
    </w:rPr>
  </w:style>
  <w:style w:type="paragraph" w:customStyle="1" w:styleId="25">
    <w:name w:val="正文00"/>
    <w:basedOn w:val="1"/>
    <w:qFormat/>
    <w:uiPriority w:val="3"/>
    <w:pPr>
      <w:spacing w:line="360" w:lineRule="auto"/>
      <w:ind w:firstLine="200"/>
    </w:pPr>
    <w:rPr>
      <w:szCs w:val="21"/>
    </w:rPr>
  </w:style>
  <w:style w:type="paragraph" w:customStyle="1" w:styleId="26">
    <w:name w:val="List Paragraph"/>
    <w:basedOn w:val="1"/>
    <w:qFormat/>
    <w:uiPriority w:val="99"/>
    <w:pPr>
      <w:ind w:firstLine="420" w:firstLineChars="200"/>
    </w:pPr>
  </w:style>
  <w:style w:type="paragraph" w:customStyle="1" w:styleId="27">
    <w:name w:val="样式 正文文本"/>
    <w:basedOn w:val="1"/>
    <w:qFormat/>
    <w:uiPriority w:val="0"/>
    <w:pPr>
      <w:adjustRightInd w:val="0"/>
      <w:snapToGrid w:val="0"/>
      <w:spacing w:line="400" w:lineRule="exact"/>
      <w:ind w:firstLine="200" w:firstLineChars="200"/>
    </w:pPr>
    <w:rPr>
      <w:rFonts w:ascii="Arial" w:hAnsi="Arial"/>
      <w:color w:val="000000"/>
    </w:rPr>
  </w:style>
  <w:style w:type="paragraph" w:customStyle="1" w:styleId="28">
    <w:name w:val="样式 样式1 + 首行缩进:  2 字符"/>
    <w:basedOn w:val="1"/>
    <w:qFormat/>
    <w:uiPriority w:val="0"/>
    <w:pPr>
      <w:spacing w:line="36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FFB77-E19E-4348-887F-7EB6C2D2408A}">
  <ds:schemaRefs/>
</ds:datastoreItem>
</file>

<file path=docProps/app.xml><?xml version="1.0" encoding="utf-8"?>
<Properties xmlns="http://schemas.openxmlformats.org/officeDocument/2006/extended-properties" xmlns:vt="http://schemas.openxmlformats.org/officeDocument/2006/docPropsVTypes">
  <Template>Normal</Template>
  <Pages>31</Pages>
  <Words>2717</Words>
  <Characters>15489</Characters>
  <Lines>129</Lines>
  <Paragraphs>36</Paragraphs>
  <ScaleCrop>false</ScaleCrop>
  <LinksUpToDate>false</LinksUpToDate>
  <CharactersWithSpaces>18170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张乾波</cp:lastModifiedBy>
  <dcterms:modified xsi:type="dcterms:W3CDTF">2022-08-31T08:58:53Z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