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utoSpaceDE w:val="0"/>
        <w:autoSpaceDN w:val="0"/>
        <w:jc w:val="center"/>
        <w:textAlignment w:val="bottom"/>
        <w:rPr>
          <w:rFonts w:ascii="黑体" w:hAnsi="黑体" w:eastAsia="黑体"/>
          <w:b/>
          <w:sz w:val="44"/>
          <w:szCs w:val="44"/>
        </w:rPr>
      </w:pPr>
    </w:p>
    <w:p>
      <w:pPr>
        <w:widowControl/>
        <w:autoSpaceDE w:val="0"/>
        <w:autoSpaceDN w:val="0"/>
        <w:jc w:val="center"/>
        <w:textAlignment w:val="bottom"/>
        <w:rPr>
          <w:rFonts w:ascii="黑体" w:hAnsi="黑体" w:eastAsia="黑体"/>
          <w:b/>
          <w:sz w:val="52"/>
          <w:szCs w:val="52"/>
        </w:rPr>
      </w:pPr>
      <w:r>
        <w:rPr>
          <w:rFonts w:hint="eastAsia" w:ascii="黑体" w:hAnsi="黑体" w:eastAsia="黑体"/>
          <w:b/>
          <w:sz w:val="52"/>
          <w:szCs w:val="52"/>
        </w:rPr>
        <w:t>杭州萧山国际机场6号道口改造项目</w:t>
      </w:r>
    </w:p>
    <w:p>
      <w:pPr>
        <w:widowControl/>
        <w:autoSpaceDE w:val="0"/>
        <w:autoSpaceDN w:val="0"/>
        <w:jc w:val="center"/>
        <w:textAlignment w:val="bottom"/>
        <w:rPr>
          <w:rFonts w:ascii="黑体" w:hAnsi="黑体" w:eastAsia="黑体"/>
          <w:sz w:val="52"/>
          <w:szCs w:val="52"/>
        </w:rPr>
      </w:pPr>
      <w:r>
        <w:rPr>
          <w:rFonts w:ascii="黑体" w:hAnsi="黑体" w:eastAsia="黑体"/>
          <w:b/>
          <w:sz w:val="52"/>
          <w:szCs w:val="52"/>
        </w:rPr>
        <w:t>招标文件</w:t>
      </w:r>
    </w:p>
    <w:p>
      <w:pPr>
        <w:widowControl/>
        <w:autoSpaceDE w:val="0"/>
        <w:autoSpaceDN w:val="0"/>
        <w:snapToGrid w:val="0"/>
        <w:spacing w:line="560" w:lineRule="exact"/>
        <w:jc w:val="center"/>
        <w:textAlignment w:val="bottom"/>
        <w:rPr>
          <w:rFonts w:ascii="宋体" w:hAnsi="宋体"/>
          <w:b/>
          <w:sz w:val="44"/>
          <w:szCs w:val="44"/>
        </w:rPr>
      </w:pPr>
    </w:p>
    <w:p>
      <w:pPr>
        <w:widowControl/>
        <w:autoSpaceDE w:val="0"/>
        <w:autoSpaceDN w:val="0"/>
        <w:snapToGrid w:val="0"/>
        <w:spacing w:line="560" w:lineRule="exact"/>
        <w:jc w:val="center"/>
        <w:textAlignment w:val="bottom"/>
        <w:rPr>
          <w:rFonts w:ascii="宋体" w:hAnsi="宋体"/>
          <w:b/>
          <w:sz w:val="32"/>
          <w:szCs w:val="32"/>
        </w:rPr>
      </w:pPr>
    </w:p>
    <w:p>
      <w:pPr>
        <w:widowControl/>
        <w:autoSpaceDE w:val="0"/>
        <w:autoSpaceDN w:val="0"/>
        <w:snapToGrid w:val="0"/>
        <w:spacing w:line="560" w:lineRule="exact"/>
        <w:textAlignment w:val="bottom"/>
        <w:rPr>
          <w:rFonts w:ascii="宋体" w:hAnsi="宋体"/>
          <w:bCs/>
          <w:sz w:val="32"/>
          <w:szCs w:val="32"/>
        </w:rPr>
      </w:pPr>
      <w:r>
        <w:rPr>
          <w:rFonts w:ascii="宋体" w:hAnsi="宋体"/>
          <w:b/>
          <w:sz w:val="32"/>
          <w:szCs w:val="32"/>
        </w:rPr>
        <w:t xml:space="preserve">   </w:t>
      </w:r>
      <w:r>
        <w:rPr>
          <w:rFonts w:hint="eastAsia" w:ascii="宋体" w:hAnsi="宋体"/>
          <w:b/>
          <w:sz w:val="32"/>
          <w:szCs w:val="32"/>
        </w:rPr>
        <w:t xml:space="preserve">                </w:t>
      </w:r>
      <w:r>
        <w:rPr>
          <w:rFonts w:ascii="宋体" w:hAnsi="宋体"/>
          <w:b/>
          <w:sz w:val="32"/>
          <w:szCs w:val="32"/>
        </w:rPr>
        <w:t xml:space="preserve">      </w:t>
      </w:r>
      <w:r>
        <w:rPr>
          <w:rFonts w:hint="eastAsia" w:ascii="宋体" w:hAnsi="宋体"/>
          <w:b/>
          <w:sz w:val="32"/>
          <w:szCs w:val="32"/>
        </w:rPr>
        <w:t xml:space="preserve">    </w:t>
      </w:r>
    </w:p>
    <w:p>
      <w:pPr>
        <w:widowControl/>
        <w:autoSpaceDE w:val="0"/>
        <w:autoSpaceDN w:val="0"/>
        <w:snapToGrid w:val="0"/>
        <w:spacing w:line="560" w:lineRule="exact"/>
        <w:textAlignment w:val="bottom"/>
        <w:rPr>
          <w:rFonts w:ascii="宋体" w:hAnsi="宋体"/>
          <w:b/>
          <w:sz w:val="32"/>
          <w:szCs w:val="32"/>
        </w:rPr>
      </w:pPr>
      <w:r>
        <w:rPr>
          <w:rFonts w:ascii="宋体" w:hAnsi="宋体"/>
          <w:bCs/>
          <w:sz w:val="32"/>
          <w:szCs w:val="32"/>
        </w:rPr>
        <w:t xml:space="preserve">                 </w:t>
      </w:r>
      <w:r>
        <w:rPr>
          <w:rFonts w:hint="eastAsia" w:ascii="宋体" w:hAnsi="宋体"/>
          <w:bCs/>
          <w:sz w:val="32"/>
          <w:szCs w:val="32"/>
        </w:rPr>
        <w:t xml:space="preserve">            </w:t>
      </w:r>
    </w:p>
    <w:p>
      <w:pPr>
        <w:adjustRightInd w:val="0"/>
        <w:snapToGrid w:val="0"/>
        <w:spacing w:line="560" w:lineRule="exact"/>
        <w:jc w:val="center"/>
        <w:textAlignment w:val="bottom"/>
        <w:rPr>
          <w:rFonts w:ascii="宋体" w:hAnsi="宋体"/>
          <w:sz w:val="32"/>
          <w:szCs w:val="32"/>
        </w:rPr>
      </w:pPr>
    </w:p>
    <w:p>
      <w:pPr>
        <w:adjustRightInd w:val="0"/>
        <w:snapToGrid w:val="0"/>
        <w:spacing w:line="560" w:lineRule="exact"/>
        <w:jc w:val="center"/>
        <w:textAlignment w:val="bottom"/>
        <w:rPr>
          <w:rFonts w:ascii="宋体" w:hAnsi="宋体"/>
          <w:sz w:val="32"/>
          <w:szCs w:val="32"/>
        </w:rPr>
      </w:pPr>
    </w:p>
    <w:p>
      <w:pPr>
        <w:adjustRightInd w:val="0"/>
        <w:snapToGrid w:val="0"/>
        <w:spacing w:line="560" w:lineRule="exact"/>
        <w:jc w:val="center"/>
        <w:textAlignment w:val="bottom"/>
        <w:rPr>
          <w:rFonts w:ascii="宋体" w:hAnsi="宋体"/>
          <w:sz w:val="32"/>
          <w:szCs w:val="32"/>
        </w:rPr>
      </w:pPr>
    </w:p>
    <w:p>
      <w:pPr>
        <w:adjustRightInd w:val="0"/>
        <w:snapToGrid w:val="0"/>
        <w:spacing w:line="560" w:lineRule="exact"/>
        <w:jc w:val="center"/>
        <w:textAlignment w:val="bottom"/>
        <w:rPr>
          <w:rFonts w:ascii="宋体" w:hAnsi="宋体"/>
          <w:sz w:val="32"/>
          <w:szCs w:val="32"/>
        </w:rPr>
      </w:pPr>
    </w:p>
    <w:p>
      <w:pPr>
        <w:adjustRightInd w:val="0"/>
        <w:snapToGrid w:val="0"/>
        <w:spacing w:line="560" w:lineRule="exact"/>
        <w:jc w:val="center"/>
        <w:textAlignment w:val="bottom"/>
        <w:rPr>
          <w:rFonts w:ascii="宋体" w:hAnsi="宋体"/>
          <w:sz w:val="32"/>
          <w:szCs w:val="32"/>
        </w:rPr>
      </w:pPr>
    </w:p>
    <w:p>
      <w:pPr>
        <w:adjustRightInd w:val="0"/>
        <w:snapToGrid w:val="0"/>
        <w:spacing w:line="560" w:lineRule="exact"/>
        <w:jc w:val="center"/>
        <w:textAlignment w:val="bottom"/>
        <w:rPr>
          <w:rFonts w:ascii="宋体" w:hAnsi="宋体"/>
          <w:sz w:val="32"/>
          <w:szCs w:val="32"/>
        </w:rPr>
      </w:pPr>
    </w:p>
    <w:p>
      <w:pPr>
        <w:jc w:val="center"/>
        <w:rPr>
          <w:rFonts w:eastAsia="黑体" w:cs="Calibri"/>
          <w:sz w:val="32"/>
          <w:szCs w:val="32"/>
        </w:rPr>
      </w:pPr>
      <w:r>
        <w:rPr>
          <w:rFonts w:hint="eastAsia" w:eastAsia="黑体" w:cs="Calibri"/>
          <w:sz w:val="32"/>
          <w:szCs w:val="32"/>
        </w:rPr>
        <w:t>杭州萧山国际机场有限公司</w:t>
      </w:r>
    </w:p>
    <w:p>
      <w:pPr>
        <w:pStyle w:val="5"/>
        <w:spacing w:line="480" w:lineRule="auto"/>
        <w:jc w:val="center"/>
        <w:rPr>
          <w:rFonts w:ascii="Calibri" w:hAnsi="Calibri" w:eastAsia="楷体_GB2312" w:cs="Calibri"/>
          <w:sz w:val="24"/>
          <w:szCs w:val="24"/>
          <w:u w:val="single"/>
        </w:rPr>
      </w:pPr>
      <w:r>
        <w:rPr>
          <w:rFonts w:hint="eastAsia" w:ascii="Calibri" w:hAnsi="Calibri" w:eastAsia="黑体" w:cs="Calibri"/>
          <w:sz w:val="32"/>
          <w:szCs w:val="32"/>
        </w:rPr>
        <w:t>二</w:t>
      </w:r>
      <w:r>
        <w:rPr>
          <w:rFonts w:hint="eastAsia" w:ascii="黑体" w:hAnsi="黑体" w:eastAsia="黑体" w:cs="Calibri"/>
          <w:sz w:val="32"/>
          <w:szCs w:val="32"/>
        </w:rPr>
        <w:t>Ο</w:t>
      </w:r>
      <w:r>
        <w:rPr>
          <w:rFonts w:hint="eastAsia" w:ascii="Calibri" w:hAnsi="Calibri" w:eastAsia="黑体" w:cs="Calibri"/>
          <w:sz w:val="32"/>
          <w:szCs w:val="32"/>
        </w:rPr>
        <w:t>二二年</w:t>
      </w:r>
      <w:r>
        <w:rPr>
          <w:rFonts w:hint="eastAsia" w:ascii="Calibri" w:hAnsi="Calibri" w:eastAsia="黑体" w:cs="Calibri"/>
          <w:sz w:val="32"/>
          <w:szCs w:val="32"/>
          <w:u w:val="single"/>
        </w:rPr>
        <w:t xml:space="preserve"> 十一 </w:t>
      </w:r>
      <w:r>
        <w:rPr>
          <w:rFonts w:ascii="Calibri" w:hAnsi="Calibri" w:eastAsia="黑体" w:cs="Calibri"/>
          <w:sz w:val="32"/>
          <w:szCs w:val="32"/>
        </w:rPr>
        <w:t>月</w:t>
      </w:r>
    </w:p>
    <w:p>
      <w:pPr>
        <w:snapToGrid w:val="0"/>
        <w:spacing w:line="560" w:lineRule="exact"/>
        <w:jc w:val="center"/>
        <w:rPr>
          <w:rFonts w:ascii="宋体" w:hAnsi="宋体"/>
          <w:b/>
          <w:bCs/>
          <w:sz w:val="32"/>
          <w:szCs w:val="32"/>
        </w:rPr>
      </w:pPr>
    </w:p>
    <w:p>
      <w:pPr>
        <w:spacing w:line="560" w:lineRule="exact"/>
        <w:jc w:val="center"/>
        <w:rPr>
          <w:b/>
        </w:rPr>
      </w:pPr>
    </w:p>
    <w:p>
      <w:pPr>
        <w:spacing w:line="560" w:lineRule="exact"/>
        <w:jc w:val="center"/>
        <w:rPr>
          <w:b/>
          <w:bCs/>
          <w:sz w:val="44"/>
          <w:szCs w:val="44"/>
        </w:rPr>
        <w:sectPr>
          <w:headerReference r:id="rId3" w:type="default"/>
          <w:footerReference r:id="rId4" w:type="default"/>
          <w:footerReference r:id="rId5" w:type="even"/>
          <w:pgSz w:w="11907" w:h="16840"/>
          <w:pgMar w:top="1134" w:right="1134" w:bottom="1134" w:left="1134" w:header="567" w:footer="567" w:gutter="0"/>
          <w:cols w:space="720" w:num="1"/>
        </w:sectPr>
      </w:pPr>
    </w:p>
    <w:p>
      <w:pPr>
        <w:pStyle w:val="9"/>
      </w:pPr>
    </w:p>
    <w:sdt>
      <w:sdtPr>
        <w:rPr>
          <w:rFonts w:ascii="宋体" w:hAnsi="宋体" w:eastAsia="宋体"/>
        </w:rPr>
        <w:id w:val="147480402"/>
        <w15:color w:val="DBDBDB"/>
      </w:sdtPr>
      <w:sdtEndPr>
        <w:rPr>
          <w:rFonts w:asciiTheme="minorHAnsi" w:hAnsiTheme="minorHAnsi" w:eastAsiaTheme="minorEastAsia"/>
          <w:bCs/>
          <w:szCs w:val="44"/>
        </w:rPr>
      </w:sdtEndPr>
      <w:sdtContent>
        <w:p>
          <w:pPr>
            <w:jc w:val="center"/>
            <w:rPr>
              <w:sz w:val="36"/>
              <w:szCs w:val="40"/>
            </w:rPr>
          </w:pPr>
          <w:r>
            <w:rPr>
              <w:rFonts w:ascii="宋体" w:hAnsi="宋体" w:eastAsia="宋体"/>
              <w:sz w:val="36"/>
              <w:szCs w:val="40"/>
            </w:rPr>
            <w:t>目录</w:t>
          </w:r>
        </w:p>
        <w:p>
          <w:pPr>
            <w:pStyle w:val="8"/>
            <w:tabs>
              <w:tab w:val="right" w:leader="dot" w:pos="9639"/>
            </w:tabs>
            <w:rPr>
              <w:sz w:val="36"/>
              <w:szCs w:val="44"/>
            </w:rPr>
          </w:pPr>
          <w:r>
            <w:rPr>
              <w:rFonts w:hint="eastAsia" w:ascii="宋体" w:hAnsi="宋体" w:eastAsia="宋体" w:cs="宋体"/>
              <w:b/>
              <w:bCs/>
              <w:sz w:val="56"/>
              <w:szCs w:val="56"/>
            </w:rPr>
            <w:fldChar w:fldCharType="begin"/>
          </w:r>
          <w:r>
            <w:rPr>
              <w:rFonts w:hint="eastAsia" w:ascii="宋体" w:hAnsi="宋体" w:eastAsia="宋体" w:cs="宋体"/>
              <w:b/>
              <w:bCs/>
              <w:sz w:val="56"/>
              <w:szCs w:val="56"/>
            </w:rPr>
            <w:instrText xml:space="preserve">TOC \o "1-3" \h \u </w:instrText>
          </w:r>
          <w:r>
            <w:rPr>
              <w:rFonts w:hint="eastAsia" w:ascii="宋体" w:hAnsi="宋体" w:eastAsia="宋体" w:cs="宋体"/>
              <w:b/>
              <w:bCs/>
              <w:sz w:val="56"/>
              <w:szCs w:val="56"/>
            </w:rPr>
            <w:fldChar w:fldCharType="separate"/>
          </w:r>
          <w:r>
            <w:fldChar w:fldCharType="begin"/>
          </w:r>
          <w:r>
            <w:instrText xml:space="preserve"> HYPERLINK \l "_Toc8459" </w:instrText>
          </w:r>
          <w:r>
            <w:fldChar w:fldCharType="separate"/>
          </w:r>
          <w:r>
            <w:rPr>
              <w:rFonts w:hint="eastAsia"/>
              <w:sz w:val="36"/>
              <w:szCs w:val="44"/>
            </w:rPr>
            <w:t>第一章 招标公告</w:t>
          </w:r>
          <w:r>
            <w:rPr>
              <w:sz w:val="36"/>
              <w:szCs w:val="44"/>
            </w:rPr>
            <w:tab/>
          </w:r>
          <w:r>
            <w:rPr>
              <w:sz w:val="36"/>
              <w:szCs w:val="44"/>
            </w:rPr>
            <w:fldChar w:fldCharType="begin"/>
          </w:r>
          <w:r>
            <w:rPr>
              <w:sz w:val="36"/>
              <w:szCs w:val="44"/>
            </w:rPr>
            <w:instrText xml:space="preserve"> PAGEREF _Toc8459 \h </w:instrText>
          </w:r>
          <w:r>
            <w:rPr>
              <w:sz w:val="36"/>
              <w:szCs w:val="44"/>
            </w:rPr>
            <w:fldChar w:fldCharType="separate"/>
          </w:r>
          <w:r>
            <w:rPr>
              <w:sz w:val="36"/>
              <w:szCs w:val="44"/>
            </w:rPr>
            <w:t>2</w:t>
          </w:r>
          <w:r>
            <w:rPr>
              <w:sz w:val="36"/>
              <w:szCs w:val="44"/>
            </w:rPr>
            <w:fldChar w:fldCharType="end"/>
          </w:r>
          <w:r>
            <w:rPr>
              <w:sz w:val="36"/>
              <w:szCs w:val="44"/>
            </w:rPr>
            <w:fldChar w:fldCharType="end"/>
          </w:r>
        </w:p>
        <w:p>
          <w:pPr>
            <w:pStyle w:val="8"/>
            <w:tabs>
              <w:tab w:val="right" w:leader="dot" w:pos="9639"/>
            </w:tabs>
            <w:rPr>
              <w:sz w:val="36"/>
              <w:szCs w:val="44"/>
            </w:rPr>
          </w:pPr>
          <w:r>
            <w:fldChar w:fldCharType="begin"/>
          </w:r>
          <w:r>
            <w:instrText xml:space="preserve"> HYPERLINK \l "_Toc682" </w:instrText>
          </w:r>
          <w:r>
            <w:fldChar w:fldCharType="separate"/>
          </w:r>
          <w:r>
            <w:rPr>
              <w:sz w:val="36"/>
              <w:szCs w:val="44"/>
            </w:rPr>
            <w:t>第</w:t>
          </w:r>
          <w:r>
            <w:rPr>
              <w:rFonts w:hint="eastAsia"/>
              <w:sz w:val="36"/>
              <w:szCs w:val="44"/>
            </w:rPr>
            <w:t>二</w:t>
          </w:r>
          <w:r>
            <w:rPr>
              <w:sz w:val="36"/>
              <w:szCs w:val="44"/>
            </w:rPr>
            <w:t xml:space="preserve">章 </w:t>
          </w:r>
          <w:r>
            <w:rPr>
              <w:rFonts w:hint="eastAsia"/>
              <w:sz w:val="36"/>
              <w:szCs w:val="44"/>
            </w:rPr>
            <w:t>评标办法</w:t>
          </w:r>
          <w:r>
            <w:rPr>
              <w:sz w:val="36"/>
              <w:szCs w:val="44"/>
            </w:rPr>
            <w:tab/>
          </w:r>
          <w:r>
            <w:rPr>
              <w:sz w:val="36"/>
              <w:szCs w:val="44"/>
            </w:rPr>
            <w:fldChar w:fldCharType="begin"/>
          </w:r>
          <w:r>
            <w:rPr>
              <w:sz w:val="36"/>
              <w:szCs w:val="44"/>
            </w:rPr>
            <w:instrText xml:space="preserve"> PAGEREF _Toc682 \h </w:instrText>
          </w:r>
          <w:r>
            <w:rPr>
              <w:sz w:val="36"/>
              <w:szCs w:val="44"/>
            </w:rPr>
            <w:fldChar w:fldCharType="separate"/>
          </w:r>
          <w:r>
            <w:rPr>
              <w:sz w:val="36"/>
              <w:szCs w:val="44"/>
            </w:rPr>
            <w:t>4</w:t>
          </w:r>
          <w:r>
            <w:rPr>
              <w:sz w:val="36"/>
              <w:szCs w:val="44"/>
            </w:rPr>
            <w:fldChar w:fldCharType="end"/>
          </w:r>
          <w:r>
            <w:rPr>
              <w:sz w:val="36"/>
              <w:szCs w:val="44"/>
            </w:rPr>
            <w:fldChar w:fldCharType="end"/>
          </w:r>
        </w:p>
        <w:p>
          <w:pPr>
            <w:pStyle w:val="8"/>
            <w:tabs>
              <w:tab w:val="right" w:leader="dot" w:pos="9639"/>
            </w:tabs>
            <w:rPr>
              <w:sz w:val="36"/>
              <w:szCs w:val="44"/>
            </w:rPr>
          </w:pPr>
          <w:r>
            <w:fldChar w:fldCharType="begin"/>
          </w:r>
          <w:r>
            <w:instrText xml:space="preserve"> HYPERLINK \l "_Toc17411" </w:instrText>
          </w:r>
          <w:r>
            <w:fldChar w:fldCharType="separate"/>
          </w:r>
          <w:r>
            <w:rPr>
              <w:rFonts w:hint="eastAsia"/>
              <w:sz w:val="36"/>
              <w:szCs w:val="44"/>
            </w:rPr>
            <w:t>第三章</w:t>
          </w:r>
          <w:r>
            <w:rPr>
              <w:sz w:val="36"/>
              <w:szCs w:val="44"/>
            </w:rPr>
            <w:t xml:space="preserve"> </w:t>
          </w:r>
          <w:r>
            <w:rPr>
              <w:rFonts w:hint="eastAsia"/>
              <w:sz w:val="36"/>
              <w:szCs w:val="44"/>
            </w:rPr>
            <w:t>合同条款及格式</w:t>
          </w:r>
          <w:r>
            <w:rPr>
              <w:sz w:val="36"/>
              <w:szCs w:val="44"/>
            </w:rPr>
            <w:tab/>
          </w:r>
          <w:r>
            <w:rPr>
              <w:rFonts w:hint="eastAsia"/>
              <w:sz w:val="36"/>
              <w:szCs w:val="44"/>
            </w:rPr>
            <w:t>7</w:t>
          </w:r>
          <w:r>
            <w:rPr>
              <w:rFonts w:hint="eastAsia"/>
              <w:sz w:val="36"/>
              <w:szCs w:val="44"/>
            </w:rPr>
            <w:fldChar w:fldCharType="end"/>
          </w:r>
        </w:p>
        <w:p>
          <w:pPr>
            <w:pStyle w:val="8"/>
            <w:tabs>
              <w:tab w:val="right" w:leader="dot" w:pos="9639"/>
            </w:tabs>
            <w:rPr>
              <w:rFonts w:hint="eastAsia" w:ascii="宋体" w:hAnsi="宋体" w:eastAsia="宋体" w:cs="宋体"/>
              <w:bCs/>
              <w:sz w:val="36"/>
              <w:szCs w:val="56"/>
            </w:rPr>
          </w:pPr>
          <w:r>
            <w:fldChar w:fldCharType="begin"/>
          </w:r>
          <w:r>
            <w:instrText xml:space="preserve"> HYPERLINK \l "_Toc27673" </w:instrText>
          </w:r>
          <w:r>
            <w:fldChar w:fldCharType="separate"/>
          </w:r>
          <w:r>
            <w:rPr>
              <w:rFonts w:hint="eastAsia"/>
              <w:sz w:val="36"/>
              <w:szCs w:val="44"/>
            </w:rPr>
            <w:t>第四章 工程量清单</w:t>
          </w:r>
          <w:r>
            <w:rPr>
              <w:sz w:val="36"/>
              <w:szCs w:val="44"/>
            </w:rPr>
            <w:tab/>
          </w:r>
          <w:r>
            <w:rPr>
              <w:rFonts w:hint="eastAsia"/>
              <w:sz w:val="36"/>
              <w:szCs w:val="44"/>
            </w:rPr>
            <w:t>1</w:t>
          </w:r>
          <w:r>
            <w:rPr>
              <w:rFonts w:hint="eastAsia"/>
              <w:sz w:val="36"/>
              <w:szCs w:val="44"/>
            </w:rPr>
            <w:fldChar w:fldCharType="end"/>
          </w:r>
          <w:r>
            <w:rPr>
              <w:rFonts w:hint="eastAsia"/>
              <w:sz w:val="36"/>
              <w:szCs w:val="44"/>
              <w:lang w:val="en-US" w:eastAsia="zh-CN"/>
            </w:rPr>
            <w:t>8</w:t>
          </w:r>
        </w:p>
        <w:p>
          <w:pPr>
            <w:pStyle w:val="8"/>
            <w:tabs>
              <w:tab w:val="right" w:leader="dot" w:pos="9639"/>
            </w:tabs>
          </w:pPr>
          <w:r>
            <w:fldChar w:fldCharType="begin"/>
          </w:r>
          <w:r>
            <w:instrText xml:space="preserve"> HYPERLINK \l "_Toc27673" </w:instrText>
          </w:r>
          <w:r>
            <w:fldChar w:fldCharType="separate"/>
          </w:r>
          <w:r>
            <w:rPr>
              <w:rFonts w:hint="eastAsia"/>
              <w:sz w:val="36"/>
              <w:szCs w:val="44"/>
            </w:rPr>
            <w:t>第</w:t>
          </w:r>
          <w:r>
            <w:rPr>
              <w:rFonts w:hint="eastAsia"/>
              <w:sz w:val="36"/>
              <w:szCs w:val="44"/>
              <w:lang w:val="en-US" w:eastAsia="zh-CN"/>
            </w:rPr>
            <w:t>五</w:t>
          </w:r>
          <w:r>
            <w:rPr>
              <w:rFonts w:hint="eastAsia"/>
              <w:sz w:val="36"/>
              <w:szCs w:val="44"/>
            </w:rPr>
            <w:t xml:space="preserve">章 </w:t>
          </w:r>
          <w:r>
            <w:rPr>
              <w:rFonts w:hint="eastAsia"/>
              <w:sz w:val="36"/>
              <w:szCs w:val="44"/>
              <w:lang w:val="en-US" w:eastAsia="zh-CN"/>
            </w:rPr>
            <w:t>图纸</w:t>
          </w:r>
          <w:r>
            <w:rPr>
              <w:sz w:val="36"/>
              <w:szCs w:val="44"/>
            </w:rPr>
            <w:tab/>
          </w:r>
          <w:r>
            <w:rPr>
              <w:rFonts w:hint="eastAsia"/>
              <w:sz w:val="36"/>
              <w:szCs w:val="44"/>
              <w:lang w:val="en-US" w:eastAsia="zh-CN"/>
            </w:rPr>
            <w:t>2</w:t>
          </w:r>
          <w:r>
            <w:rPr>
              <w:rFonts w:hint="eastAsia"/>
              <w:sz w:val="36"/>
              <w:szCs w:val="44"/>
            </w:rPr>
            <w:fldChar w:fldCharType="end"/>
          </w:r>
          <w:r>
            <w:rPr>
              <w:rFonts w:hint="eastAsia"/>
              <w:sz w:val="36"/>
              <w:szCs w:val="44"/>
              <w:lang w:val="en-US" w:eastAsia="zh-CN"/>
            </w:rPr>
            <w:t>1</w:t>
          </w:r>
        </w:p>
        <w:p>
          <w:pPr>
            <w:pStyle w:val="8"/>
            <w:tabs>
              <w:tab w:val="right" w:leader="dot" w:pos="9639"/>
            </w:tabs>
            <w:rPr>
              <w:rFonts w:eastAsia="宋体"/>
              <w:sz w:val="36"/>
              <w:szCs w:val="44"/>
            </w:rPr>
          </w:pPr>
          <w:r>
            <w:fldChar w:fldCharType="begin"/>
          </w:r>
          <w:r>
            <w:instrText xml:space="preserve"> HYPERLINK \l "_Toc9507" </w:instrText>
          </w:r>
          <w:r>
            <w:fldChar w:fldCharType="separate"/>
          </w:r>
          <w:r>
            <w:rPr>
              <w:rFonts w:hint="eastAsia"/>
              <w:sz w:val="36"/>
              <w:szCs w:val="44"/>
            </w:rPr>
            <w:t>第</w:t>
          </w:r>
          <w:r>
            <w:rPr>
              <w:rFonts w:hint="eastAsia"/>
              <w:sz w:val="36"/>
              <w:szCs w:val="44"/>
              <w:lang w:val="en-US" w:eastAsia="zh-CN"/>
            </w:rPr>
            <w:t>六</w:t>
          </w:r>
          <w:r>
            <w:rPr>
              <w:rFonts w:hint="eastAsia"/>
              <w:sz w:val="36"/>
              <w:szCs w:val="44"/>
            </w:rPr>
            <w:t>章 技术标准及要求</w:t>
          </w:r>
          <w:r>
            <w:rPr>
              <w:sz w:val="36"/>
              <w:szCs w:val="44"/>
            </w:rPr>
            <w:tab/>
          </w:r>
          <w:r>
            <w:rPr>
              <w:rFonts w:hint="eastAsia"/>
              <w:sz w:val="36"/>
              <w:szCs w:val="44"/>
              <w:lang w:val="en-US" w:eastAsia="zh-CN"/>
            </w:rPr>
            <w:t>22</w:t>
          </w:r>
          <w:r>
            <w:rPr>
              <w:rFonts w:hint="eastAsia"/>
              <w:sz w:val="36"/>
              <w:szCs w:val="44"/>
            </w:rPr>
            <w:fldChar w:fldCharType="end"/>
          </w:r>
        </w:p>
        <w:p>
          <w:pPr>
            <w:pStyle w:val="8"/>
            <w:tabs>
              <w:tab w:val="right" w:leader="dot" w:pos="9639"/>
            </w:tabs>
            <w:rPr>
              <w:sz w:val="36"/>
              <w:szCs w:val="44"/>
            </w:rPr>
          </w:pPr>
          <w:r>
            <w:fldChar w:fldCharType="begin"/>
          </w:r>
          <w:r>
            <w:instrText xml:space="preserve"> HYPERLINK \l "_Toc10055" </w:instrText>
          </w:r>
          <w:r>
            <w:fldChar w:fldCharType="separate"/>
          </w:r>
          <w:r>
            <w:rPr>
              <w:sz w:val="36"/>
              <w:szCs w:val="52"/>
            </w:rPr>
            <w:t>第</w:t>
          </w:r>
          <w:r>
            <w:rPr>
              <w:rFonts w:hint="eastAsia"/>
              <w:sz w:val="36"/>
              <w:szCs w:val="52"/>
              <w:lang w:val="en-US" w:eastAsia="zh-CN"/>
            </w:rPr>
            <w:t>七</w:t>
          </w:r>
          <w:r>
            <w:rPr>
              <w:sz w:val="36"/>
              <w:szCs w:val="52"/>
            </w:rPr>
            <w:t>章</w:t>
          </w:r>
          <w:r>
            <w:rPr>
              <w:rFonts w:hint="eastAsia"/>
              <w:sz w:val="36"/>
              <w:szCs w:val="52"/>
            </w:rPr>
            <w:t xml:space="preserve"> </w:t>
          </w:r>
          <w:r>
            <w:rPr>
              <w:sz w:val="36"/>
              <w:szCs w:val="52"/>
            </w:rPr>
            <w:t>投标文件格式</w:t>
          </w:r>
          <w:r>
            <w:rPr>
              <w:sz w:val="36"/>
              <w:szCs w:val="44"/>
            </w:rPr>
            <w:tab/>
          </w:r>
          <w:r>
            <w:rPr>
              <w:rFonts w:hint="eastAsia"/>
              <w:sz w:val="36"/>
              <w:szCs w:val="44"/>
            </w:rPr>
            <w:t>2</w:t>
          </w:r>
          <w:r>
            <w:rPr>
              <w:rFonts w:hint="eastAsia"/>
              <w:sz w:val="36"/>
              <w:szCs w:val="44"/>
            </w:rPr>
            <w:fldChar w:fldCharType="end"/>
          </w:r>
          <w:r>
            <w:rPr>
              <w:rFonts w:hint="eastAsia"/>
              <w:sz w:val="36"/>
              <w:szCs w:val="44"/>
              <w:lang w:val="en-US" w:eastAsia="zh-CN"/>
            </w:rPr>
            <w:t>6</w:t>
          </w:r>
        </w:p>
        <w:p>
          <w:pPr>
            <w:spacing w:line="560" w:lineRule="exact"/>
            <w:rPr>
              <w:b/>
              <w:bCs/>
              <w:sz w:val="44"/>
              <w:szCs w:val="44"/>
            </w:rPr>
          </w:pPr>
          <w:r>
            <w:rPr>
              <w:rFonts w:hint="eastAsia" w:ascii="宋体" w:hAnsi="宋体" w:eastAsia="宋体" w:cs="宋体"/>
              <w:bCs/>
              <w:sz w:val="36"/>
              <w:szCs w:val="56"/>
            </w:rPr>
            <w:fldChar w:fldCharType="end"/>
          </w:r>
        </w:p>
      </w:sdtContent>
    </w:sdt>
    <w:p>
      <w:pPr>
        <w:spacing w:line="560" w:lineRule="exact"/>
        <w:jc w:val="center"/>
        <w:rPr>
          <w:b/>
          <w:bCs/>
          <w:sz w:val="44"/>
          <w:szCs w:val="44"/>
        </w:rPr>
      </w:pPr>
    </w:p>
    <w:p>
      <w:pPr>
        <w:spacing w:line="560" w:lineRule="exact"/>
        <w:jc w:val="center"/>
        <w:rPr>
          <w:b/>
          <w:bCs/>
          <w:sz w:val="44"/>
          <w:szCs w:val="44"/>
        </w:rPr>
      </w:pPr>
    </w:p>
    <w:p>
      <w:pPr>
        <w:spacing w:line="560" w:lineRule="exact"/>
        <w:jc w:val="center"/>
        <w:rPr>
          <w:b/>
          <w:bCs/>
          <w:sz w:val="44"/>
          <w:szCs w:val="44"/>
        </w:rPr>
      </w:pPr>
    </w:p>
    <w:p>
      <w:pPr>
        <w:spacing w:line="560" w:lineRule="exact"/>
        <w:jc w:val="center"/>
        <w:rPr>
          <w:b/>
          <w:bCs/>
          <w:sz w:val="44"/>
          <w:szCs w:val="44"/>
        </w:rPr>
      </w:pPr>
    </w:p>
    <w:p>
      <w:pPr>
        <w:spacing w:line="560" w:lineRule="exact"/>
        <w:jc w:val="center"/>
        <w:rPr>
          <w:b/>
          <w:bCs/>
          <w:sz w:val="44"/>
          <w:szCs w:val="44"/>
        </w:rPr>
      </w:pPr>
    </w:p>
    <w:p>
      <w:pPr>
        <w:spacing w:line="560" w:lineRule="exact"/>
        <w:jc w:val="center"/>
        <w:rPr>
          <w:b/>
          <w:bCs/>
          <w:sz w:val="44"/>
          <w:szCs w:val="44"/>
        </w:rPr>
      </w:pPr>
    </w:p>
    <w:p>
      <w:pPr>
        <w:spacing w:line="560" w:lineRule="exact"/>
        <w:jc w:val="center"/>
        <w:rPr>
          <w:b/>
          <w:bCs/>
          <w:sz w:val="44"/>
          <w:szCs w:val="44"/>
        </w:rPr>
      </w:pPr>
    </w:p>
    <w:p>
      <w:pPr>
        <w:spacing w:line="560" w:lineRule="exact"/>
        <w:jc w:val="center"/>
        <w:rPr>
          <w:b/>
          <w:bCs/>
          <w:sz w:val="44"/>
          <w:szCs w:val="44"/>
        </w:rPr>
      </w:pPr>
    </w:p>
    <w:p>
      <w:pPr>
        <w:spacing w:line="560" w:lineRule="exact"/>
        <w:jc w:val="center"/>
        <w:rPr>
          <w:b/>
          <w:bCs/>
          <w:sz w:val="44"/>
          <w:szCs w:val="44"/>
        </w:rPr>
      </w:pPr>
    </w:p>
    <w:p>
      <w:pPr>
        <w:spacing w:line="560" w:lineRule="exact"/>
        <w:jc w:val="center"/>
        <w:rPr>
          <w:b/>
          <w:bCs/>
          <w:sz w:val="44"/>
          <w:szCs w:val="44"/>
        </w:rPr>
      </w:pPr>
    </w:p>
    <w:p>
      <w:pPr>
        <w:spacing w:line="560" w:lineRule="exact"/>
        <w:jc w:val="center"/>
        <w:rPr>
          <w:b/>
          <w:bCs/>
          <w:sz w:val="44"/>
          <w:szCs w:val="44"/>
        </w:rPr>
      </w:pPr>
    </w:p>
    <w:p>
      <w:pPr>
        <w:spacing w:line="560" w:lineRule="exact"/>
        <w:jc w:val="center"/>
        <w:rPr>
          <w:b/>
          <w:bCs/>
          <w:sz w:val="44"/>
          <w:szCs w:val="44"/>
        </w:rPr>
      </w:pPr>
    </w:p>
    <w:p>
      <w:pPr>
        <w:spacing w:line="560" w:lineRule="exact"/>
        <w:jc w:val="center"/>
        <w:rPr>
          <w:b/>
          <w:bCs/>
          <w:sz w:val="44"/>
          <w:szCs w:val="44"/>
        </w:rPr>
      </w:pPr>
    </w:p>
    <w:p>
      <w:pPr>
        <w:spacing w:line="560" w:lineRule="exact"/>
        <w:rPr>
          <w:b/>
          <w:bCs/>
          <w:sz w:val="44"/>
          <w:szCs w:val="44"/>
        </w:rPr>
      </w:pPr>
    </w:p>
    <w:p>
      <w:pPr>
        <w:pStyle w:val="9"/>
        <w:pageBreakBefore/>
      </w:pPr>
      <w:bookmarkStart w:id="0" w:name="_Toc8459"/>
      <w:bookmarkStart w:id="1" w:name="_Toc448097401"/>
      <w:r>
        <w:rPr>
          <w:rFonts w:hint="eastAsia"/>
        </w:rPr>
        <w:t>第一章 招标公告</w:t>
      </w:r>
      <w:bookmarkEnd w:id="0"/>
      <w:bookmarkEnd w:id="1"/>
    </w:p>
    <w:p>
      <w:pPr>
        <w:widowControl/>
        <w:snapToGrid w:val="0"/>
        <w:spacing w:line="360" w:lineRule="exact"/>
        <w:jc w:val="left"/>
        <w:rPr>
          <w:rFonts w:ascii="宋体" w:hAnsi="宋体" w:eastAsia="宋体" w:cs="宋体"/>
          <w:kern w:val="0"/>
          <w:sz w:val="24"/>
          <w:szCs w:val="24"/>
        </w:rPr>
      </w:pPr>
      <w:r>
        <w:rPr>
          <w:rFonts w:hint="eastAsia" w:ascii="宋体" w:hAnsi="宋体" w:eastAsia="宋体" w:cs="宋体"/>
          <w:b/>
          <w:bCs/>
          <w:kern w:val="0"/>
          <w:sz w:val="24"/>
          <w:szCs w:val="24"/>
        </w:rPr>
        <w:t>一、招标内容</w:t>
      </w:r>
    </w:p>
    <w:p>
      <w:pPr>
        <w:widowControl/>
        <w:numPr>
          <w:ilvl w:val="0"/>
          <w:numId w:val="1"/>
        </w:numPr>
        <w:adjustRightInd w:val="0"/>
        <w:snapToGrid w:val="0"/>
        <w:spacing w:line="360" w:lineRule="exact"/>
        <w:ind w:firstLine="482" w:firstLineChars="200"/>
        <w:rPr>
          <w:rFonts w:ascii="宋体" w:hAnsi="宋体" w:eastAsia="宋体" w:cs="宋体"/>
          <w:b/>
          <w:bCs/>
          <w:kern w:val="0"/>
          <w:sz w:val="24"/>
          <w:szCs w:val="24"/>
        </w:rPr>
      </w:pPr>
      <w:r>
        <w:rPr>
          <w:rFonts w:hint="eastAsia" w:ascii="宋体" w:hAnsi="宋体" w:eastAsia="宋体" w:cs="宋体"/>
          <w:b/>
          <w:bCs/>
          <w:kern w:val="0"/>
          <w:sz w:val="24"/>
          <w:szCs w:val="24"/>
        </w:rPr>
        <w:t>项目概况：为缓解6号道口过检负荷，加强道口安全管控，提升道口运行效率，对6号道口检查室入口进行改造、增设人员出口通道、增设司机检查室出口、调整检查室布局等。</w:t>
      </w:r>
    </w:p>
    <w:p>
      <w:pPr>
        <w:widowControl/>
        <w:adjustRightInd w:val="0"/>
        <w:snapToGrid w:val="0"/>
        <w:spacing w:line="36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（2）实施内容：详见工程量清单</w:t>
      </w:r>
      <w:r>
        <w:rPr>
          <w:rFonts w:hint="eastAsia" w:ascii="宋体" w:hAnsi="宋体" w:eastAsia="宋体" w:cs="宋体"/>
          <w:kern w:val="0"/>
          <w:sz w:val="24"/>
          <w:szCs w:val="24"/>
          <w:lang w:eastAsia="zh-CN"/>
        </w:rPr>
        <w:t>、</w:t>
      </w:r>
      <w:r>
        <w:rPr>
          <w:rFonts w:hint="eastAsia" w:ascii="宋体" w:hAnsi="宋体" w:eastAsia="宋体" w:cs="宋体"/>
          <w:kern w:val="0"/>
          <w:sz w:val="24"/>
          <w:szCs w:val="24"/>
          <w:lang w:val="en-US" w:eastAsia="zh-CN"/>
        </w:rPr>
        <w:t>图纸</w:t>
      </w:r>
      <w:r>
        <w:rPr>
          <w:rFonts w:hint="eastAsia" w:ascii="宋体" w:hAnsi="宋体" w:eastAsia="宋体" w:cs="宋体"/>
          <w:kern w:val="0"/>
          <w:sz w:val="24"/>
          <w:szCs w:val="24"/>
        </w:rPr>
        <w:t>和技术标准及要求。</w:t>
      </w:r>
    </w:p>
    <w:p>
      <w:pPr>
        <w:widowControl/>
        <w:adjustRightInd w:val="0"/>
        <w:snapToGrid w:val="0"/>
        <w:spacing w:line="36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（3）本项目设一个标段，要求甲方通知进场后</w:t>
      </w:r>
      <w:r>
        <w:rPr>
          <w:rFonts w:hint="eastAsia" w:ascii="宋体" w:hAnsi="宋体" w:eastAsia="宋体" w:cs="宋体"/>
          <w:color w:val="auto"/>
          <w:kern w:val="0"/>
          <w:sz w:val="24"/>
          <w:szCs w:val="24"/>
          <w:u w:val="single"/>
          <w:lang w:val="en-US" w:eastAsia="zh-CN"/>
        </w:rPr>
        <w:t>10</w:t>
      </w:r>
      <w:r>
        <w:rPr>
          <w:rFonts w:hint="eastAsia" w:ascii="宋体" w:hAnsi="宋体" w:eastAsia="宋体" w:cs="宋体"/>
          <w:kern w:val="0"/>
          <w:sz w:val="24"/>
          <w:szCs w:val="24"/>
        </w:rPr>
        <w:t>日历天内完工。</w:t>
      </w:r>
    </w:p>
    <w:p>
      <w:pPr>
        <w:widowControl/>
        <w:snapToGrid w:val="0"/>
        <w:spacing w:line="360" w:lineRule="exact"/>
        <w:jc w:val="left"/>
        <w:rPr>
          <w:rFonts w:ascii="宋体" w:hAnsi="宋体" w:eastAsia="宋体" w:cs="宋体"/>
          <w:b/>
          <w:bCs/>
          <w:kern w:val="0"/>
          <w:sz w:val="24"/>
          <w:szCs w:val="24"/>
        </w:rPr>
      </w:pPr>
      <w:r>
        <w:rPr>
          <w:rFonts w:hint="eastAsia" w:ascii="宋体" w:hAnsi="宋体" w:eastAsia="宋体" w:cs="宋体"/>
          <w:b/>
          <w:bCs/>
          <w:kern w:val="0"/>
          <w:sz w:val="24"/>
          <w:szCs w:val="24"/>
        </w:rPr>
        <w:t>二、 资格要求 </w:t>
      </w:r>
    </w:p>
    <w:p>
      <w:pPr>
        <w:widowControl/>
        <w:adjustRightInd w:val="0"/>
        <w:snapToGrid w:val="0"/>
        <w:spacing w:line="360" w:lineRule="exact"/>
        <w:ind w:firstLine="482" w:firstLineChars="200"/>
        <w:rPr>
          <w:rFonts w:ascii="宋体" w:hAnsi="宋体" w:eastAsia="宋体" w:cs="宋体"/>
          <w:b/>
          <w:bCs/>
          <w:sz w:val="24"/>
          <w:szCs w:val="24"/>
        </w:rPr>
      </w:pPr>
      <w:r>
        <w:rPr>
          <w:rFonts w:hint="eastAsia" w:ascii="宋体" w:hAnsi="宋体" w:eastAsia="宋体" w:cs="宋体"/>
          <w:b/>
          <w:bCs/>
          <w:kern w:val="0"/>
          <w:sz w:val="24"/>
          <w:szCs w:val="24"/>
        </w:rPr>
        <w:t>（1）投标人具备</w:t>
      </w:r>
      <w:r>
        <w:rPr>
          <w:rFonts w:hint="eastAsia" w:ascii="宋体" w:hAnsi="宋体" w:eastAsia="宋体" w:cs="宋体"/>
          <w:b/>
          <w:bCs/>
          <w:kern w:val="0"/>
          <w:sz w:val="24"/>
          <w:szCs w:val="24"/>
          <w:u w:val="single"/>
        </w:rPr>
        <w:t>建筑工程施工总承包三级</w:t>
      </w:r>
      <w:r>
        <w:rPr>
          <w:rFonts w:hint="eastAsia" w:ascii="宋体" w:hAnsi="宋体" w:eastAsia="宋体" w:cs="宋体"/>
          <w:b/>
          <w:bCs/>
          <w:kern w:val="0"/>
          <w:sz w:val="24"/>
          <w:szCs w:val="24"/>
        </w:rPr>
        <w:t>或</w:t>
      </w:r>
      <w:r>
        <w:rPr>
          <w:rFonts w:hint="eastAsia" w:ascii="宋体" w:hAnsi="宋体" w:eastAsia="宋体" w:cs="宋体"/>
          <w:b/>
          <w:bCs/>
          <w:kern w:val="0"/>
          <w:sz w:val="24"/>
          <w:szCs w:val="24"/>
          <w:u w:val="single"/>
        </w:rPr>
        <w:t>建筑装修装饰工程专业承包二级</w:t>
      </w:r>
      <w:r>
        <w:rPr>
          <w:rFonts w:hint="eastAsia" w:ascii="宋体" w:hAnsi="宋体" w:eastAsia="宋体" w:cs="宋体"/>
          <w:b/>
          <w:bCs/>
          <w:kern w:val="0"/>
          <w:sz w:val="24"/>
          <w:szCs w:val="24"/>
        </w:rPr>
        <w:t>及以上资质。</w:t>
      </w:r>
    </w:p>
    <w:p>
      <w:pPr>
        <w:widowControl/>
        <w:adjustRightInd w:val="0"/>
        <w:snapToGrid w:val="0"/>
        <w:spacing w:line="360" w:lineRule="exact"/>
        <w:ind w:firstLine="482" w:firstLineChars="200"/>
        <w:rPr>
          <w:rFonts w:ascii="宋体" w:hAnsi="宋体" w:eastAsia="宋体" w:cs="宋体"/>
          <w:b/>
          <w:bCs/>
          <w:sz w:val="24"/>
          <w:szCs w:val="24"/>
        </w:rPr>
      </w:pPr>
      <w:r>
        <w:rPr>
          <w:rFonts w:hint="eastAsia" w:ascii="宋体" w:hAnsi="宋体" w:eastAsia="宋体" w:cs="宋体"/>
          <w:b/>
          <w:bCs/>
          <w:kern w:val="0"/>
          <w:sz w:val="24"/>
          <w:szCs w:val="24"/>
        </w:rPr>
        <w:t>（2）</w:t>
      </w:r>
      <w:r>
        <w:rPr>
          <w:rFonts w:hint="eastAsia" w:ascii="宋体" w:hAnsi="宋体" w:eastAsia="宋体" w:cs="宋体"/>
          <w:b/>
          <w:bCs/>
          <w:sz w:val="24"/>
          <w:szCs w:val="24"/>
        </w:rPr>
        <w:t>投标人应具有有效的《安全生产许可证》。</w:t>
      </w:r>
    </w:p>
    <w:p>
      <w:pPr>
        <w:widowControl/>
        <w:adjustRightInd w:val="0"/>
        <w:snapToGrid w:val="0"/>
        <w:spacing w:line="360" w:lineRule="exact"/>
        <w:ind w:firstLine="482" w:firstLineChars="200"/>
        <w:rPr>
          <w:rFonts w:ascii="宋体" w:hAnsi="宋体" w:eastAsia="宋体" w:cs="宋体"/>
          <w:b/>
          <w:bCs/>
          <w:kern w:val="0"/>
          <w:sz w:val="24"/>
          <w:szCs w:val="24"/>
        </w:rPr>
      </w:pPr>
      <w:r>
        <w:rPr>
          <w:rFonts w:hint="eastAsia" w:ascii="宋体" w:hAnsi="宋体" w:eastAsia="宋体" w:cs="宋体"/>
          <w:b/>
          <w:bCs/>
          <w:sz w:val="24"/>
          <w:szCs w:val="24"/>
        </w:rPr>
        <w:t>（3）项目经理资格要求：具有</w:t>
      </w:r>
      <w:r>
        <w:rPr>
          <w:rFonts w:hint="eastAsia" w:ascii="宋体" w:hAnsi="宋体" w:eastAsia="宋体" w:cs="宋体"/>
          <w:b/>
          <w:bCs/>
          <w:sz w:val="24"/>
          <w:szCs w:val="24"/>
          <w:u w:val="single"/>
        </w:rPr>
        <w:t xml:space="preserve"> 建筑 </w:t>
      </w:r>
      <w:r>
        <w:rPr>
          <w:rFonts w:hint="eastAsia" w:ascii="宋体" w:hAnsi="宋体" w:eastAsia="宋体" w:cs="宋体"/>
          <w:b/>
          <w:bCs/>
          <w:sz w:val="24"/>
          <w:szCs w:val="24"/>
        </w:rPr>
        <w:t>专业</w:t>
      </w:r>
      <w:r>
        <w:rPr>
          <w:rFonts w:hint="eastAsia" w:ascii="宋体" w:hAnsi="宋体" w:eastAsia="宋体" w:cs="宋体"/>
          <w:b/>
          <w:bCs/>
          <w:sz w:val="24"/>
          <w:szCs w:val="24"/>
          <w:u w:val="single"/>
        </w:rPr>
        <w:t xml:space="preserve"> 二 </w:t>
      </w:r>
      <w:r>
        <w:rPr>
          <w:rFonts w:hint="eastAsia" w:ascii="宋体" w:hAnsi="宋体" w:eastAsia="宋体" w:cs="宋体"/>
          <w:b/>
          <w:bCs/>
          <w:sz w:val="24"/>
          <w:szCs w:val="24"/>
        </w:rPr>
        <w:t>级及以上注册建造师执业证书。</w:t>
      </w:r>
    </w:p>
    <w:p>
      <w:pPr>
        <w:widowControl/>
        <w:adjustRightInd w:val="0"/>
        <w:snapToGrid w:val="0"/>
        <w:spacing w:line="360" w:lineRule="exact"/>
        <w:ind w:firstLine="482" w:firstLineChars="200"/>
        <w:rPr>
          <w:rFonts w:ascii="宋体" w:hAnsi="宋体" w:eastAsia="宋体" w:cs="宋体"/>
          <w:b/>
          <w:bCs/>
          <w:kern w:val="0"/>
          <w:sz w:val="24"/>
          <w:szCs w:val="24"/>
        </w:rPr>
      </w:pPr>
      <w:r>
        <w:rPr>
          <w:rFonts w:hint="eastAsia" w:ascii="宋体" w:hAnsi="宋体" w:eastAsia="宋体" w:cs="宋体"/>
          <w:b/>
          <w:bCs/>
          <w:kern w:val="0"/>
          <w:sz w:val="24"/>
          <w:szCs w:val="24"/>
        </w:rPr>
        <w:t>（4）本项目不接受联合体投标。</w:t>
      </w:r>
    </w:p>
    <w:p>
      <w:pPr>
        <w:widowControl/>
        <w:snapToGrid w:val="0"/>
        <w:spacing w:line="320" w:lineRule="exact"/>
        <w:jc w:val="left"/>
        <w:rPr>
          <w:rFonts w:ascii="宋体" w:hAnsi="宋体" w:eastAsia="宋体" w:cs="宋体"/>
          <w:b/>
          <w:bCs/>
          <w:kern w:val="0"/>
          <w:sz w:val="24"/>
          <w:szCs w:val="24"/>
        </w:rPr>
      </w:pPr>
      <w:bookmarkStart w:id="2" w:name="_Toc448097403"/>
      <w:bookmarkStart w:id="3" w:name="_Toc448097402"/>
      <w:r>
        <w:rPr>
          <w:rFonts w:hint="eastAsia" w:ascii="宋体" w:hAnsi="宋体" w:eastAsia="宋体" w:cs="宋体"/>
          <w:b/>
          <w:bCs/>
          <w:kern w:val="0"/>
          <w:sz w:val="24"/>
          <w:szCs w:val="24"/>
        </w:rPr>
        <w:t>三、招标文件获取</w:t>
      </w:r>
    </w:p>
    <w:p>
      <w:pPr>
        <w:snapToGrid w:val="0"/>
        <w:spacing w:line="320" w:lineRule="exact"/>
        <w:ind w:firstLine="480" w:firstLineChars="200"/>
        <w:rPr>
          <w:rFonts w:ascii="宋体" w:hAnsi="宋体" w:eastAsia="宋体" w:cs="宋体"/>
          <w:sz w:val="24"/>
          <w:szCs w:val="24"/>
        </w:rPr>
      </w:pPr>
      <w:r>
        <w:rPr>
          <w:rFonts w:hint="eastAsia" w:ascii="宋体" w:hAnsi="宋体" w:eastAsia="宋体" w:cs="宋体"/>
          <w:kern w:val="0"/>
          <w:sz w:val="24"/>
          <w:szCs w:val="24"/>
        </w:rPr>
        <w:t>凡符合资格条件并有投标意向的潜在投标人，请通过杭州萧山机场有限公司主页</w:t>
      </w:r>
      <w:r>
        <w:fldChar w:fldCharType="begin"/>
      </w:r>
      <w:r>
        <w:instrText xml:space="preserve"> HYPERLINK "http://www.hzairport.com/zbxx.aspx" </w:instrText>
      </w:r>
      <w:r>
        <w:fldChar w:fldCharType="separate"/>
      </w:r>
      <w:r>
        <w:rPr>
          <w:rFonts w:hint="eastAsia" w:ascii="宋体" w:hAnsi="宋体" w:eastAsia="宋体" w:cs="宋体"/>
          <w:kern w:val="0"/>
          <w:sz w:val="24"/>
          <w:szCs w:val="24"/>
        </w:rPr>
        <w:t>http://www.hzairport.com/zbxx.aspx</w:t>
      </w:r>
      <w:r>
        <w:rPr>
          <w:rFonts w:hint="eastAsia" w:ascii="宋体" w:hAnsi="宋体" w:eastAsia="宋体" w:cs="宋体"/>
          <w:kern w:val="0"/>
          <w:sz w:val="24"/>
          <w:szCs w:val="24"/>
        </w:rPr>
        <w:fldChar w:fldCharType="end"/>
      </w:r>
      <w:r>
        <w:rPr>
          <w:rFonts w:hint="eastAsia" w:ascii="宋体" w:hAnsi="宋体" w:eastAsia="宋体" w:cs="宋体"/>
          <w:kern w:val="0"/>
          <w:sz w:val="24"/>
          <w:szCs w:val="24"/>
        </w:rPr>
        <w:t>自行下载招标文件</w:t>
      </w:r>
      <w:r>
        <w:rPr>
          <w:rFonts w:hint="eastAsia" w:ascii="宋体" w:hAnsi="宋体" w:eastAsia="宋体" w:cs="宋体"/>
          <w:sz w:val="24"/>
          <w:szCs w:val="24"/>
        </w:rPr>
        <w:t>。</w:t>
      </w:r>
    </w:p>
    <w:p>
      <w:pPr>
        <w:snapToGrid w:val="0"/>
        <w:spacing w:line="320" w:lineRule="exact"/>
        <w:rPr>
          <w:rFonts w:ascii="宋体" w:hAnsi="宋体" w:eastAsia="宋体" w:cs="宋体"/>
          <w:b/>
          <w:bCs/>
          <w:sz w:val="24"/>
          <w:szCs w:val="24"/>
        </w:rPr>
      </w:pPr>
      <w:r>
        <w:rPr>
          <w:rFonts w:hint="eastAsia" w:ascii="宋体" w:hAnsi="宋体" w:eastAsia="宋体" w:cs="宋体"/>
          <w:b/>
          <w:bCs/>
          <w:sz w:val="24"/>
          <w:szCs w:val="24"/>
        </w:rPr>
        <w:t>四、踏勘现场</w:t>
      </w:r>
    </w:p>
    <w:p>
      <w:pPr>
        <w:snapToGrid w:val="0"/>
        <w:spacing w:line="360" w:lineRule="exact"/>
        <w:ind w:firstLine="480" w:firstLineChars="200"/>
        <w:rPr>
          <w:rFonts w:ascii="宋体" w:hAnsi="宋体" w:eastAsia="宋体" w:cs="宋体"/>
          <w:b/>
          <w:bCs/>
          <w:kern w:val="0"/>
          <w:sz w:val="24"/>
          <w:szCs w:val="24"/>
        </w:rPr>
      </w:pPr>
      <w:r>
        <w:rPr>
          <w:rFonts w:hint="eastAsia" w:ascii="宋体" w:hAnsi="宋体" w:eastAsia="宋体" w:cs="宋体"/>
          <w:sz w:val="24"/>
          <w:szCs w:val="24"/>
        </w:rPr>
        <w:t>招标人组织踏勘现场，集中踏勘时间为</w:t>
      </w:r>
      <w:r>
        <w:rPr>
          <w:rFonts w:hint="eastAsia" w:ascii="宋体" w:hAnsi="宋体" w:eastAsia="宋体" w:cs="宋体"/>
          <w:color w:val="FF0000"/>
          <w:kern w:val="0"/>
          <w:sz w:val="24"/>
          <w:szCs w:val="24"/>
          <w:lang w:val="en-US" w:eastAsia="zh-CN"/>
        </w:rPr>
        <w:t>2022</w:t>
      </w:r>
      <w:r>
        <w:rPr>
          <w:rFonts w:hint="eastAsia" w:ascii="宋体" w:hAnsi="宋体" w:eastAsia="宋体" w:cs="宋体"/>
          <w:color w:val="FF0000"/>
          <w:kern w:val="0"/>
          <w:sz w:val="24"/>
          <w:szCs w:val="24"/>
        </w:rPr>
        <w:t>年</w:t>
      </w:r>
      <w:r>
        <w:rPr>
          <w:rFonts w:hint="eastAsia" w:ascii="宋体" w:hAnsi="宋体" w:eastAsia="宋体" w:cs="宋体"/>
          <w:color w:val="FF0000"/>
          <w:kern w:val="0"/>
          <w:sz w:val="24"/>
          <w:szCs w:val="24"/>
          <w:lang w:val="en-US" w:eastAsia="zh-CN"/>
        </w:rPr>
        <w:t>12</w:t>
      </w:r>
      <w:r>
        <w:rPr>
          <w:rFonts w:hint="eastAsia" w:ascii="宋体" w:hAnsi="宋体" w:eastAsia="宋体" w:cs="宋体"/>
          <w:color w:val="FF0000"/>
          <w:kern w:val="0"/>
          <w:sz w:val="24"/>
          <w:szCs w:val="24"/>
        </w:rPr>
        <w:t>月</w:t>
      </w:r>
      <w:r>
        <w:rPr>
          <w:rFonts w:hint="eastAsia" w:ascii="宋体" w:hAnsi="宋体" w:eastAsia="宋体" w:cs="宋体"/>
          <w:color w:val="FF0000"/>
          <w:kern w:val="0"/>
          <w:sz w:val="24"/>
          <w:szCs w:val="24"/>
          <w:lang w:val="en-US" w:eastAsia="zh-CN"/>
        </w:rPr>
        <w:t>6</w:t>
      </w:r>
      <w:r>
        <w:rPr>
          <w:rFonts w:hint="eastAsia" w:ascii="宋体" w:hAnsi="宋体" w:eastAsia="宋体" w:cs="宋体"/>
          <w:color w:val="FF0000"/>
          <w:kern w:val="0"/>
          <w:sz w:val="24"/>
          <w:szCs w:val="24"/>
        </w:rPr>
        <w:t>日</w:t>
      </w:r>
      <w:r>
        <w:rPr>
          <w:rFonts w:hint="eastAsia" w:ascii="宋体" w:hAnsi="宋体" w:eastAsia="宋体" w:cs="宋体"/>
          <w:color w:val="FF0000"/>
          <w:kern w:val="0"/>
          <w:sz w:val="24"/>
          <w:szCs w:val="24"/>
          <w:lang w:val="en-US" w:eastAsia="zh-CN"/>
        </w:rPr>
        <w:t>9</w:t>
      </w:r>
      <w:r>
        <w:rPr>
          <w:rFonts w:hint="eastAsia" w:ascii="宋体" w:hAnsi="宋体" w:eastAsia="宋体" w:cs="宋体"/>
          <w:color w:val="FF0000"/>
          <w:kern w:val="0"/>
          <w:sz w:val="24"/>
          <w:szCs w:val="24"/>
        </w:rPr>
        <w:t>时</w:t>
      </w:r>
      <w:r>
        <w:rPr>
          <w:rFonts w:hint="eastAsia" w:ascii="宋体" w:hAnsi="宋体" w:eastAsia="宋体" w:cs="宋体"/>
          <w:color w:val="FF0000"/>
          <w:kern w:val="0"/>
          <w:sz w:val="24"/>
          <w:szCs w:val="24"/>
          <w:lang w:val="en-US" w:eastAsia="zh-CN"/>
        </w:rPr>
        <w:t>30</w:t>
      </w:r>
      <w:r>
        <w:rPr>
          <w:rFonts w:hint="eastAsia" w:ascii="宋体" w:hAnsi="宋体" w:eastAsia="宋体" w:cs="宋体"/>
          <w:color w:val="FF0000"/>
          <w:kern w:val="0"/>
          <w:sz w:val="24"/>
          <w:szCs w:val="24"/>
        </w:rPr>
        <w:t>分</w:t>
      </w:r>
      <w:r>
        <w:rPr>
          <w:rFonts w:hint="eastAsia" w:ascii="宋体" w:hAnsi="宋体" w:eastAsia="宋体" w:cs="宋体"/>
          <w:kern w:val="0"/>
          <w:sz w:val="24"/>
          <w:szCs w:val="24"/>
        </w:rPr>
        <w:t>（北京时间）。踏勘集中地点为</w:t>
      </w:r>
      <w:r>
        <w:rPr>
          <w:rFonts w:hint="eastAsia" w:ascii="宋体" w:hAnsi="宋体" w:eastAsia="宋体" w:cs="宋体"/>
          <w:b/>
          <w:bCs/>
          <w:color w:val="auto"/>
          <w:kern w:val="0"/>
          <w:sz w:val="24"/>
          <w:szCs w:val="24"/>
          <w:lang w:val="en-US" w:eastAsia="zh-CN"/>
        </w:rPr>
        <w:t>杭州萧山国际机场物业维修中心</w:t>
      </w:r>
      <w:r>
        <w:rPr>
          <w:rFonts w:hint="eastAsia" w:ascii="宋体" w:hAnsi="宋体" w:eastAsia="宋体" w:cs="宋体"/>
          <w:kern w:val="0"/>
          <w:sz w:val="24"/>
          <w:szCs w:val="24"/>
        </w:rPr>
        <w:t>，</w:t>
      </w:r>
      <w:r>
        <w:rPr>
          <w:rFonts w:hint="eastAsia" w:ascii="宋体" w:hAnsi="宋体" w:eastAsia="宋体" w:cs="宋体"/>
          <w:b/>
          <w:bCs/>
          <w:kern w:val="0"/>
          <w:sz w:val="24"/>
          <w:szCs w:val="24"/>
        </w:rPr>
        <w:t>由于未参加现场踏勘引起的报价失误等责任由投标人自负。</w:t>
      </w:r>
    </w:p>
    <w:p>
      <w:pPr>
        <w:numPr>
          <w:ilvl w:val="0"/>
          <w:numId w:val="2"/>
        </w:numPr>
        <w:snapToGrid w:val="0"/>
        <w:spacing w:line="320" w:lineRule="exact"/>
        <w:rPr>
          <w:rFonts w:ascii="宋体" w:hAnsi="宋体" w:eastAsia="宋体" w:cs="宋体"/>
          <w:b/>
          <w:bCs/>
          <w:kern w:val="0"/>
          <w:sz w:val="24"/>
          <w:szCs w:val="24"/>
        </w:rPr>
      </w:pPr>
      <w:r>
        <w:rPr>
          <w:rFonts w:hint="eastAsia" w:ascii="宋体" w:hAnsi="宋体" w:eastAsia="宋体" w:cs="宋体"/>
          <w:b/>
          <w:bCs/>
          <w:kern w:val="0"/>
          <w:sz w:val="24"/>
          <w:szCs w:val="24"/>
        </w:rPr>
        <w:t>招标答疑</w:t>
      </w:r>
    </w:p>
    <w:p>
      <w:pPr>
        <w:snapToGrid w:val="0"/>
        <w:spacing w:line="320" w:lineRule="exact"/>
        <w:ind w:firstLine="480" w:firstLineChars="200"/>
        <w:rPr>
          <w:rFonts w:ascii="宋体" w:hAnsi="宋体" w:eastAsia="宋体" w:cs="宋体"/>
          <w:kern w:val="0"/>
          <w:sz w:val="24"/>
          <w:szCs w:val="24"/>
        </w:rPr>
      </w:pPr>
      <w:r>
        <w:rPr>
          <w:rFonts w:hint="eastAsia" w:ascii="宋体" w:hAnsi="宋体" w:eastAsia="宋体" w:cs="宋体"/>
          <w:color w:val="FF0000"/>
          <w:kern w:val="0"/>
          <w:sz w:val="24"/>
          <w:szCs w:val="24"/>
          <w:lang w:val="en-US" w:eastAsia="zh-CN"/>
        </w:rPr>
        <w:t>2022</w:t>
      </w:r>
      <w:r>
        <w:rPr>
          <w:rFonts w:hint="eastAsia" w:ascii="宋体" w:hAnsi="宋体" w:eastAsia="宋体" w:cs="宋体"/>
          <w:color w:val="FF0000"/>
          <w:kern w:val="0"/>
          <w:sz w:val="24"/>
          <w:szCs w:val="24"/>
        </w:rPr>
        <w:t>年</w:t>
      </w:r>
      <w:r>
        <w:rPr>
          <w:rFonts w:hint="eastAsia" w:ascii="宋体" w:hAnsi="宋体" w:eastAsia="宋体" w:cs="宋体"/>
          <w:color w:val="FF0000"/>
          <w:kern w:val="0"/>
          <w:sz w:val="24"/>
          <w:szCs w:val="24"/>
          <w:lang w:val="en-US" w:eastAsia="zh-CN"/>
        </w:rPr>
        <w:t>12</w:t>
      </w:r>
      <w:r>
        <w:rPr>
          <w:rFonts w:hint="eastAsia" w:ascii="宋体" w:hAnsi="宋体" w:eastAsia="宋体" w:cs="宋体"/>
          <w:color w:val="FF0000"/>
          <w:kern w:val="0"/>
          <w:sz w:val="24"/>
          <w:szCs w:val="24"/>
        </w:rPr>
        <w:t>月</w:t>
      </w:r>
      <w:r>
        <w:rPr>
          <w:rFonts w:hint="eastAsia" w:ascii="宋体" w:hAnsi="宋体" w:eastAsia="宋体" w:cs="宋体"/>
          <w:color w:val="FF0000"/>
          <w:kern w:val="0"/>
          <w:sz w:val="24"/>
          <w:szCs w:val="24"/>
          <w:lang w:val="en-US" w:eastAsia="zh-CN"/>
        </w:rPr>
        <w:t>12</w:t>
      </w:r>
      <w:r>
        <w:rPr>
          <w:rFonts w:hint="eastAsia" w:ascii="宋体" w:hAnsi="宋体" w:eastAsia="宋体" w:cs="宋体"/>
          <w:color w:val="FF0000"/>
          <w:kern w:val="0"/>
          <w:sz w:val="24"/>
          <w:szCs w:val="24"/>
        </w:rPr>
        <w:t>日</w:t>
      </w:r>
      <w:r>
        <w:rPr>
          <w:rFonts w:hint="eastAsia" w:ascii="宋体" w:hAnsi="宋体" w:eastAsia="宋体" w:cs="宋体"/>
          <w:color w:val="FF0000"/>
          <w:kern w:val="0"/>
          <w:sz w:val="24"/>
          <w:szCs w:val="24"/>
          <w:lang w:val="en-US" w:eastAsia="zh-CN"/>
        </w:rPr>
        <w:t>9</w:t>
      </w:r>
      <w:r>
        <w:rPr>
          <w:rFonts w:hint="eastAsia" w:ascii="宋体" w:hAnsi="宋体" w:eastAsia="宋体" w:cs="宋体"/>
          <w:color w:val="FF0000"/>
          <w:kern w:val="0"/>
          <w:sz w:val="24"/>
          <w:szCs w:val="24"/>
        </w:rPr>
        <w:t>时</w:t>
      </w:r>
      <w:r>
        <w:rPr>
          <w:rFonts w:hint="eastAsia" w:ascii="宋体" w:hAnsi="宋体" w:eastAsia="宋体" w:cs="宋体"/>
          <w:color w:val="FF0000"/>
          <w:kern w:val="0"/>
          <w:sz w:val="24"/>
          <w:szCs w:val="24"/>
          <w:lang w:val="en-US" w:eastAsia="zh-CN"/>
        </w:rPr>
        <w:t>30</w:t>
      </w:r>
      <w:r>
        <w:rPr>
          <w:rFonts w:hint="eastAsia" w:ascii="宋体" w:hAnsi="宋体" w:eastAsia="宋体" w:cs="宋体"/>
          <w:color w:val="FF0000"/>
          <w:kern w:val="0"/>
          <w:sz w:val="24"/>
          <w:szCs w:val="24"/>
        </w:rPr>
        <w:t>分前</w:t>
      </w:r>
      <w:r>
        <w:rPr>
          <w:rFonts w:hint="eastAsia" w:ascii="宋体" w:hAnsi="宋体" w:eastAsia="宋体" w:cs="宋体"/>
          <w:kern w:val="0"/>
          <w:sz w:val="24"/>
          <w:szCs w:val="24"/>
        </w:rPr>
        <w:t>，以E-mail及书面形式提交给招标人（邮箱：</w:t>
      </w:r>
      <w:r>
        <w:rPr>
          <w:rFonts w:hint="eastAsia" w:ascii="宋体" w:hAnsi="宋体" w:eastAsia="宋体" w:cs="宋体"/>
          <w:kern w:val="0"/>
          <w:sz w:val="24"/>
          <w:szCs w:val="24"/>
          <w:lang w:val="en-US" w:eastAsia="zh-CN"/>
        </w:rPr>
        <w:t>373285581@qq.com</w:t>
      </w:r>
      <w:r>
        <w:rPr>
          <w:rFonts w:hint="eastAsia" w:ascii="宋体" w:hAnsi="宋体" w:eastAsia="宋体" w:cs="宋体"/>
          <w:kern w:val="0"/>
          <w:sz w:val="24"/>
          <w:szCs w:val="24"/>
        </w:rPr>
        <w:t>，联系人：</w:t>
      </w:r>
      <w:r>
        <w:rPr>
          <w:rFonts w:hint="eastAsia" w:ascii="宋体" w:hAnsi="宋体" w:eastAsia="宋体" w:cs="宋体"/>
          <w:kern w:val="0"/>
          <w:sz w:val="24"/>
          <w:szCs w:val="24"/>
          <w:lang w:val="en-US" w:eastAsia="zh-CN"/>
        </w:rPr>
        <w:t>吴淼清</w:t>
      </w:r>
      <w:r>
        <w:rPr>
          <w:rFonts w:hint="eastAsia" w:ascii="宋体" w:hAnsi="宋体" w:eastAsia="宋体" w:cs="宋体"/>
          <w:kern w:val="0"/>
          <w:sz w:val="24"/>
          <w:szCs w:val="24"/>
        </w:rPr>
        <w:t>）投标人必须在规定时间前提出对招标文件的疑问，否则招标人有权拒绝接收和拒绝回答未在截止时间前提出的疑问。招标人可主动地或在解答投标人提出的澄清问题时对招标文件进行修改，对招标文件的修改将以补充公告的形式发布，所有获得招标文件的投标人应自行关注网站公告，招标人不再一一通知。投标人因自身贻误行为导致投标失败的，责任自负。</w:t>
      </w:r>
    </w:p>
    <w:p>
      <w:pPr>
        <w:widowControl/>
        <w:snapToGrid w:val="0"/>
        <w:spacing w:line="320" w:lineRule="exact"/>
        <w:jc w:val="left"/>
        <w:rPr>
          <w:rFonts w:ascii="宋体" w:hAnsi="宋体" w:eastAsia="宋体" w:cs="宋体"/>
          <w:b/>
          <w:bCs/>
          <w:kern w:val="0"/>
          <w:sz w:val="24"/>
          <w:szCs w:val="24"/>
        </w:rPr>
      </w:pPr>
      <w:r>
        <w:rPr>
          <w:rFonts w:hint="eastAsia" w:ascii="宋体" w:hAnsi="宋体" w:eastAsia="宋体" w:cs="宋体"/>
          <w:b/>
          <w:bCs/>
          <w:kern w:val="0"/>
          <w:sz w:val="24"/>
          <w:szCs w:val="24"/>
        </w:rPr>
        <w:t>六、投标文件的递交</w:t>
      </w:r>
    </w:p>
    <w:p>
      <w:pPr>
        <w:widowControl/>
        <w:adjustRightInd w:val="0"/>
        <w:snapToGrid w:val="0"/>
        <w:spacing w:line="32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（1）投标文件递交截止时间：</w:t>
      </w:r>
      <w:r>
        <w:rPr>
          <w:rFonts w:hint="eastAsia" w:ascii="宋体" w:hAnsi="宋体" w:eastAsia="宋体" w:cs="宋体"/>
          <w:color w:val="FF0000"/>
          <w:kern w:val="0"/>
          <w:sz w:val="24"/>
          <w:szCs w:val="24"/>
          <w:lang w:val="en-US" w:eastAsia="zh-CN"/>
        </w:rPr>
        <w:t>2022</w:t>
      </w:r>
      <w:r>
        <w:rPr>
          <w:rFonts w:hint="eastAsia" w:ascii="宋体" w:hAnsi="宋体" w:eastAsia="宋体" w:cs="宋体"/>
          <w:color w:val="FF0000"/>
          <w:kern w:val="0"/>
          <w:sz w:val="24"/>
          <w:szCs w:val="24"/>
        </w:rPr>
        <w:t>年</w:t>
      </w:r>
      <w:r>
        <w:rPr>
          <w:rFonts w:hint="eastAsia" w:ascii="宋体" w:hAnsi="宋体" w:eastAsia="宋体" w:cs="宋体"/>
          <w:color w:val="FF0000"/>
          <w:kern w:val="0"/>
          <w:sz w:val="24"/>
          <w:szCs w:val="24"/>
          <w:lang w:val="en-US" w:eastAsia="zh-CN"/>
        </w:rPr>
        <w:t>12</w:t>
      </w:r>
      <w:r>
        <w:rPr>
          <w:rFonts w:hint="eastAsia" w:ascii="宋体" w:hAnsi="宋体" w:eastAsia="宋体" w:cs="宋体"/>
          <w:color w:val="FF0000"/>
          <w:kern w:val="0"/>
          <w:sz w:val="24"/>
          <w:szCs w:val="24"/>
        </w:rPr>
        <w:t>月</w:t>
      </w:r>
      <w:r>
        <w:rPr>
          <w:rFonts w:hint="eastAsia" w:ascii="宋体" w:hAnsi="宋体" w:eastAsia="宋体" w:cs="宋体"/>
          <w:color w:val="FF0000"/>
          <w:kern w:val="0"/>
          <w:sz w:val="24"/>
          <w:szCs w:val="24"/>
          <w:lang w:val="en-US" w:eastAsia="zh-CN"/>
        </w:rPr>
        <w:t>19</w:t>
      </w:r>
      <w:r>
        <w:rPr>
          <w:rFonts w:hint="eastAsia" w:ascii="宋体" w:hAnsi="宋体" w:eastAsia="宋体" w:cs="宋体"/>
          <w:color w:val="FF0000"/>
          <w:kern w:val="0"/>
          <w:sz w:val="24"/>
          <w:szCs w:val="24"/>
        </w:rPr>
        <w:t>日</w:t>
      </w:r>
      <w:r>
        <w:rPr>
          <w:rFonts w:hint="eastAsia" w:ascii="宋体" w:hAnsi="宋体" w:eastAsia="宋体" w:cs="宋体"/>
          <w:color w:val="FF0000"/>
          <w:kern w:val="0"/>
          <w:sz w:val="24"/>
          <w:szCs w:val="24"/>
          <w:lang w:val="en-US" w:eastAsia="zh-CN"/>
        </w:rPr>
        <w:t>9</w:t>
      </w:r>
      <w:r>
        <w:rPr>
          <w:rFonts w:hint="eastAsia" w:ascii="宋体" w:hAnsi="宋体" w:eastAsia="宋体" w:cs="宋体"/>
          <w:color w:val="FF0000"/>
          <w:kern w:val="0"/>
          <w:sz w:val="24"/>
          <w:szCs w:val="24"/>
        </w:rPr>
        <w:t>时</w:t>
      </w:r>
      <w:r>
        <w:rPr>
          <w:rFonts w:hint="eastAsia" w:ascii="宋体" w:hAnsi="宋体" w:eastAsia="宋体" w:cs="宋体"/>
          <w:color w:val="FF0000"/>
          <w:kern w:val="0"/>
          <w:sz w:val="24"/>
          <w:szCs w:val="24"/>
          <w:lang w:val="en-US" w:eastAsia="zh-CN"/>
        </w:rPr>
        <w:t>30</w:t>
      </w:r>
      <w:r>
        <w:rPr>
          <w:rFonts w:hint="eastAsia" w:ascii="宋体" w:hAnsi="宋体" w:eastAsia="宋体" w:cs="宋体"/>
          <w:color w:val="FF0000"/>
          <w:kern w:val="0"/>
          <w:sz w:val="24"/>
          <w:szCs w:val="24"/>
        </w:rPr>
        <w:t>分前</w:t>
      </w:r>
      <w:r>
        <w:rPr>
          <w:rFonts w:hint="eastAsia" w:ascii="宋体" w:hAnsi="宋体" w:eastAsia="宋体" w:cs="宋体"/>
          <w:kern w:val="0"/>
          <w:sz w:val="24"/>
          <w:szCs w:val="24"/>
        </w:rPr>
        <w:t>（北京时间）。投标文件在封口处加盖公章并注明是：</w:t>
      </w:r>
      <w:r>
        <w:rPr>
          <w:rFonts w:hint="eastAsia" w:ascii="宋体" w:hAnsi="宋体" w:eastAsia="宋体" w:cs="宋体"/>
          <w:b/>
          <w:bCs/>
          <w:color w:val="000000" w:themeColor="text1"/>
          <w:sz w:val="24"/>
          <w:szCs w:val="24"/>
          <w14:textFill>
            <w14:solidFill>
              <w14:schemeClr w14:val="tx1"/>
            </w14:solidFill>
          </w14:textFill>
        </w:rPr>
        <w:t>杭州萧山国际机场6号道口改造项目招标文件</w:t>
      </w:r>
      <w:r>
        <w:rPr>
          <w:rFonts w:hint="eastAsia" w:ascii="宋体" w:hAnsi="宋体" w:eastAsia="宋体" w:cs="宋体"/>
          <w:kern w:val="0"/>
          <w:sz w:val="24"/>
          <w:szCs w:val="24"/>
        </w:rPr>
        <w:t>，并派专人于</w:t>
      </w:r>
      <w:r>
        <w:rPr>
          <w:rFonts w:hint="eastAsia" w:ascii="宋体" w:hAnsi="宋体" w:eastAsia="宋体" w:cs="宋体"/>
          <w:color w:val="FF0000"/>
          <w:kern w:val="0"/>
          <w:sz w:val="24"/>
          <w:szCs w:val="24"/>
        </w:rPr>
        <w:t xml:space="preserve">    </w:t>
      </w:r>
      <w:r>
        <w:rPr>
          <w:rFonts w:hint="eastAsia" w:ascii="宋体" w:hAnsi="宋体" w:eastAsia="宋体" w:cs="宋体"/>
          <w:color w:val="FF0000"/>
          <w:kern w:val="0"/>
          <w:sz w:val="24"/>
          <w:szCs w:val="24"/>
          <w:lang w:val="en-US" w:eastAsia="zh-CN"/>
        </w:rPr>
        <w:t>2022</w:t>
      </w:r>
      <w:r>
        <w:rPr>
          <w:rFonts w:hint="eastAsia" w:ascii="宋体" w:hAnsi="宋体" w:eastAsia="宋体" w:cs="宋体"/>
          <w:color w:val="FF0000"/>
          <w:kern w:val="0"/>
          <w:sz w:val="24"/>
          <w:szCs w:val="24"/>
        </w:rPr>
        <w:t>年</w:t>
      </w:r>
      <w:r>
        <w:rPr>
          <w:rFonts w:hint="eastAsia" w:ascii="宋体" w:hAnsi="宋体" w:eastAsia="宋体" w:cs="宋体"/>
          <w:color w:val="FF0000"/>
          <w:kern w:val="0"/>
          <w:sz w:val="24"/>
          <w:szCs w:val="24"/>
          <w:lang w:val="en-US" w:eastAsia="zh-CN"/>
        </w:rPr>
        <w:t>12</w:t>
      </w:r>
      <w:r>
        <w:rPr>
          <w:rFonts w:hint="eastAsia" w:ascii="宋体" w:hAnsi="宋体" w:eastAsia="宋体" w:cs="宋体"/>
          <w:color w:val="FF0000"/>
          <w:kern w:val="0"/>
          <w:sz w:val="24"/>
          <w:szCs w:val="24"/>
        </w:rPr>
        <w:t>月</w:t>
      </w:r>
      <w:r>
        <w:rPr>
          <w:rFonts w:hint="eastAsia" w:ascii="宋体" w:hAnsi="宋体" w:eastAsia="宋体" w:cs="宋体"/>
          <w:color w:val="FF0000"/>
          <w:kern w:val="0"/>
          <w:sz w:val="24"/>
          <w:szCs w:val="24"/>
          <w:lang w:val="en-US" w:eastAsia="zh-CN"/>
        </w:rPr>
        <w:t>19</w:t>
      </w:r>
      <w:r>
        <w:rPr>
          <w:rFonts w:hint="eastAsia" w:ascii="宋体" w:hAnsi="宋体" w:eastAsia="宋体" w:cs="宋体"/>
          <w:color w:val="FF0000"/>
          <w:kern w:val="0"/>
          <w:sz w:val="24"/>
          <w:szCs w:val="24"/>
        </w:rPr>
        <w:t>日</w:t>
      </w:r>
      <w:r>
        <w:rPr>
          <w:rFonts w:hint="eastAsia" w:ascii="宋体" w:hAnsi="宋体" w:eastAsia="宋体" w:cs="宋体"/>
          <w:color w:val="FF0000"/>
          <w:kern w:val="0"/>
          <w:sz w:val="24"/>
          <w:szCs w:val="24"/>
          <w:lang w:val="en-US" w:eastAsia="zh-CN"/>
        </w:rPr>
        <w:t>9</w:t>
      </w:r>
      <w:r>
        <w:rPr>
          <w:rFonts w:hint="eastAsia" w:ascii="宋体" w:hAnsi="宋体" w:eastAsia="宋体" w:cs="宋体"/>
          <w:color w:val="FF0000"/>
          <w:kern w:val="0"/>
          <w:sz w:val="24"/>
          <w:szCs w:val="24"/>
        </w:rPr>
        <w:t>时</w:t>
      </w:r>
      <w:r>
        <w:rPr>
          <w:rFonts w:hint="eastAsia" w:ascii="宋体" w:hAnsi="宋体" w:eastAsia="宋体" w:cs="宋体"/>
          <w:color w:val="FF0000"/>
          <w:kern w:val="0"/>
          <w:sz w:val="24"/>
          <w:szCs w:val="24"/>
          <w:lang w:val="en-US" w:eastAsia="zh-CN"/>
        </w:rPr>
        <w:t>30</w:t>
      </w:r>
      <w:r>
        <w:rPr>
          <w:rFonts w:hint="eastAsia" w:ascii="宋体" w:hAnsi="宋体" w:eastAsia="宋体" w:cs="宋体"/>
          <w:color w:val="FF0000"/>
          <w:kern w:val="0"/>
          <w:sz w:val="24"/>
          <w:szCs w:val="24"/>
        </w:rPr>
        <w:t>分前</w:t>
      </w:r>
      <w:r>
        <w:rPr>
          <w:rFonts w:hint="eastAsia" w:ascii="宋体" w:hAnsi="宋体" w:eastAsia="宋体" w:cs="宋体"/>
          <w:kern w:val="0"/>
          <w:sz w:val="24"/>
          <w:szCs w:val="24"/>
        </w:rPr>
        <w:t>（北京时间）前送至</w:t>
      </w:r>
      <w:r>
        <w:rPr>
          <w:rFonts w:hint="eastAsia" w:ascii="宋体" w:hAnsi="宋体" w:eastAsia="宋体" w:cs="宋体"/>
          <w:b/>
          <w:bCs/>
          <w:color w:val="auto"/>
          <w:kern w:val="0"/>
          <w:sz w:val="24"/>
          <w:szCs w:val="24"/>
          <w:lang w:val="en-US" w:eastAsia="zh-CN"/>
        </w:rPr>
        <w:t>杭州萧山国际机场物业维修中心</w:t>
      </w:r>
      <w:r>
        <w:rPr>
          <w:rFonts w:hint="eastAsia" w:ascii="宋体" w:hAnsi="宋体" w:eastAsia="宋体" w:cs="宋体"/>
          <w:kern w:val="0"/>
          <w:sz w:val="24"/>
          <w:szCs w:val="24"/>
        </w:rPr>
        <w:t>，逾期无效；若采用投递方式的，请于</w:t>
      </w:r>
      <w:r>
        <w:rPr>
          <w:rFonts w:hint="eastAsia" w:ascii="宋体" w:hAnsi="宋体" w:eastAsia="宋体" w:cs="宋体"/>
          <w:color w:val="FF0000"/>
          <w:kern w:val="0"/>
          <w:sz w:val="24"/>
          <w:szCs w:val="24"/>
          <w:lang w:val="en-US" w:eastAsia="zh-CN"/>
        </w:rPr>
        <w:t>2022</w:t>
      </w:r>
      <w:r>
        <w:rPr>
          <w:rFonts w:hint="eastAsia" w:ascii="宋体" w:hAnsi="宋体" w:eastAsia="宋体" w:cs="宋体"/>
          <w:color w:val="FF0000"/>
          <w:kern w:val="0"/>
          <w:sz w:val="24"/>
          <w:szCs w:val="24"/>
        </w:rPr>
        <w:t>年</w:t>
      </w:r>
      <w:r>
        <w:rPr>
          <w:rFonts w:hint="eastAsia" w:ascii="宋体" w:hAnsi="宋体" w:eastAsia="宋体" w:cs="宋体"/>
          <w:color w:val="FF0000"/>
          <w:kern w:val="0"/>
          <w:sz w:val="24"/>
          <w:szCs w:val="24"/>
          <w:lang w:val="en-US" w:eastAsia="zh-CN"/>
        </w:rPr>
        <w:t>12</w:t>
      </w:r>
      <w:r>
        <w:rPr>
          <w:rFonts w:hint="eastAsia" w:ascii="宋体" w:hAnsi="宋体" w:eastAsia="宋体" w:cs="宋体"/>
          <w:color w:val="FF0000"/>
          <w:kern w:val="0"/>
          <w:sz w:val="24"/>
          <w:szCs w:val="24"/>
        </w:rPr>
        <w:t>月</w:t>
      </w:r>
      <w:r>
        <w:rPr>
          <w:rFonts w:hint="eastAsia" w:ascii="宋体" w:hAnsi="宋体" w:eastAsia="宋体" w:cs="宋体"/>
          <w:color w:val="FF0000"/>
          <w:kern w:val="0"/>
          <w:sz w:val="24"/>
          <w:szCs w:val="24"/>
          <w:lang w:val="en-US" w:eastAsia="zh-CN"/>
        </w:rPr>
        <w:t>19</w:t>
      </w:r>
      <w:r>
        <w:rPr>
          <w:rFonts w:hint="eastAsia" w:ascii="宋体" w:hAnsi="宋体" w:eastAsia="宋体" w:cs="宋体"/>
          <w:color w:val="FF0000"/>
          <w:kern w:val="0"/>
          <w:sz w:val="24"/>
          <w:szCs w:val="24"/>
        </w:rPr>
        <w:t>日</w:t>
      </w:r>
      <w:r>
        <w:rPr>
          <w:rFonts w:hint="eastAsia" w:ascii="宋体" w:hAnsi="宋体" w:eastAsia="宋体" w:cs="宋体"/>
          <w:color w:val="FF0000"/>
          <w:kern w:val="0"/>
          <w:sz w:val="24"/>
          <w:szCs w:val="24"/>
          <w:lang w:val="en-US" w:eastAsia="zh-CN"/>
        </w:rPr>
        <w:t>9</w:t>
      </w:r>
      <w:r>
        <w:rPr>
          <w:rFonts w:hint="eastAsia" w:ascii="宋体" w:hAnsi="宋体" w:eastAsia="宋体" w:cs="宋体"/>
          <w:color w:val="FF0000"/>
          <w:kern w:val="0"/>
          <w:sz w:val="24"/>
          <w:szCs w:val="24"/>
        </w:rPr>
        <w:t>时</w:t>
      </w:r>
      <w:r>
        <w:rPr>
          <w:rFonts w:hint="eastAsia" w:ascii="宋体" w:hAnsi="宋体" w:eastAsia="宋体" w:cs="宋体"/>
          <w:color w:val="FF0000"/>
          <w:kern w:val="0"/>
          <w:sz w:val="24"/>
          <w:szCs w:val="24"/>
          <w:lang w:val="en-US" w:eastAsia="zh-CN"/>
        </w:rPr>
        <w:t>30</w:t>
      </w:r>
      <w:r>
        <w:rPr>
          <w:rFonts w:hint="eastAsia" w:ascii="宋体" w:hAnsi="宋体" w:eastAsia="宋体" w:cs="宋体"/>
          <w:color w:val="FF0000"/>
          <w:kern w:val="0"/>
          <w:sz w:val="24"/>
          <w:szCs w:val="24"/>
        </w:rPr>
        <w:t>分前</w:t>
      </w:r>
      <w:r>
        <w:rPr>
          <w:rFonts w:hint="eastAsia" w:ascii="宋体" w:hAnsi="宋体" w:eastAsia="宋体" w:cs="宋体"/>
          <w:kern w:val="0"/>
          <w:sz w:val="24"/>
          <w:szCs w:val="24"/>
        </w:rPr>
        <w:t>（北京时间）前投递至</w:t>
      </w:r>
      <w:r>
        <w:rPr>
          <w:rFonts w:hint="eastAsia" w:ascii="宋体" w:hAnsi="宋体" w:eastAsia="宋体" w:cs="宋体"/>
          <w:b/>
          <w:bCs/>
          <w:color w:val="auto"/>
          <w:kern w:val="0"/>
          <w:sz w:val="24"/>
          <w:szCs w:val="24"/>
          <w:lang w:val="en-US" w:eastAsia="zh-CN"/>
        </w:rPr>
        <w:t>杭州萧山国际机场物业维修中心</w:t>
      </w:r>
      <w:r>
        <w:rPr>
          <w:rFonts w:hint="eastAsia" w:ascii="宋体" w:hAnsi="宋体" w:eastAsia="宋体" w:cs="宋体"/>
          <w:kern w:val="0"/>
          <w:sz w:val="24"/>
          <w:szCs w:val="24"/>
        </w:rPr>
        <w:t>，快递面单上注明是：</w:t>
      </w:r>
      <w:r>
        <w:rPr>
          <w:rFonts w:hint="eastAsia" w:ascii="宋体" w:hAnsi="宋体" w:eastAsia="宋体" w:cs="宋体"/>
          <w:b/>
          <w:bCs/>
          <w:color w:val="000000" w:themeColor="text1"/>
          <w:sz w:val="24"/>
          <w:szCs w:val="24"/>
          <w14:textFill>
            <w14:solidFill>
              <w14:schemeClr w14:val="tx1"/>
            </w14:solidFill>
          </w14:textFill>
        </w:rPr>
        <w:t>杭州萧山国际机场6号道口改造项目招标文件</w:t>
      </w:r>
      <w:r>
        <w:rPr>
          <w:rFonts w:hint="eastAsia" w:ascii="宋体" w:hAnsi="宋体" w:eastAsia="宋体" w:cs="宋体"/>
          <w:b/>
          <w:bCs/>
          <w:color w:val="000000" w:themeColor="text1"/>
          <w:kern w:val="0"/>
          <w:sz w:val="24"/>
          <w:szCs w:val="24"/>
          <w14:textFill>
            <w14:solidFill>
              <w14:schemeClr w14:val="tx1"/>
            </w14:solidFill>
          </w14:textFill>
        </w:rPr>
        <w:t>。</w:t>
      </w:r>
    </w:p>
    <w:p>
      <w:pPr>
        <w:widowControl/>
        <w:adjustRightInd w:val="0"/>
        <w:snapToGrid w:val="0"/>
        <w:spacing w:line="320" w:lineRule="exact"/>
        <w:ind w:firstLine="480" w:firstLineChars="200"/>
        <w:rPr>
          <w:rFonts w:ascii="宋体" w:hAnsi="宋体" w:eastAsia="宋体" w:cs="宋体"/>
          <w:sz w:val="24"/>
          <w:szCs w:val="24"/>
        </w:rPr>
      </w:pPr>
      <w:r>
        <w:rPr>
          <w:rFonts w:hint="eastAsia" w:ascii="宋体" w:hAnsi="宋体" w:eastAsia="宋体" w:cs="宋体"/>
          <w:kern w:val="0"/>
          <w:sz w:val="24"/>
          <w:szCs w:val="24"/>
        </w:rPr>
        <w:t>（2）</w:t>
      </w:r>
      <w:r>
        <w:rPr>
          <w:rFonts w:hint="eastAsia" w:ascii="宋体" w:hAnsi="宋体" w:eastAsia="宋体" w:cs="宋体"/>
          <w:sz w:val="24"/>
          <w:szCs w:val="24"/>
        </w:rPr>
        <w:t>逾期送达或者未送达指定地点的投标文件，招标人不予受理。</w:t>
      </w:r>
    </w:p>
    <w:p>
      <w:pPr>
        <w:widowControl/>
        <w:adjustRightInd w:val="0"/>
        <w:snapToGrid w:val="0"/>
        <w:spacing w:line="320" w:lineRule="exact"/>
        <w:ind w:firstLine="480" w:firstLineChars="200"/>
        <w:rPr>
          <w:rFonts w:ascii="宋体" w:hAnsi="宋体" w:eastAsia="宋体" w:cs="宋体"/>
          <w:sz w:val="24"/>
          <w:szCs w:val="24"/>
        </w:rPr>
      </w:pPr>
      <w:r>
        <w:rPr>
          <w:rFonts w:hint="eastAsia" w:ascii="宋体" w:hAnsi="宋体" w:eastAsia="宋体" w:cs="宋体"/>
          <w:sz w:val="24"/>
          <w:szCs w:val="24"/>
        </w:rPr>
        <w:t>（3）投标文件正本一份，副本二份。</w:t>
      </w:r>
    </w:p>
    <w:p>
      <w:pPr>
        <w:widowControl/>
        <w:adjustRightInd w:val="0"/>
        <w:snapToGrid w:val="0"/>
        <w:spacing w:line="320" w:lineRule="exact"/>
        <w:ind w:firstLine="480" w:firstLineChars="200"/>
        <w:rPr>
          <w:rFonts w:ascii="宋体" w:hAnsi="宋体" w:eastAsia="宋体" w:cs="宋体"/>
          <w:sz w:val="24"/>
          <w:szCs w:val="24"/>
        </w:rPr>
      </w:pPr>
      <w:r>
        <w:rPr>
          <w:rFonts w:hint="eastAsia" w:ascii="宋体" w:hAnsi="宋体" w:eastAsia="宋体" w:cs="宋体"/>
          <w:sz w:val="24"/>
          <w:szCs w:val="24"/>
        </w:rPr>
        <w:t>（4）投标文件封面（或扉页）、投标函以及各类报价表均须加盖投标人单位章，并经法定代表人（或其委托代理人）签字或盖章。</w:t>
      </w:r>
    </w:p>
    <w:p>
      <w:pPr>
        <w:widowControl/>
        <w:adjustRightInd w:val="0"/>
        <w:snapToGrid w:val="0"/>
        <w:spacing w:line="320" w:lineRule="exact"/>
        <w:ind w:firstLine="480" w:firstLineChars="200"/>
        <w:rPr>
          <w:rFonts w:ascii="宋体" w:hAnsi="宋体" w:eastAsia="宋体" w:cs="宋体"/>
          <w:sz w:val="24"/>
          <w:szCs w:val="24"/>
        </w:rPr>
      </w:pPr>
      <w:r>
        <w:rPr>
          <w:rFonts w:hint="eastAsia" w:ascii="宋体" w:hAnsi="宋体" w:eastAsia="宋体" w:cs="宋体"/>
          <w:sz w:val="24"/>
          <w:szCs w:val="24"/>
        </w:rPr>
        <w:t>（5）装订要求为不分册装订，每册采用胶装等方式装订，装订应牢固、不易拆散和换页，不得采用活页装订。</w:t>
      </w:r>
    </w:p>
    <w:p>
      <w:pPr>
        <w:widowControl/>
        <w:adjustRightInd w:val="0"/>
        <w:snapToGrid w:val="0"/>
        <w:spacing w:line="320" w:lineRule="exact"/>
        <w:ind w:firstLine="480" w:firstLineChars="200"/>
        <w:rPr>
          <w:rFonts w:ascii="宋体" w:hAnsi="宋体" w:eastAsia="宋体" w:cs="宋体"/>
          <w:sz w:val="24"/>
          <w:szCs w:val="24"/>
        </w:rPr>
      </w:pPr>
      <w:r>
        <w:rPr>
          <w:rFonts w:hint="eastAsia" w:ascii="宋体" w:hAnsi="宋体" w:eastAsia="宋体" w:cs="宋体"/>
          <w:sz w:val="24"/>
          <w:szCs w:val="24"/>
        </w:rPr>
        <w:t>（6）封套上写明：</w:t>
      </w:r>
    </w:p>
    <w:p>
      <w:pPr>
        <w:autoSpaceDE w:val="0"/>
        <w:autoSpaceDN w:val="0"/>
        <w:adjustRightInd w:val="0"/>
        <w:snapToGrid w:val="0"/>
        <w:ind w:firstLine="480" w:firstLineChars="200"/>
        <w:rPr>
          <w:rFonts w:asciiTheme="minorEastAsia" w:hAnsiTheme="minorEastAsia" w:cstheme="minorEastAsia"/>
          <w:kern w:val="0"/>
          <w:sz w:val="24"/>
          <w:szCs w:val="24"/>
        </w:rPr>
      </w:pPr>
      <w:r>
        <w:rPr>
          <w:rFonts w:hint="eastAsia" w:asciiTheme="minorEastAsia" w:hAnsiTheme="minorEastAsia" w:cstheme="minorEastAsia"/>
          <w:kern w:val="0"/>
          <w:sz w:val="24"/>
          <w:szCs w:val="24"/>
        </w:rPr>
        <w:t>招标人的地址：</w:t>
      </w:r>
      <w:r>
        <w:rPr>
          <w:rFonts w:hint="eastAsia" w:asciiTheme="minorEastAsia" w:hAnsiTheme="minorEastAsia" w:cstheme="minorEastAsia"/>
          <w:sz w:val="24"/>
          <w:szCs w:val="24"/>
          <w:u w:val="single"/>
        </w:rPr>
        <w:t>杭州萧山国际机场内</w:t>
      </w:r>
    </w:p>
    <w:p>
      <w:pPr>
        <w:autoSpaceDE w:val="0"/>
        <w:autoSpaceDN w:val="0"/>
        <w:adjustRightInd w:val="0"/>
        <w:snapToGrid w:val="0"/>
        <w:ind w:firstLine="480" w:firstLineChars="200"/>
        <w:rPr>
          <w:rFonts w:asciiTheme="minorEastAsia" w:hAnsiTheme="minorEastAsia" w:cstheme="minorEastAsia"/>
          <w:kern w:val="0"/>
          <w:sz w:val="24"/>
          <w:szCs w:val="24"/>
        </w:rPr>
      </w:pPr>
      <w:r>
        <w:rPr>
          <w:rFonts w:hint="eastAsia" w:asciiTheme="minorEastAsia" w:hAnsiTheme="minorEastAsia" w:cstheme="minorEastAsia"/>
          <w:kern w:val="0"/>
          <w:sz w:val="24"/>
          <w:szCs w:val="24"/>
        </w:rPr>
        <w:t>招标人名称：</w:t>
      </w:r>
      <w:r>
        <w:rPr>
          <w:rFonts w:hint="eastAsia" w:asciiTheme="minorEastAsia" w:hAnsiTheme="minorEastAsia" w:cstheme="minorEastAsia"/>
          <w:kern w:val="0"/>
          <w:sz w:val="24"/>
          <w:szCs w:val="24"/>
          <w:u w:val="single"/>
        </w:rPr>
        <w:t>杭州萧山国际机场有限公司</w:t>
      </w:r>
    </w:p>
    <w:p>
      <w:pPr>
        <w:autoSpaceDE w:val="0"/>
        <w:autoSpaceDN w:val="0"/>
        <w:adjustRightInd w:val="0"/>
        <w:snapToGrid w:val="0"/>
        <w:ind w:firstLine="480" w:firstLineChars="200"/>
        <w:rPr>
          <w:rFonts w:asciiTheme="minorEastAsia" w:hAnsiTheme="minorEastAsia" w:cstheme="minorEastAsia"/>
          <w:kern w:val="0"/>
          <w:sz w:val="24"/>
          <w:szCs w:val="24"/>
        </w:rPr>
      </w:pPr>
      <w:r>
        <w:rPr>
          <w:rFonts w:hint="eastAsia" w:asciiTheme="minorEastAsia" w:hAnsiTheme="minorEastAsia" w:cstheme="minorEastAsia"/>
          <w:sz w:val="24"/>
          <w:szCs w:val="24"/>
        </w:rPr>
        <w:t>项目名称：</w:t>
      </w:r>
      <w:r>
        <w:rPr>
          <w:rFonts w:hint="eastAsia" w:asciiTheme="minorEastAsia" w:hAnsiTheme="minorEastAsia" w:cstheme="minorEastAsia"/>
          <w:sz w:val="24"/>
          <w:szCs w:val="24"/>
          <w:u w:val="single"/>
        </w:rPr>
        <w:t>杭州萧山国际机场6号道口改造项目</w:t>
      </w:r>
      <w:r>
        <w:rPr>
          <w:rFonts w:hint="eastAsia" w:asciiTheme="minorEastAsia" w:hAnsiTheme="minorEastAsia" w:cstheme="minorEastAsia"/>
          <w:sz w:val="24"/>
          <w:szCs w:val="24"/>
        </w:rPr>
        <w:t>投标文件</w:t>
      </w:r>
    </w:p>
    <w:p>
      <w:pPr>
        <w:widowControl/>
        <w:adjustRightInd w:val="0"/>
        <w:snapToGrid w:val="0"/>
        <w:spacing w:line="320" w:lineRule="exact"/>
        <w:ind w:firstLine="480" w:firstLineChars="200"/>
        <w:rPr>
          <w:rFonts w:asciiTheme="minorEastAsia" w:hAnsiTheme="minorEastAsia" w:cstheme="minorEastAsia"/>
          <w:kern w:val="0"/>
          <w:sz w:val="24"/>
          <w:szCs w:val="24"/>
        </w:rPr>
      </w:pPr>
      <w:r>
        <w:rPr>
          <w:rFonts w:hint="eastAsia" w:asciiTheme="minorEastAsia" w:hAnsiTheme="minorEastAsia" w:cstheme="minorEastAsia"/>
          <w:kern w:val="0"/>
          <w:sz w:val="24"/>
          <w:szCs w:val="24"/>
        </w:rPr>
        <w:t>在</w:t>
      </w:r>
      <w:r>
        <w:rPr>
          <w:rFonts w:hint="eastAsia" w:asciiTheme="minorEastAsia" w:hAnsiTheme="minorEastAsia" w:cstheme="minorEastAsia"/>
          <w:color w:val="FF0000"/>
          <w:kern w:val="0"/>
          <w:sz w:val="24"/>
          <w:szCs w:val="24"/>
          <w:u w:val="single"/>
        </w:rPr>
        <w:t xml:space="preserve"> </w:t>
      </w:r>
      <w:r>
        <w:rPr>
          <w:rFonts w:hint="eastAsia" w:asciiTheme="minorEastAsia" w:hAnsiTheme="minorEastAsia" w:cstheme="minorEastAsia"/>
          <w:color w:val="FF0000"/>
          <w:kern w:val="0"/>
          <w:sz w:val="24"/>
          <w:szCs w:val="24"/>
          <w:u w:val="single"/>
          <w:lang w:val="en-US" w:eastAsia="zh-CN"/>
        </w:rPr>
        <w:t>2022</w:t>
      </w:r>
      <w:r>
        <w:rPr>
          <w:rFonts w:hint="eastAsia" w:asciiTheme="minorEastAsia" w:hAnsiTheme="minorEastAsia" w:cstheme="minorEastAsia"/>
          <w:color w:val="FF0000"/>
          <w:kern w:val="0"/>
          <w:sz w:val="24"/>
          <w:szCs w:val="24"/>
          <w:u w:val="single"/>
        </w:rPr>
        <w:t xml:space="preserve"> </w:t>
      </w:r>
      <w:r>
        <w:rPr>
          <w:rFonts w:hint="eastAsia" w:asciiTheme="minorEastAsia" w:hAnsiTheme="minorEastAsia" w:cstheme="minorEastAsia"/>
          <w:color w:val="FF0000"/>
          <w:kern w:val="0"/>
          <w:sz w:val="24"/>
          <w:szCs w:val="24"/>
        </w:rPr>
        <w:t>年</w:t>
      </w:r>
      <w:r>
        <w:rPr>
          <w:rFonts w:hint="eastAsia" w:asciiTheme="minorEastAsia" w:hAnsiTheme="minorEastAsia" w:cstheme="minorEastAsia"/>
          <w:color w:val="FF0000"/>
          <w:kern w:val="0"/>
          <w:sz w:val="24"/>
          <w:szCs w:val="24"/>
          <w:u w:val="single"/>
        </w:rPr>
        <w:t xml:space="preserve"> </w:t>
      </w:r>
      <w:r>
        <w:rPr>
          <w:rFonts w:hint="eastAsia" w:asciiTheme="minorEastAsia" w:hAnsiTheme="minorEastAsia" w:cstheme="minorEastAsia"/>
          <w:color w:val="FF0000"/>
          <w:kern w:val="0"/>
          <w:sz w:val="24"/>
          <w:szCs w:val="24"/>
          <w:u w:val="single"/>
          <w:lang w:val="en-US" w:eastAsia="zh-CN"/>
        </w:rPr>
        <w:t>12</w:t>
      </w:r>
      <w:r>
        <w:rPr>
          <w:rFonts w:hint="eastAsia" w:asciiTheme="minorEastAsia" w:hAnsiTheme="minorEastAsia" w:cstheme="minorEastAsia"/>
          <w:color w:val="FF0000"/>
          <w:kern w:val="0"/>
          <w:sz w:val="24"/>
          <w:szCs w:val="24"/>
          <w:u w:val="single"/>
        </w:rPr>
        <w:t xml:space="preserve"> </w:t>
      </w:r>
      <w:r>
        <w:rPr>
          <w:rFonts w:hint="eastAsia" w:asciiTheme="minorEastAsia" w:hAnsiTheme="minorEastAsia" w:cstheme="minorEastAsia"/>
          <w:color w:val="FF0000"/>
          <w:kern w:val="0"/>
          <w:sz w:val="24"/>
          <w:szCs w:val="24"/>
        </w:rPr>
        <w:t>月</w:t>
      </w:r>
      <w:r>
        <w:rPr>
          <w:rFonts w:hint="eastAsia" w:asciiTheme="minorEastAsia" w:hAnsiTheme="minorEastAsia" w:cstheme="minorEastAsia"/>
          <w:color w:val="FF0000"/>
          <w:kern w:val="0"/>
          <w:sz w:val="24"/>
          <w:szCs w:val="24"/>
          <w:u w:val="single"/>
        </w:rPr>
        <w:t xml:space="preserve"> </w:t>
      </w:r>
      <w:r>
        <w:rPr>
          <w:rFonts w:hint="eastAsia" w:asciiTheme="minorEastAsia" w:hAnsiTheme="minorEastAsia" w:cstheme="minorEastAsia"/>
          <w:color w:val="FF0000"/>
          <w:kern w:val="0"/>
          <w:sz w:val="24"/>
          <w:szCs w:val="24"/>
          <w:u w:val="single"/>
          <w:lang w:val="en-US" w:eastAsia="zh-CN"/>
        </w:rPr>
        <w:t>19</w:t>
      </w:r>
      <w:r>
        <w:rPr>
          <w:rFonts w:hint="eastAsia" w:asciiTheme="minorEastAsia" w:hAnsiTheme="minorEastAsia" w:cstheme="minorEastAsia"/>
          <w:color w:val="FF0000"/>
          <w:kern w:val="0"/>
          <w:sz w:val="24"/>
          <w:szCs w:val="24"/>
          <w:u w:val="single"/>
        </w:rPr>
        <w:t xml:space="preserve"> </w:t>
      </w:r>
      <w:r>
        <w:rPr>
          <w:rFonts w:hint="eastAsia" w:asciiTheme="minorEastAsia" w:hAnsiTheme="minorEastAsia" w:cstheme="minorEastAsia"/>
          <w:color w:val="FF0000"/>
          <w:kern w:val="0"/>
          <w:sz w:val="24"/>
          <w:szCs w:val="24"/>
        </w:rPr>
        <w:t>日</w:t>
      </w:r>
      <w:r>
        <w:rPr>
          <w:rFonts w:hint="eastAsia" w:asciiTheme="minorEastAsia" w:hAnsiTheme="minorEastAsia" w:cstheme="minorEastAsia"/>
          <w:color w:val="FF0000"/>
          <w:kern w:val="0"/>
          <w:sz w:val="24"/>
          <w:szCs w:val="24"/>
          <w:u w:val="single"/>
        </w:rPr>
        <w:t xml:space="preserve"> </w:t>
      </w:r>
      <w:r>
        <w:rPr>
          <w:rFonts w:hint="eastAsia" w:asciiTheme="minorEastAsia" w:hAnsiTheme="minorEastAsia" w:cstheme="minorEastAsia"/>
          <w:color w:val="FF0000"/>
          <w:kern w:val="0"/>
          <w:sz w:val="24"/>
          <w:szCs w:val="24"/>
          <w:u w:val="single"/>
          <w:lang w:val="en-US" w:eastAsia="zh-CN"/>
        </w:rPr>
        <w:t>9</w:t>
      </w:r>
      <w:r>
        <w:rPr>
          <w:rFonts w:hint="eastAsia" w:asciiTheme="minorEastAsia" w:hAnsiTheme="minorEastAsia" w:cstheme="minorEastAsia"/>
          <w:color w:val="FF0000"/>
          <w:kern w:val="0"/>
          <w:sz w:val="24"/>
          <w:szCs w:val="24"/>
          <w:u w:val="single"/>
        </w:rPr>
        <w:t xml:space="preserve"> </w:t>
      </w:r>
      <w:r>
        <w:rPr>
          <w:rFonts w:hint="eastAsia" w:asciiTheme="minorEastAsia" w:hAnsiTheme="minorEastAsia" w:cstheme="minorEastAsia"/>
          <w:color w:val="FF0000"/>
          <w:kern w:val="0"/>
          <w:sz w:val="24"/>
          <w:szCs w:val="24"/>
        </w:rPr>
        <w:t>时</w:t>
      </w:r>
      <w:r>
        <w:rPr>
          <w:rFonts w:hint="eastAsia" w:asciiTheme="minorEastAsia" w:hAnsiTheme="minorEastAsia" w:cstheme="minorEastAsia"/>
          <w:color w:val="FF0000"/>
          <w:kern w:val="0"/>
          <w:sz w:val="24"/>
          <w:szCs w:val="24"/>
          <w:u w:val="single"/>
        </w:rPr>
        <w:t xml:space="preserve"> </w:t>
      </w:r>
      <w:r>
        <w:rPr>
          <w:rFonts w:hint="eastAsia" w:asciiTheme="minorEastAsia" w:hAnsiTheme="minorEastAsia" w:cstheme="minorEastAsia"/>
          <w:color w:val="FF0000"/>
          <w:kern w:val="0"/>
          <w:sz w:val="24"/>
          <w:szCs w:val="24"/>
          <w:u w:val="single"/>
          <w:lang w:val="en-US" w:eastAsia="zh-CN"/>
        </w:rPr>
        <w:t>30</w:t>
      </w:r>
      <w:r>
        <w:rPr>
          <w:rFonts w:hint="eastAsia" w:asciiTheme="minorEastAsia" w:hAnsiTheme="minorEastAsia" w:cstheme="minorEastAsia"/>
          <w:color w:val="FF0000"/>
          <w:kern w:val="0"/>
          <w:sz w:val="24"/>
          <w:szCs w:val="24"/>
          <w:u w:val="single"/>
        </w:rPr>
        <w:t xml:space="preserve">  </w:t>
      </w:r>
      <w:r>
        <w:rPr>
          <w:rFonts w:hint="eastAsia" w:asciiTheme="minorEastAsia" w:hAnsiTheme="minorEastAsia" w:cstheme="minorEastAsia"/>
          <w:color w:val="FF0000"/>
          <w:kern w:val="0"/>
          <w:sz w:val="24"/>
          <w:szCs w:val="24"/>
        </w:rPr>
        <w:t>分</w:t>
      </w:r>
      <w:r>
        <w:rPr>
          <w:rFonts w:hint="eastAsia" w:asciiTheme="minorEastAsia" w:hAnsiTheme="minorEastAsia" w:cstheme="minorEastAsia"/>
          <w:kern w:val="0"/>
          <w:sz w:val="24"/>
          <w:szCs w:val="24"/>
        </w:rPr>
        <w:t>（即开标时间）前不得开启</w:t>
      </w:r>
    </w:p>
    <w:p>
      <w:pPr>
        <w:widowControl/>
        <w:adjustRightInd w:val="0"/>
        <w:snapToGrid w:val="0"/>
        <w:spacing w:line="320" w:lineRule="exact"/>
        <w:rPr>
          <w:rFonts w:asciiTheme="minorEastAsia" w:hAnsiTheme="minorEastAsia" w:cstheme="minorEastAsia"/>
          <w:b/>
          <w:bCs/>
          <w:kern w:val="0"/>
          <w:sz w:val="24"/>
          <w:szCs w:val="24"/>
        </w:rPr>
      </w:pPr>
      <w:r>
        <w:rPr>
          <w:rFonts w:hint="eastAsia" w:asciiTheme="minorEastAsia" w:hAnsiTheme="minorEastAsia" w:cstheme="minorEastAsia"/>
          <w:b/>
          <w:bCs/>
          <w:kern w:val="0"/>
          <w:sz w:val="24"/>
          <w:szCs w:val="24"/>
        </w:rPr>
        <w:t>七、开标</w:t>
      </w:r>
    </w:p>
    <w:p>
      <w:pPr>
        <w:autoSpaceDE w:val="0"/>
        <w:autoSpaceDN w:val="0"/>
        <w:adjustRightInd w:val="0"/>
        <w:snapToGrid w:val="0"/>
        <w:rPr>
          <w:rFonts w:asciiTheme="minorEastAsia" w:hAnsiTheme="minorEastAsia" w:cstheme="minorEastAsia"/>
          <w:kern w:val="0"/>
          <w:sz w:val="24"/>
          <w:szCs w:val="24"/>
        </w:rPr>
      </w:pPr>
      <w:r>
        <w:rPr>
          <w:rFonts w:hint="eastAsia" w:asciiTheme="minorEastAsia" w:hAnsiTheme="minorEastAsia" w:cstheme="minorEastAsia"/>
          <w:kern w:val="0"/>
          <w:sz w:val="24"/>
          <w:szCs w:val="24"/>
        </w:rPr>
        <w:t xml:space="preserve">   （1）开标时间同投标截止时间，开标地点为</w:t>
      </w:r>
      <w:r>
        <w:rPr>
          <w:rFonts w:hint="eastAsia" w:asciiTheme="minorEastAsia" w:hAnsiTheme="minorEastAsia" w:cstheme="minorEastAsia"/>
          <w:b/>
          <w:sz w:val="24"/>
          <w:szCs w:val="24"/>
        </w:rPr>
        <w:t>杭州萧山国际机场翔越路综合服务楼园区招标中心。</w:t>
      </w:r>
      <w:bookmarkStart w:id="30" w:name="_GoBack"/>
      <w:bookmarkEnd w:id="30"/>
    </w:p>
    <w:p>
      <w:pPr>
        <w:widowControl/>
        <w:adjustRightInd w:val="0"/>
        <w:snapToGrid w:val="0"/>
        <w:spacing w:line="320" w:lineRule="exact"/>
        <w:rPr>
          <w:rFonts w:asciiTheme="minorEastAsia" w:hAnsiTheme="minorEastAsia" w:cstheme="minorEastAsia"/>
          <w:kern w:val="0"/>
          <w:sz w:val="24"/>
          <w:szCs w:val="24"/>
        </w:rPr>
      </w:pPr>
      <w:r>
        <w:rPr>
          <w:rFonts w:hint="eastAsia" w:asciiTheme="minorEastAsia" w:hAnsiTheme="minorEastAsia" w:cstheme="minorEastAsia"/>
          <w:kern w:val="0"/>
          <w:sz w:val="24"/>
          <w:szCs w:val="24"/>
        </w:rPr>
        <w:t xml:space="preserve">   （2）由投标人或者其集体推选的代表检查投标文件的密封情况，开标顺序按照后送达先开的顺序。</w:t>
      </w:r>
    </w:p>
    <w:p>
      <w:pPr>
        <w:widowControl/>
        <w:numPr>
          <w:ilvl w:val="0"/>
          <w:numId w:val="3"/>
        </w:numPr>
        <w:adjustRightInd w:val="0"/>
        <w:snapToGrid w:val="0"/>
        <w:spacing w:line="320" w:lineRule="exact"/>
        <w:rPr>
          <w:rFonts w:asciiTheme="minorEastAsia" w:hAnsiTheme="minorEastAsia" w:cstheme="minorEastAsia"/>
          <w:b/>
          <w:bCs/>
          <w:kern w:val="0"/>
          <w:sz w:val="24"/>
          <w:szCs w:val="24"/>
        </w:rPr>
      </w:pPr>
      <w:r>
        <w:rPr>
          <w:rFonts w:hint="eastAsia" w:asciiTheme="minorEastAsia" w:hAnsiTheme="minorEastAsia" w:cstheme="minorEastAsia"/>
          <w:b/>
          <w:bCs/>
          <w:kern w:val="0"/>
          <w:sz w:val="24"/>
          <w:szCs w:val="24"/>
        </w:rPr>
        <w:t>其他说明</w:t>
      </w:r>
    </w:p>
    <w:p>
      <w:pPr>
        <w:widowControl/>
        <w:adjustRightInd w:val="0"/>
        <w:snapToGrid w:val="0"/>
        <w:spacing w:line="320" w:lineRule="exact"/>
        <w:rPr>
          <w:rFonts w:asciiTheme="minorEastAsia" w:hAnsiTheme="minorEastAsia" w:cstheme="minorEastAsia"/>
          <w:b/>
          <w:bCs/>
          <w:kern w:val="0"/>
          <w:sz w:val="24"/>
          <w:szCs w:val="24"/>
        </w:rPr>
      </w:pPr>
      <w:r>
        <w:rPr>
          <w:rFonts w:hint="eastAsia" w:asciiTheme="minorEastAsia" w:hAnsiTheme="minorEastAsia" w:cstheme="minorEastAsia"/>
          <w:b/>
          <w:bCs/>
          <w:kern w:val="0"/>
          <w:sz w:val="24"/>
          <w:szCs w:val="24"/>
        </w:rPr>
        <w:t xml:space="preserve">    </w:t>
      </w:r>
      <w:r>
        <w:rPr>
          <w:rFonts w:hint="eastAsia" w:asciiTheme="minorEastAsia" w:hAnsiTheme="minorEastAsia" w:cstheme="minorEastAsia"/>
          <w:kern w:val="0"/>
          <w:sz w:val="24"/>
          <w:szCs w:val="24"/>
        </w:rPr>
        <w:t>（1）采取公开招标和资格后审。</w:t>
      </w:r>
    </w:p>
    <w:p>
      <w:pPr>
        <w:widowControl/>
        <w:adjustRightInd w:val="0"/>
        <w:snapToGrid w:val="0"/>
        <w:spacing w:line="320" w:lineRule="exact"/>
        <w:rPr>
          <w:rFonts w:asciiTheme="minorEastAsia" w:hAnsiTheme="minorEastAsia" w:cstheme="minorEastAsia"/>
          <w:kern w:val="0"/>
          <w:sz w:val="24"/>
          <w:szCs w:val="24"/>
        </w:rPr>
      </w:pPr>
      <w:r>
        <w:rPr>
          <w:rFonts w:hint="eastAsia" w:asciiTheme="minorEastAsia" w:hAnsiTheme="minorEastAsia" w:cstheme="minorEastAsia"/>
          <w:b/>
          <w:bCs/>
          <w:kern w:val="0"/>
          <w:sz w:val="24"/>
          <w:szCs w:val="24"/>
        </w:rPr>
        <w:t xml:space="preserve">    </w:t>
      </w:r>
      <w:r>
        <w:rPr>
          <w:rFonts w:hint="eastAsia" w:asciiTheme="minorEastAsia" w:hAnsiTheme="minorEastAsia" w:cstheme="minorEastAsia"/>
          <w:kern w:val="0"/>
          <w:sz w:val="24"/>
          <w:szCs w:val="24"/>
        </w:rPr>
        <w:t>（1）评标委员会由3人及以上单数构成；</w:t>
      </w:r>
    </w:p>
    <w:p>
      <w:pPr>
        <w:widowControl/>
        <w:adjustRightInd w:val="0"/>
        <w:snapToGrid w:val="0"/>
        <w:spacing w:line="320" w:lineRule="exact"/>
        <w:rPr>
          <w:rFonts w:asciiTheme="minorEastAsia" w:hAnsiTheme="minorEastAsia" w:cstheme="minorEastAsia"/>
          <w:kern w:val="0"/>
          <w:sz w:val="24"/>
          <w:szCs w:val="24"/>
        </w:rPr>
      </w:pPr>
      <w:r>
        <w:rPr>
          <w:rFonts w:hint="eastAsia" w:asciiTheme="minorEastAsia" w:hAnsiTheme="minorEastAsia" w:cstheme="minorEastAsia"/>
          <w:kern w:val="0"/>
          <w:sz w:val="24"/>
          <w:szCs w:val="24"/>
        </w:rPr>
        <w:t xml:space="preserve">    （2）评标委员会成员招标人自行组建。</w:t>
      </w:r>
    </w:p>
    <w:p>
      <w:pPr>
        <w:widowControl/>
        <w:adjustRightInd w:val="0"/>
        <w:snapToGrid w:val="0"/>
        <w:spacing w:line="320" w:lineRule="exact"/>
        <w:ind w:firstLine="480" w:firstLineChars="200"/>
      </w:pPr>
      <w:r>
        <w:rPr>
          <w:rFonts w:hint="eastAsia" w:asciiTheme="minorEastAsia" w:hAnsiTheme="minorEastAsia" w:cstheme="minorEastAsia"/>
          <w:kern w:val="0"/>
          <w:sz w:val="24"/>
          <w:szCs w:val="24"/>
        </w:rPr>
        <w:t>（3）评标委员会推荐的中标候选人数：1人。</w:t>
      </w:r>
    </w:p>
    <w:p>
      <w:pPr>
        <w:pStyle w:val="9"/>
        <w:jc w:val="both"/>
        <w:rPr>
          <w:rFonts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 xml:space="preserve">    </w:t>
      </w:r>
      <w:bookmarkStart w:id="4" w:name="_Toc3775"/>
      <w:bookmarkStart w:id="5" w:name="_Toc19218"/>
      <w:r>
        <w:rPr>
          <w:rFonts w:hint="eastAsia" w:asciiTheme="minorEastAsia" w:hAnsiTheme="minorEastAsia" w:eastAsiaTheme="minorEastAsia" w:cstheme="minorEastAsia"/>
          <w:b w:val="0"/>
          <w:bCs w:val="0"/>
          <w:sz w:val="24"/>
          <w:szCs w:val="24"/>
        </w:rPr>
        <w:t>（4）</w:t>
      </w:r>
      <w:bookmarkEnd w:id="4"/>
      <w:bookmarkEnd w:id="5"/>
      <w:r>
        <w:rPr>
          <w:rFonts w:hint="eastAsia" w:asciiTheme="minorEastAsia" w:hAnsiTheme="minorEastAsia" w:eastAsiaTheme="minorEastAsia" w:cstheme="minorEastAsia"/>
          <w:b w:val="0"/>
          <w:bCs w:val="0"/>
          <w:sz w:val="24"/>
          <w:szCs w:val="24"/>
        </w:rPr>
        <w:t>本次评标采用综合评估法推荐中标候选人。</w:t>
      </w:r>
    </w:p>
    <w:p>
      <w:pPr>
        <w:widowControl/>
        <w:snapToGrid w:val="0"/>
        <w:spacing w:line="320" w:lineRule="exact"/>
        <w:jc w:val="left"/>
        <w:rPr>
          <w:rFonts w:asciiTheme="minorEastAsia" w:hAnsiTheme="minorEastAsia" w:cstheme="minorEastAsia"/>
          <w:b/>
          <w:bCs/>
          <w:kern w:val="0"/>
          <w:sz w:val="24"/>
          <w:szCs w:val="24"/>
        </w:rPr>
      </w:pPr>
      <w:r>
        <w:rPr>
          <w:rFonts w:hint="eastAsia" w:asciiTheme="minorEastAsia" w:hAnsiTheme="minorEastAsia" w:cstheme="minorEastAsia"/>
          <w:b/>
          <w:bCs/>
          <w:kern w:val="0"/>
          <w:sz w:val="24"/>
          <w:szCs w:val="24"/>
        </w:rPr>
        <w:t>九、发布公告的媒介</w:t>
      </w:r>
    </w:p>
    <w:p>
      <w:pPr>
        <w:snapToGrid w:val="0"/>
        <w:spacing w:line="320" w:lineRule="exact"/>
        <w:ind w:firstLine="480" w:firstLineChars="200"/>
        <w:rPr>
          <w:rFonts w:ascii="宋体" w:hAnsi="宋体" w:eastAsia="宋体" w:cs="宋体"/>
          <w:sz w:val="24"/>
          <w:szCs w:val="24"/>
        </w:rPr>
      </w:pPr>
      <w:r>
        <w:rPr>
          <w:rFonts w:hint="eastAsia" w:ascii="宋体" w:hAnsi="宋体" w:eastAsia="宋体" w:cs="宋体"/>
          <w:sz w:val="24"/>
          <w:szCs w:val="24"/>
        </w:rPr>
        <w:t>本次招标公告在杭州萧山机场有限公司主页http://www.hzairport.com上进行发布。</w:t>
      </w:r>
    </w:p>
    <w:p>
      <w:pPr>
        <w:widowControl/>
        <w:snapToGrid w:val="0"/>
        <w:spacing w:line="320" w:lineRule="exact"/>
        <w:jc w:val="left"/>
        <w:rPr>
          <w:rFonts w:ascii="宋体" w:hAnsi="宋体" w:eastAsia="宋体" w:cs="宋体"/>
          <w:b/>
          <w:bCs/>
          <w:kern w:val="0"/>
          <w:sz w:val="24"/>
          <w:szCs w:val="24"/>
        </w:rPr>
      </w:pPr>
      <w:r>
        <w:rPr>
          <w:rFonts w:hint="eastAsia" w:ascii="宋体" w:hAnsi="宋体" w:eastAsia="宋体" w:cs="宋体"/>
          <w:b/>
          <w:bCs/>
          <w:kern w:val="0"/>
          <w:sz w:val="24"/>
          <w:szCs w:val="24"/>
        </w:rPr>
        <w:t>十、联系方式</w:t>
      </w:r>
    </w:p>
    <w:p>
      <w:pPr>
        <w:widowControl/>
        <w:snapToGrid w:val="0"/>
        <w:spacing w:line="360" w:lineRule="exact"/>
        <w:ind w:firstLine="480" w:firstLineChars="200"/>
        <w:jc w:val="left"/>
        <w:rPr>
          <w:rFonts w:ascii="宋体" w:hAnsi="宋体" w:eastAsia="宋体" w:cs="宋体"/>
          <w:sz w:val="24"/>
          <w:szCs w:val="24"/>
        </w:rPr>
      </w:pPr>
      <w:r>
        <w:rPr>
          <w:rFonts w:hint="eastAsia" w:ascii="宋体" w:hAnsi="宋体" w:eastAsia="宋体" w:cs="宋体"/>
          <w:sz w:val="24"/>
          <w:szCs w:val="24"/>
        </w:rPr>
        <w:t xml:space="preserve">投标联系人：吴淼清        联系电话：0571-86662348 </w:t>
      </w:r>
    </w:p>
    <w:p>
      <w:pPr>
        <w:widowControl/>
        <w:snapToGrid w:val="0"/>
        <w:spacing w:line="360" w:lineRule="exact"/>
        <w:ind w:firstLine="480" w:firstLineChars="200"/>
        <w:jc w:val="left"/>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监督联系人：闻晓丽        联系电话：0571-86662361</w:t>
      </w:r>
    </w:p>
    <w:p>
      <w:pPr>
        <w:widowControl/>
        <w:snapToGrid w:val="0"/>
        <w:spacing w:line="320" w:lineRule="exact"/>
        <w:ind w:firstLine="480" w:firstLineChars="200"/>
        <w:jc w:val="left"/>
        <w:rPr>
          <w:rFonts w:ascii="宋体" w:hAnsi="宋体" w:eastAsia="宋体" w:cs="宋体"/>
          <w:color w:val="000000" w:themeColor="text1"/>
          <w:sz w:val="24"/>
          <w:szCs w:val="24"/>
          <w14:textFill>
            <w14:solidFill>
              <w14:schemeClr w14:val="tx1"/>
            </w14:solidFill>
          </w14:textFill>
        </w:rPr>
      </w:pPr>
    </w:p>
    <w:p>
      <w:pPr>
        <w:pStyle w:val="9"/>
      </w:pPr>
    </w:p>
    <w:p>
      <w:pPr>
        <w:pStyle w:val="9"/>
      </w:pPr>
    </w:p>
    <w:p/>
    <w:p>
      <w:pPr>
        <w:pStyle w:val="9"/>
      </w:pPr>
    </w:p>
    <w:p>
      <w:pPr>
        <w:pStyle w:val="9"/>
      </w:pPr>
    </w:p>
    <w:p>
      <w:pPr>
        <w:pStyle w:val="9"/>
      </w:pPr>
    </w:p>
    <w:p>
      <w:pPr>
        <w:pStyle w:val="9"/>
      </w:pPr>
    </w:p>
    <w:p>
      <w:pPr>
        <w:pStyle w:val="9"/>
      </w:pPr>
    </w:p>
    <w:p>
      <w:pPr>
        <w:pStyle w:val="9"/>
      </w:pPr>
    </w:p>
    <w:p>
      <w:pPr>
        <w:pStyle w:val="9"/>
      </w:pPr>
    </w:p>
    <w:p>
      <w:pPr>
        <w:pStyle w:val="9"/>
      </w:pPr>
    </w:p>
    <w:p>
      <w:pPr>
        <w:pStyle w:val="9"/>
      </w:pPr>
    </w:p>
    <w:p>
      <w:pPr>
        <w:pStyle w:val="9"/>
      </w:pPr>
    </w:p>
    <w:p>
      <w:pPr>
        <w:pStyle w:val="9"/>
      </w:pPr>
    </w:p>
    <w:p>
      <w:pPr>
        <w:pStyle w:val="9"/>
      </w:pPr>
    </w:p>
    <w:p/>
    <w:p>
      <w:pPr>
        <w:pStyle w:val="9"/>
        <w:keepNext/>
        <w:pageBreakBefore/>
        <w:jc w:val="both"/>
      </w:pPr>
    </w:p>
    <w:bookmarkEnd w:id="2"/>
    <w:bookmarkEnd w:id="3"/>
    <w:p>
      <w:pPr>
        <w:pStyle w:val="9"/>
      </w:pPr>
      <w:bookmarkStart w:id="6" w:name="_Toc27752"/>
      <w:bookmarkStart w:id="7" w:name="_Toc448097404"/>
      <w:bookmarkStart w:id="8" w:name="_Toc24237"/>
      <w:r>
        <w:t>第</w:t>
      </w:r>
      <w:r>
        <w:rPr>
          <w:rFonts w:hint="eastAsia"/>
        </w:rPr>
        <w:t>二</w:t>
      </w:r>
      <w:r>
        <w:t xml:space="preserve">章  </w:t>
      </w:r>
      <w:r>
        <w:rPr>
          <w:rFonts w:hint="eastAsia"/>
        </w:rPr>
        <w:t>评标办法</w:t>
      </w:r>
      <w:bookmarkEnd w:id="6"/>
    </w:p>
    <w:p>
      <w:pPr>
        <w:autoSpaceDE w:val="0"/>
        <w:autoSpaceDN w:val="0"/>
        <w:adjustRightInd w:val="0"/>
        <w:spacing w:before="3" w:line="100" w:lineRule="exact"/>
        <w:jc w:val="left"/>
        <w:rPr>
          <w:rFonts w:ascii="微软雅黑" w:hAnsi="Times New Roman" w:cs="微软雅黑"/>
          <w:kern w:val="0"/>
          <w:sz w:val="10"/>
          <w:szCs w:val="10"/>
        </w:rPr>
      </w:pPr>
      <w:bookmarkStart w:id="9" w:name="_Toc31578"/>
    </w:p>
    <w:bookmarkEnd w:id="9"/>
    <w:p>
      <w:pPr>
        <w:adjustRightInd w:val="0"/>
        <w:snapToGrid w:val="0"/>
        <w:spacing w:line="360" w:lineRule="exact"/>
        <w:ind w:firstLine="440" w:firstLineChars="200"/>
        <w:rPr>
          <w:rFonts w:ascii="宋体" w:hAnsi="宋体" w:cs="宋体"/>
          <w:sz w:val="22"/>
        </w:rPr>
      </w:pPr>
      <w:r>
        <w:rPr>
          <w:rFonts w:hint="eastAsia" w:ascii="宋体" w:hAnsi="宋体" w:cs="宋体"/>
          <w:sz w:val="22"/>
        </w:rPr>
        <w:t>根据《中华人民共和国招标投标法》、《中华人民共和国招标投标法实施条例》等有关规定，制定本办法。</w:t>
      </w:r>
    </w:p>
    <w:p>
      <w:pPr>
        <w:snapToGrid w:val="0"/>
        <w:spacing w:line="360" w:lineRule="exact"/>
        <w:ind w:firstLine="433" w:firstLineChars="196"/>
        <w:rPr>
          <w:rFonts w:ascii="宋体" w:hAnsi="宋体" w:cs="宋体"/>
          <w:b/>
          <w:kern w:val="0"/>
          <w:sz w:val="22"/>
        </w:rPr>
      </w:pPr>
      <w:r>
        <w:rPr>
          <w:rFonts w:hint="eastAsia" w:ascii="宋体" w:hAnsi="宋体" w:cs="宋体"/>
          <w:b/>
          <w:kern w:val="0"/>
          <w:sz w:val="22"/>
        </w:rPr>
        <w:t>一、评标原则</w:t>
      </w:r>
    </w:p>
    <w:p>
      <w:pPr>
        <w:snapToGrid w:val="0"/>
        <w:spacing w:line="360" w:lineRule="exact"/>
        <w:ind w:firstLine="440" w:firstLineChars="200"/>
        <w:rPr>
          <w:rFonts w:ascii="宋体" w:hAnsi="宋体" w:cs="宋体"/>
          <w:kern w:val="0"/>
          <w:sz w:val="22"/>
        </w:rPr>
      </w:pPr>
      <w:r>
        <w:rPr>
          <w:rFonts w:hint="eastAsia" w:ascii="宋体" w:hAnsi="宋体" w:cs="宋体"/>
          <w:kern w:val="0"/>
          <w:sz w:val="22"/>
        </w:rPr>
        <w:t>评标应遵循公平、公正、科学、择优的原则。</w:t>
      </w:r>
    </w:p>
    <w:p>
      <w:pPr>
        <w:snapToGrid w:val="0"/>
        <w:spacing w:line="360" w:lineRule="exact"/>
        <w:ind w:firstLine="442" w:firstLineChars="200"/>
        <w:rPr>
          <w:rFonts w:ascii="宋体" w:hAnsi="宋体" w:cs="宋体"/>
          <w:b/>
          <w:kern w:val="0"/>
          <w:sz w:val="22"/>
        </w:rPr>
      </w:pPr>
      <w:r>
        <w:rPr>
          <w:rFonts w:hint="eastAsia" w:ascii="宋体" w:hAnsi="宋体" w:cs="宋体"/>
          <w:b/>
          <w:kern w:val="0"/>
          <w:sz w:val="22"/>
        </w:rPr>
        <w:t>二、评标组织</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评标工作由招标人依法组建的评标委员会负责。</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评标委员会应当按照招标文件确定的评标标准和方法，客观、公正对投标文件进行评审和比较，招标文件没有规定的评标标准和方法不得作为评标的依据。</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评标委员会对投标文件作出的评审结论，应当符合有关法律、法规、规章和招标文件的规定。</w:t>
      </w:r>
    </w:p>
    <w:p>
      <w:pPr>
        <w:adjustRightInd w:val="0"/>
        <w:snapToGrid w:val="0"/>
        <w:spacing w:line="360" w:lineRule="exact"/>
        <w:ind w:firstLine="440" w:firstLineChars="200"/>
        <w:rPr>
          <w:rFonts w:ascii="宋体" w:hAnsi="宋体" w:cs="宋体"/>
          <w:sz w:val="22"/>
        </w:rPr>
      </w:pPr>
      <w:bookmarkStart w:id="10" w:name="_Hlk47377016"/>
      <w:r>
        <w:rPr>
          <w:rFonts w:hint="eastAsia" w:ascii="宋体" w:hAnsi="宋体" w:cs="宋体"/>
          <w:sz w:val="22"/>
        </w:rPr>
        <w:t>在任何评标环节中，评标委员会就某项定性的评审结论意见不一致的，由评标委员会全体成员按照少数服从多数的原则，以记名投票方式表决。</w:t>
      </w:r>
      <w:bookmarkEnd w:id="10"/>
    </w:p>
    <w:p>
      <w:pPr>
        <w:snapToGrid w:val="0"/>
        <w:spacing w:line="360" w:lineRule="exact"/>
        <w:ind w:firstLine="442" w:firstLineChars="200"/>
        <w:rPr>
          <w:rFonts w:ascii="宋体" w:hAnsi="宋体" w:cs="宋体"/>
          <w:b/>
          <w:kern w:val="0"/>
          <w:sz w:val="22"/>
        </w:rPr>
      </w:pPr>
      <w:r>
        <w:rPr>
          <w:rFonts w:hint="eastAsia" w:ascii="宋体" w:hAnsi="宋体" w:cs="宋体"/>
          <w:b/>
          <w:kern w:val="0"/>
          <w:sz w:val="22"/>
        </w:rPr>
        <w:t>三、评标程序和内容</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(一)熟悉招标文件和评标办法；</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(二)投标文件的符合性评审；</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(三)投标文件的技术评审；</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(四)投标文件的商务评审；</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(五)必要时对投标文件中的问题进行询标；</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(六)根据评标办法和标准计算综合得分；</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(七)对投标人进行排序，推荐中标候选人，完成评标报告。</w:t>
      </w:r>
    </w:p>
    <w:p>
      <w:pPr>
        <w:adjustRightInd w:val="0"/>
        <w:snapToGrid w:val="0"/>
        <w:spacing w:line="360" w:lineRule="exact"/>
        <w:ind w:firstLine="442" w:firstLineChars="200"/>
        <w:rPr>
          <w:rFonts w:ascii="宋体" w:hAnsi="宋体" w:cs="宋体"/>
          <w:b/>
          <w:sz w:val="22"/>
        </w:rPr>
      </w:pPr>
      <w:r>
        <w:rPr>
          <w:rFonts w:hint="eastAsia" w:ascii="宋体" w:hAnsi="宋体" w:cs="宋体"/>
          <w:b/>
          <w:sz w:val="22"/>
        </w:rPr>
        <w:t>四、评审细则</w:t>
      </w:r>
    </w:p>
    <w:p>
      <w:pPr>
        <w:adjustRightInd w:val="0"/>
        <w:snapToGrid w:val="0"/>
        <w:spacing w:line="360" w:lineRule="exact"/>
        <w:ind w:firstLine="442" w:firstLineChars="200"/>
        <w:rPr>
          <w:rFonts w:ascii="宋体" w:hAnsi="宋体" w:cs="宋体"/>
          <w:b/>
          <w:sz w:val="22"/>
        </w:rPr>
      </w:pPr>
      <w:r>
        <w:rPr>
          <w:rFonts w:hint="eastAsia" w:ascii="宋体" w:hAnsi="宋体" w:cs="宋体"/>
          <w:b/>
          <w:sz w:val="22"/>
        </w:rPr>
        <w:t>(一)符合性评审</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评标委员会应依照招标文件的要求和规定首先对投标人的投标资格和投标文件进行符合性评审，</w:t>
      </w:r>
      <w:r>
        <w:rPr>
          <w:rFonts w:hint="eastAsia" w:ascii="宋体" w:hAnsi="宋体" w:cs="宋体"/>
          <w:b/>
          <w:sz w:val="22"/>
        </w:rPr>
        <w:t>审查过程中评标委员会可以要求投标人提交有关证明和证件的原件，以便核验。</w:t>
      </w:r>
      <w:bookmarkStart w:id="11" w:name="_Hlk47377053"/>
      <w:r>
        <w:rPr>
          <w:rFonts w:hint="eastAsia" w:ascii="宋体" w:hAnsi="宋体" w:cs="宋体"/>
          <w:sz w:val="22"/>
        </w:rPr>
        <w:t>经评标委员会</w:t>
      </w:r>
      <w:bookmarkStart w:id="12" w:name="_Hlk47446073"/>
      <w:r>
        <w:rPr>
          <w:rFonts w:hint="eastAsia" w:ascii="宋体" w:hAnsi="宋体" w:cs="宋体"/>
          <w:sz w:val="22"/>
        </w:rPr>
        <w:t>评审后，符合性审查不予通过，不再进行下一步评审</w:t>
      </w:r>
      <w:bookmarkEnd w:id="12"/>
      <w:r>
        <w:rPr>
          <w:rFonts w:hint="eastAsia" w:ascii="宋体" w:hAnsi="宋体" w:cs="宋体"/>
          <w:sz w:val="22"/>
        </w:rPr>
        <w:t>。</w:t>
      </w:r>
      <w:bookmarkEnd w:id="11"/>
    </w:p>
    <w:p>
      <w:pPr>
        <w:adjustRightInd w:val="0"/>
        <w:snapToGrid w:val="0"/>
        <w:spacing w:line="360" w:lineRule="exact"/>
        <w:ind w:firstLine="440" w:firstLineChars="200"/>
        <w:rPr>
          <w:rFonts w:ascii="宋体" w:hAnsi="宋体" w:cs="宋体"/>
          <w:sz w:val="22"/>
        </w:rPr>
      </w:pPr>
      <w:r>
        <w:rPr>
          <w:rFonts w:hint="eastAsia" w:ascii="宋体" w:hAnsi="宋体" w:cs="宋体"/>
          <w:sz w:val="22"/>
        </w:rPr>
        <w:t>在评标过程中，评标委员会发现投标人的报价明显低于其他投标报价，使得其投标报价可能低于其个别成本的，应当要求该投标人作出书面说明并提供相关证明材料。投标人不能合理说明或者不能提供相关证明材料的，由评标委员会认定该投标人以低于成本报价竞标，应当否决其投标。</w:t>
      </w:r>
    </w:p>
    <w:p>
      <w:pPr>
        <w:adjustRightInd w:val="0"/>
        <w:snapToGrid w:val="0"/>
        <w:spacing w:line="360" w:lineRule="exact"/>
        <w:ind w:firstLine="442" w:firstLineChars="200"/>
        <w:rPr>
          <w:rFonts w:ascii="宋体" w:hAnsi="宋体" w:cs="宋体"/>
          <w:b/>
          <w:sz w:val="22"/>
        </w:rPr>
      </w:pPr>
      <w:r>
        <w:rPr>
          <w:rFonts w:hint="eastAsia" w:ascii="宋体" w:hAnsi="宋体" w:cs="宋体"/>
          <w:b/>
          <w:sz w:val="22"/>
        </w:rPr>
        <w:t>(二)询标</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(1)投标文件中有含义不明确的内容、明显文字或计算错误，评标委员会认为需要投标人作出必要澄清、说明的，应当组织询标。</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(2)投标人所留联系方式无法联系上、在规定的时限内投标人不参加询标或不予答复的，</w:t>
      </w:r>
      <w:r>
        <w:rPr>
          <w:rFonts w:ascii="宋体" w:hAnsi="宋体" w:cs="宋体"/>
          <w:sz w:val="22"/>
        </w:rPr>
        <w:t>投标人</w:t>
      </w:r>
      <w:r>
        <w:rPr>
          <w:rFonts w:hint="eastAsia" w:ascii="宋体" w:hAnsi="宋体" w:cs="宋体"/>
          <w:sz w:val="22"/>
        </w:rPr>
        <w:t>自行承担</w:t>
      </w:r>
      <w:r>
        <w:rPr>
          <w:rFonts w:ascii="宋体" w:hAnsi="宋体" w:cs="宋体"/>
          <w:sz w:val="22"/>
        </w:rPr>
        <w:t>放弃询</w:t>
      </w:r>
      <w:r>
        <w:rPr>
          <w:rFonts w:hint="eastAsia" w:ascii="宋体" w:hAnsi="宋体" w:cs="宋体"/>
          <w:sz w:val="22"/>
        </w:rPr>
        <w:t>标</w:t>
      </w:r>
      <w:r>
        <w:rPr>
          <w:rFonts w:ascii="宋体" w:hAnsi="宋体" w:cs="宋体"/>
          <w:sz w:val="22"/>
        </w:rPr>
        <w:t>机会的</w:t>
      </w:r>
      <w:r>
        <w:rPr>
          <w:rFonts w:hint="eastAsia" w:ascii="宋体" w:hAnsi="宋体" w:cs="宋体"/>
          <w:sz w:val="22"/>
        </w:rPr>
        <w:t>后果。</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(3)询标问题及投标人的澄清、说明不得超出投标文件的范围或者改变投标文件的实质性内容。</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(4)评标委员会不得暗示或者诱导投标人作出澄清、说明，不得接受投标人主动提出的澄清、说明。</w:t>
      </w:r>
    </w:p>
    <w:p>
      <w:pPr>
        <w:adjustRightInd w:val="0"/>
        <w:snapToGrid w:val="0"/>
        <w:spacing w:line="360" w:lineRule="exact"/>
        <w:ind w:firstLine="442" w:firstLineChars="200"/>
        <w:rPr>
          <w:rFonts w:ascii="宋体" w:hAnsi="宋体" w:cs="宋体"/>
          <w:b/>
          <w:sz w:val="22"/>
        </w:rPr>
      </w:pPr>
      <w:r>
        <w:rPr>
          <w:rFonts w:hint="eastAsia" w:ascii="宋体" w:hAnsi="宋体" w:cs="宋体"/>
          <w:b/>
          <w:sz w:val="22"/>
        </w:rPr>
        <w:t>(三)错误的修正</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投标报价中用数字表示的数额与用文字表示的数额不一致时，一律以投标函中用文字表示的投标报价为准，计算商务分时不作调整。</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当投标函中的投标报价与投标报价表中的投标报价不一致，或投标报价表中存在计算错误，或</w:t>
      </w:r>
      <w:r>
        <w:rPr>
          <w:rFonts w:ascii="宋体" w:hAnsi="宋体" w:cs="宋体"/>
          <w:sz w:val="22"/>
        </w:rPr>
        <w:t>投标函载明的</w:t>
      </w:r>
      <w:r>
        <w:rPr>
          <w:rFonts w:hint="eastAsia" w:ascii="宋体" w:hAnsi="宋体" w:cs="宋体"/>
          <w:sz w:val="22"/>
        </w:rPr>
        <w:t>大写数额</w:t>
      </w:r>
      <w:r>
        <w:rPr>
          <w:rFonts w:ascii="宋体" w:hAnsi="宋体" w:cs="宋体"/>
          <w:sz w:val="22"/>
        </w:rPr>
        <w:t>有明显错误</w:t>
      </w:r>
      <w:r>
        <w:rPr>
          <w:rFonts w:hint="eastAsia" w:ascii="宋体" w:hAnsi="宋体" w:cs="宋体"/>
          <w:sz w:val="22"/>
        </w:rPr>
        <w:t>，或投标报价存在其他错误时，评标委员会按有利于招标人的原则对投标报价进行修正，投标人必须书面确认修正价格，承诺如中标接受修正价格为合同签约价。投标人不接受修正价格的，其投标作否决处理。</w:t>
      </w:r>
    </w:p>
    <w:p>
      <w:pPr>
        <w:adjustRightInd w:val="0"/>
        <w:snapToGrid w:val="0"/>
        <w:spacing w:line="360" w:lineRule="exact"/>
        <w:ind w:firstLine="442" w:firstLineChars="200"/>
        <w:rPr>
          <w:rFonts w:ascii="宋体" w:hAnsi="宋体" w:cs="宋体"/>
          <w:b/>
          <w:bCs/>
          <w:sz w:val="22"/>
        </w:rPr>
      </w:pPr>
      <w:r>
        <w:rPr>
          <w:rFonts w:hint="eastAsia" w:ascii="宋体" w:hAnsi="宋体" w:cs="宋体"/>
          <w:b/>
          <w:bCs/>
          <w:sz w:val="22"/>
        </w:rPr>
        <w:t>该错误即使在评标阶段未被发现，招标人有权在合同签订前按以上原则对价格进行修正，并按修正后的价格进行签约，投标人不接受修正价格的，将取消其中标候选人或中标人资格。</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当通过符合性评审的单位少于三家时(不包括三家)，应由评标委员会确认是否具有竞争性，如果有竞争性，则评标继续进行。</w:t>
      </w:r>
    </w:p>
    <w:p>
      <w:pPr>
        <w:adjustRightInd w:val="0"/>
        <w:snapToGrid w:val="0"/>
        <w:spacing w:line="360" w:lineRule="exact"/>
        <w:ind w:firstLine="442" w:firstLineChars="200"/>
        <w:rPr>
          <w:rFonts w:ascii="宋体" w:hAnsi="宋体" w:cs="宋体"/>
          <w:b/>
          <w:sz w:val="22"/>
        </w:rPr>
      </w:pPr>
      <w:r>
        <w:rPr>
          <w:rFonts w:hint="eastAsia" w:ascii="宋体" w:hAnsi="宋体" w:cs="宋体"/>
          <w:b/>
          <w:sz w:val="22"/>
        </w:rPr>
        <w:t>(四)评标细则</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本次评标采用</w:t>
      </w:r>
      <w:r>
        <w:rPr>
          <w:rFonts w:hint="eastAsia" w:ascii="宋体" w:hAnsi="宋体" w:cs="宋体"/>
          <w:b/>
          <w:sz w:val="22"/>
        </w:rPr>
        <w:t>综合评估法</w:t>
      </w:r>
      <w:r>
        <w:rPr>
          <w:rFonts w:hint="eastAsia" w:ascii="宋体" w:hAnsi="宋体" w:cs="宋体"/>
          <w:sz w:val="22"/>
        </w:rPr>
        <w:t>，</w:t>
      </w:r>
      <w:bookmarkStart w:id="13" w:name="_Hlk47988709"/>
      <w:r>
        <w:rPr>
          <w:rFonts w:hint="eastAsia" w:ascii="宋体" w:hAnsi="宋体" w:cs="宋体"/>
          <w:sz w:val="22"/>
        </w:rPr>
        <w:t>评标委员会根据评审情况，对技术、商务等方面进行评审。评标委员会根据评审情况，对各投标人的投标文件进行打分。若评标委员会的评分表中计分不在分值范围内的，则该评分表无效。</w:t>
      </w:r>
      <w:bookmarkEnd w:id="13"/>
    </w:p>
    <w:p>
      <w:pPr>
        <w:spacing w:line="360" w:lineRule="exact"/>
        <w:ind w:firstLine="442" w:firstLineChars="200"/>
        <w:rPr>
          <w:rFonts w:ascii="宋体" w:hAnsi="宋体" w:cs="宋体"/>
          <w:b/>
          <w:sz w:val="22"/>
        </w:rPr>
      </w:pPr>
      <w:r>
        <w:rPr>
          <w:rFonts w:hint="eastAsia" w:ascii="宋体" w:hAnsi="宋体" w:cs="宋体"/>
          <w:b/>
          <w:sz w:val="22"/>
        </w:rPr>
        <w:t>1</w:t>
      </w:r>
      <w:r>
        <w:rPr>
          <w:rFonts w:ascii="宋体" w:hAnsi="宋体" w:cs="宋体"/>
          <w:b/>
          <w:sz w:val="22"/>
        </w:rPr>
        <w:t>.</w:t>
      </w:r>
      <w:r>
        <w:rPr>
          <w:rFonts w:hint="eastAsia" w:ascii="宋体" w:hAnsi="宋体" w:cs="宋体"/>
          <w:b/>
          <w:sz w:val="22"/>
        </w:rPr>
        <w:t>投标文件的技术评审(</w:t>
      </w:r>
      <w:r>
        <w:rPr>
          <w:rFonts w:hint="eastAsia" w:ascii="宋体" w:hAnsi="宋体" w:cs="宋体"/>
          <w:b/>
          <w:sz w:val="22"/>
          <w:u w:val="single"/>
        </w:rPr>
        <w:t xml:space="preserve"> 40 </w:t>
      </w:r>
      <w:r>
        <w:rPr>
          <w:rFonts w:ascii="宋体" w:hAnsi="宋体" w:cs="宋体"/>
          <w:b/>
          <w:sz w:val="22"/>
        </w:rPr>
        <w:t>分</w:t>
      </w:r>
      <w:r>
        <w:rPr>
          <w:rFonts w:hint="eastAsia" w:ascii="宋体" w:hAnsi="宋体" w:cs="宋体"/>
          <w:b/>
          <w:sz w:val="22"/>
        </w:rPr>
        <w:t>)</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该评分分值由评标委员会成员独立打分(具体分值设定详见下表)，小数点后保留1位小数。每个投标人的最终技术得分为评标委员会打分的算术平均值(小数点后保留2位，第三位四舍五入)。</w:t>
      </w:r>
    </w:p>
    <w:tbl>
      <w:tblPr>
        <w:tblStyle w:val="12"/>
        <w:tblW w:w="927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38"/>
        <w:gridCol w:w="6586"/>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1838" w:type="dxa"/>
            <w:vAlign w:val="center"/>
          </w:tcPr>
          <w:p>
            <w:pPr>
              <w:adjustRightInd w:val="0"/>
              <w:snapToGrid w:val="0"/>
              <w:jc w:val="center"/>
              <w:rPr>
                <w:rFonts w:ascii="宋体" w:hAnsi="宋体" w:cs="Arial"/>
                <w:b/>
                <w:bCs/>
                <w:sz w:val="22"/>
              </w:rPr>
            </w:pPr>
            <w:r>
              <w:rPr>
                <w:rFonts w:hint="eastAsia" w:ascii="宋体" w:hAnsi="宋体" w:cs="Arial"/>
                <w:b/>
                <w:bCs/>
                <w:sz w:val="22"/>
              </w:rPr>
              <w:t>评分内容</w:t>
            </w:r>
          </w:p>
        </w:tc>
        <w:tc>
          <w:tcPr>
            <w:tcW w:w="6586" w:type="dxa"/>
            <w:vAlign w:val="center"/>
          </w:tcPr>
          <w:p>
            <w:pPr>
              <w:adjustRightInd w:val="0"/>
              <w:snapToGrid w:val="0"/>
              <w:jc w:val="center"/>
              <w:rPr>
                <w:rFonts w:ascii="宋体" w:hAnsi="宋体" w:cs="Arial"/>
                <w:b/>
                <w:bCs/>
                <w:sz w:val="22"/>
              </w:rPr>
            </w:pPr>
            <w:r>
              <w:rPr>
                <w:rFonts w:hint="eastAsia" w:ascii="宋体" w:hAnsi="宋体" w:cs="Arial"/>
                <w:b/>
                <w:bCs/>
                <w:sz w:val="22"/>
              </w:rPr>
              <w:t>评分</w:t>
            </w:r>
            <w:r>
              <w:rPr>
                <w:rFonts w:hint="eastAsia" w:ascii="宋体" w:hAnsi="宋体" w:cs="宋体"/>
                <w:b/>
                <w:bCs/>
                <w:sz w:val="22"/>
              </w:rPr>
              <w:t>标准</w:t>
            </w:r>
          </w:p>
        </w:tc>
        <w:tc>
          <w:tcPr>
            <w:tcW w:w="851" w:type="dxa"/>
            <w:vAlign w:val="center"/>
          </w:tcPr>
          <w:p>
            <w:pPr>
              <w:tabs>
                <w:tab w:val="left" w:pos="1418"/>
              </w:tabs>
              <w:adjustRightInd w:val="0"/>
              <w:snapToGrid w:val="0"/>
              <w:jc w:val="center"/>
              <w:rPr>
                <w:rFonts w:ascii="宋体" w:hAnsi="宋体" w:cs="宋体"/>
                <w:b/>
                <w:bCs/>
                <w:spacing w:val="-6"/>
                <w:kern w:val="0"/>
                <w:sz w:val="22"/>
              </w:rPr>
            </w:pPr>
            <w:r>
              <w:rPr>
                <w:rFonts w:ascii="宋体" w:hAnsi="宋体" w:cs="宋体"/>
                <w:b/>
                <w:bCs/>
                <w:spacing w:val="-6"/>
                <w:kern w:val="0"/>
                <w:sz w:val="22"/>
              </w:rPr>
              <w:t>分值范围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1838" w:type="dxa"/>
            <w:vAlign w:val="center"/>
          </w:tcPr>
          <w:p>
            <w:pPr>
              <w:snapToGrid w:val="0"/>
              <w:jc w:val="left"/>
              <w:rPr>
                <w:rFonts w:ascii="宋体" w:hAnsi="宋体"/>
                <w:sz w:val="22"/>
              </w:rPr>
            </w:pPr>
            <w:r>
              <w:rPr>
                <w:rFonts w:hint="eastAsia" w:ascii="宋体" w:hAnsi="宋体"/>
                <w:sz w:val="22"/>
              </w:rPr>
              <w:t>施工方案与技术措施</w:t>
            </w:r>
          </w:p>
        </w:tc>
        <w:tc>
          <w:tcPr>
            <w:tcW w:w="6586" w:type="dxa"/>
            <w:vAlign w:val="center"/>
          </w:tcPr>
          <w:p>
            <w:pPr>
              <w:snapToGrid w:val="0"/>
              <w:jc w:val="left"/>
              <w:rPr>
                <w:rFonts w:ascii="宋体" w:hAnsi="宋体"/>
                <w:sz w:val="22"/>
              </w:rPr>
            </w:pPr>
            <w:r>
              <w:rPr>
                <w:rFonts w:hint="eastAsia" w:ascii="宋体" w:hAnsi="宋体"/>
                <w:sz w:val="22"/>
              </w:rPr>
              <w:t>施工方案与技术措施内容的完整性、针对性和可行性</w:t>
            </w:r>
            <w:r>
              <w:rPr>
                <w:rFonts w:ascii="宋体" w:hAnsi="宋体"/>
                <w:sz w:val="22"/>
              </w:rPr>
              <w:t>，</w:t>
            </w:r>
            <w:r>
              <w:rPr>
                <w:rFonts w:hint="eastAsia" w:ascii="宋体" w:hAnsi="宋体"/>
                <w:sz w:val="22"/>
                <w:lang w:eastAsia="zh-Hans"/>
              </w:rPr>
              <w:t>特别是针对本项目重点难点部位</w:t>
            </w:r>
            <w:r>
              <w:rPr>
                <w:rFonts w:ascii="宋体" w:hAnsi="宋体"/>
                <w:sz w:val="22"/>
              </w:rPr>
              <w:t>；</w:t>
            </w:r>
            <w:r>
              <w:rPr>
                <w:rFonts w:hint="eastAsia" w:ascii="宋体" w:hAnsi="宋体"/>
                <w:sz w:val="22"/>
              </w:rPr>
              <w:t>各投标文件横向比较，</w:t>
            </w:r>
            <w:r>
              <w:rPr>
                <w:rFonts w:hint="eastAsia" w:ascii="宋体" w:hAnsi="宋体" w:cs="宋体"/>
                <w:szCs w:val="24"/>
              </w:rPr>
              <w:t>优秀的得4.2-6分；良好的2.1-4.2分；一般的得0-2.1分。</w:t>
            </w:r>
          </w:p>
        </w:tc>
        <w:tc>
          <w:tcPr>
            <w:tcW w:w="851" w:type="dxa"/>
            <w:vAlign w:val="center"/>
          </w:tcPr>
          <w:p>
            <w:pPr>
              <w:jc w:val="center"/>
            </w:pPr>
            <w:r>
              <w:rPr>
                <w:rFonts w:hint="eastAsia" w:ascii="宋体" w:hAnsi="宋体" w:cs="宋体"/>
                <w:szCs w:val="24"/>
              </w:rPr>
              <w:t>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1838" w:type="dxa"/>
            <w:vAlign w:val="center"/>
          </w:tcPr>
          <w:p>
            <w:pPr>
              <w:snapToGrid w:val="0"/>
              <w:jc w:val="left"/>
              <w:rPr>
                <w:rFonts w:ascii="宋体" w:hAnsi="宋体"/>
                <w:sz w:val="22"/>
              </w:rPr>
            </w:pPr>
            <w:r>
              <w:rPr>
                <w:rFonts w:hint="eastAsia" w:ascii="宋体" w:hAnsi="宋体"/>
                <w:sz w:val="22"/>
              </w:rPr>
              <w:t>质量管理体系与措施</w:t>
            </w:r>
          </w:p>
        </w:tc>
        <w:tc>
          <w:tcPr>
            <w:tcW w:w="6586" w:type="dxa"/>
            <w:vAlign w:val="center"/>
          </w:tcPr>
          <w:p>
            <w:pPr>
              <w:snapToGrid w:val="0"/>
              <w:jc w:val="left"/>
              <w:rPr>
                <w:rFonts w:ascii="宋体" w:hAnsi="宋体"/>
                <w:sz w:val="22"/>
              </w:rPr>
            </w:pPr>
            <w:r>
              <w:rPr>
                <w:rFonts w:hint="eastAsia" w:ascii="宋体" w:hAnsi="宋体"/>
                <w:sz w:val="22"/>
              </w:rPr>
              <w:t>施工质量的控制和检验手段是否科学、可靠；各投标文件横向比较，</w:t>
            </w:r>
            <w:r>
              <w:rPr>
                <w:rFonts w:hint="eastAsia" w:ascii="宋体" w:hAnsi="宋体" w:cs="宋体"/>
                <w:szCs w:val="24"/>
              </w:rPr>
              <w:t>优秀的得4.2-6分；良好的2.1-4.2分；一般的得0-2.1分。</w:t>
            </w:r>
          </w:p>
        </w:tc>
        <w:tc>
          <w:tcPr>
            <w:tcW w:w="851" w:type="dxa"/>
            <w:vAlign w:val="center"/>
          </w:tcPr>
          <w:p>
            <w:pPr>
              <w:jc w:val="center"/>
            </w:pPr>
            <w:r>
              <w:rPr>
                <w:rFonts w:hint="eastAsia" w:ascii="宋体" w:hAnsi="宋体" w:cs="宋体"/>
                <w:szCs w:val="24"/>
              </w:rPr>
              <w:t>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1838" w:type="dxa"/>
            <w:vAlign w:val="center"/>
          </w:tcPr>
          <w:p>
            <w:pPr>
              <w:snapToGrid w:val="0"/>
              <w:jc w:val="left"/>
              <w:rPr>
                <w:rFonts w:ascii="宋体" w:hAnsi="宋体"/>
                <w:sz w:val="22"/>
              </w:rPr>
            </w:pPr>
            <w:r>
              <w:rPr>
                <w:rFonts w:hint="eastAsia" w:ascii="宋体" w:hAnsi="宋体"/>
                <w:sz w:val="22"/>
              </w:rPr>
              <w:t>安全管理体系与措施</w:t>
            </w:r>
          </w:p>
        </w:tc>
        <w:tc>
          <w:tcPr>
            <w:tcW w:w="6586" w:type="dxa"/>
            <w:vAlign w:val="center"/>
          </w:tcPr>
          <w:p>
            <w:pPr>
              <w:snapToGrid w:val="0"/>
              <w:jc w:val="left"/>
              <w:rPr>
                <w:rFonts w:ascii="宋体" w:hAnsi="宋体"/>
                <w:sz w:val="22"/>
              </w:rPr>
            </w:pPr>
            <w:r>
              <w:rPr>
                <w:rFonts w:hint="eastAsia" w:ascii="宋体" w:hAnsi="宋体"/>
                <w:sz w:val="22"/>
              </w:rPr>
              <w:t>安全、文明施工的保证措施是否科学、到位；由于施工区域靠近机场内隧道，是否采取有效措施避免对过隧道车辆秩序造成影响；夜间施工须避免施工灯光污染，影响飞机滑行的措施；各投标文件横向比较，</w:t>
            </w:r>
            <w:r>
              <w:rPr>
                <w:rFonts w:hint="eastAsia" w:ascii="宋体" w:hAnsi="宋体" w:cs="宋体"/>
                <w:szCs w:val="24"/>
              </w:rPr>
              <w:t>优秀的得4.2-6分；良好的2.1-4.2分；一般的得0-2.1分。</w:t>
            </w:r>
          </w:p>
        </w:tc>
        <w:tc>
          <w:tcPr>
            <w:tcW w:w="851" w:type="dxa"/>
            <w:vAlign w:val="center"/>
          </w:tcPr>
          <w:p>
            <w:pPr>
              <w:jc w:val="center"/>
            </w:pPr>
            <w:r>
              <w:rPr>
                <w:rFonts w:hint="eastAsia" w:ascii="宋体" w:hAnsi="宋体" w:cs="宋体"/>
                <w:szCs w:val="24"/>
              </w:rPr>
              <w:t>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1838" w:type="dxa"/>
            <w:vAlign w:val="center"/>
          </w:tcPr>
          <w:p>
            <w:pPr>
              <w:snapToGrid w:val="0"/>
              <w:jc w:val="left"/>
              <w:rPr>
                <w:rFonts w:ascii="宋体" w:hAnsi="宋体"/>
                <w:sz w:val="22"/>
              </w:rPr>
            </w:pPr>
            <w:r>
              <w:rPr>
                <w:rFonts w:hint="eastAsia" w:ascii="宋体" w:hAnsi="宋体"/>
                <w:sz w:val="22"/>
              </w:rPr>
              <w:t>环境保护管理体系与措施</w:t>
            </w:r>
          </w:p>
        </w:tc>
        <w:tc>
          <w:tcPr>
            <w:tcW w:w="6586" w:type="dxa"/>
            <w:vAlign w:val="center"/>
          </w:tcPr>
          <w:p>
            <w:pPr>
              <w:snapToGrid w:val="0"/>
              <w:jc w:val="left"/>
              <w:rPr>
                <w:rFonts w:ascii="宋体" w:hAnsi="宋体"/>
                <w:sz w:val="22"/>
              </w:rPr>
            </w:pPr>
            <w:r>
              <w:rPr>
                <w:rFonts w:hint="eastAsia" w:ascii="宋体" w:hAnsi="宋体"/>
                <w:sz w:val="22"/>
              </w:rPr>
              <w:t>市政、市容、环保、消防等的保证措施是否科学、到位，由于工程施工位置在机场隔离区，施工单位防止FOD入侵的措施；各投标文件横向比较，</w:t>
            </w:r>
            <w:r>
              <w:rPr>
                <w:rFonts w:hint="eastAsia" w:ascii="宋体" w:hAnsi="宋体" w:cs="宋体"/>
                <w:szCs w:val="24"/>
              </w:rPr>
              <w:t>优秀的得4.2-6分；良好的2.1-4.2分；一般的得0-2.1分。</w:t>
            </w:r>
          </w:p>
        </w:tc>
        <w:tc>
          <w:tcPr>
            <w:tcW w:w="851" w:type="dxa"/>
            <w:vAlign w:val="center"/>
          </w:tcPr>
          <w:p>
            <w:pPr>
              <w:jc w:val="center"/>
            </w:pPr>
            <w:r>
              <w:rPr>
                <w:rFonts w:hint="eastAsia" w:ascii="宋体" w:hAnsi="宋体" w:cs="宋体"/>
                <w:szCs w:val="24"/>
              </w:rPr>
              <w:t>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1838" w:type="dxa"/>
            <w:vAlign w:val="center"/>
          </w:tcPr>
          <w:p>
            <w:pPr>
              <w:snapToGrid w:val="0"/>
              <w:jc w:val="left"/>
              <w:rPr>
                <w:rFonts w:ascii="宋体" w:hAnsi="宋体"/>
                <w:sz w:val="22"/>
              </w:rPr>
            </w:pPr>
            <w:r>
              <w:rPr>
                <w:rFonts w:hint="eastAsia" w:ascii="宋体" w:hAnsi="宋体"/>
                <w:sz w:val="22"/>
              </w:rPr>
              <w:t>工期保证体系及保证措施</w:t>
            </w:r>
          </w:p>
        </w:tc>
        <w:tc>
          <w:tcPr>
            <w:tcW w:w="6586" w:type="dxa"/>
            <w:vAlign w:val="center"/>
          </w:tcPr>
          <w:p>
            <w:pPr>
              <w:snapToGrid w:val="0"/>
              <w:jc w:val="left"/>
              <w:rPr>
                <w:rFonts w:ascii="宋体" w:hAnsi="宋体"/>
                <w:sz w:val="22"/>
              </w:rPr>
            </w:pPr>
            <w:r>
              <w:rPr>
                <w:rFonts w:hint="eastAsia" w:ascii="宋体" w:hAnsi="宋体"/>
                <w:sz w:val="22"/>
              </w:rPr>
              <w:t>工期承诺及施工进度网络计划、关键节点和线路的技术保证措施是否具有针对性和可行性；现场施工不利条件和疫情对施工</w:t>
            </w:r>
            <w:r>
              <w:rPr>
                <w:rFonts w:hint="eastAsia" w:ascii="宋体" w:hAnsi="宋体"/>
                <w:sz w:val="22"/>
                <w:lang w:eastAsia="zh-Hans"/>
              </w:rPr>
              <w:t>工期</w:t>
            </w:r>
            <w:r>
              <w:rPr>
                <w:rFonts w:hint="eastAsia" w:ascii="宋体" w:hAnsi="宋体"/>
                <w:sz w:val="22"/>
              </w:rPr>
              <w:t>带来</w:t>
            </w:r>
            <w:r>
              <w:rPr>
                <w:rFonts w:hint="eastAsia" w:ascii="宋体" w:hAnsi="宋体"/>
                <w:sz w:val="22"/>
                <w:lang w:eastAsia="zh-Hans"/>
              </w:rPr>
              <w:t>的</w:t>
            </w:r>
            <w:r>
              <w:rPr>
                <w:rFonts w:hint="eastAsia" w:ascii="宋体" w:hAnsi="宋体"/>
                <w:sz w:val="22"/>
              </w:rPr>
              <w:t>影响</w:t>
            </w:r>
            <w:r>
              <w:rPr>
                <w:rFonts w:hint="eastAsia" w:ascii="宋体" w:hAnsi="宋体"/>
                <w:sz w:val="22"/>
                <w:lang w:eastAsia="zh-Hans"/>
              </w:rPr>
              <w:t>及</w:t>
            </w:r>
            <w:r>
              <w:rPr>
                <w:rFonts w:hint="eastAsia" w:ascii="宋体" w:hAnsi="宋体"/>
                <w:sz w:val="22"/>
              </w:rPr>
              <w:t>解决办法；配合建设方提请施工相关报批手续；各投标文件横向比较，</w:t>
            </w:r>
            <w:r>
              <w:rPr>
                <w:rFonts w:hint="eastAsia" w:ascii="宋体" w:hAnsi="宋体" w:cs="宋体"/>
                <w:szCs w:val="24"/>
              </w:rPr>
              <w:t>优秀的得4.2-6分；良好的2.1-4.2分；一般的得0-2.1分。</w:t>
            </w:r>
          </w:p>
        </w:tc>
        <w:tc>
          <w:tcPr>
            <w:tcW w:w="851" w:type="dxa"/>
            <w:vAlign w:val="center"/>
          </w:tcPr>
          <w:p>
            <w:pPr>
              <w:jc w:val="center"/>
            </w:pPr>
            <w:r>
              <w:rPr>
                <w:rFonts w:hint="eastAsia" w:ascii="宋体" w:hAnsi="宋体" w:cs="宋体"/>
                <w:szCs w:val="24"/>
              </w:rPr>
              <w:t>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1838" w:type="dxa"/>
            <w:vAlign w:val="center"/>
          </w:tcPr>
          <w:p>
            <w:pPr>
              <w:snapToGrid w:val="0"/>
              <w:jc w:val="left"/>
              <w:rPr>
                <w:rFonts w:ascii="宋体" w:hAnsi="宋体"/>
                <w:sz w:val="22"/>
              </w:rPr>
            </w:pPr>
            <w:r>
              <w:rPr>
                <w:rFonts w:hint="eastAsia" w:ascii="宋体" w:hAnsi="宋体"/>
                <w:sz w:val="22"/>
              </w:rPr>
              <w:t>资源配置计划</w:t>
            </w:r>
          </w:p>
        </w:tc>
        <w:tc>
          <w:tcPr>
            <w:tcW w:w="6586" w:type="dxa"/>
            <w:vAlign w:val="center"/>
          </w:tcPr>
          <w:p>
            <w:pPr>
              <w:snapToGrid w:val="0"/>
              <w:jc w:val="left"/>
              <w:rPr>
                <w:rFonts w:ascii="宋体" w:hAnsi="宋体"/>
                <w:sz w:val="22"/>
              </w:rPr>
            </w:pPr>
            <w:r>
              <w:rPr>
                <w:rFonts w:hint="eastAsia" w:ascii="宋体" w:hAnsi="宋体"/>
                <w:sz w:val="22"/>
              </w:rPr>
              <w:t>各专业工种的配置和劳动力的投入是否能满足工程的需要；施工机具和检验仪器的投入是否能够满足</w:t>
            </w:r>
            <w:r>
              <w:rPr>
                <w:rFonts w:hint="eastAsia" w:ascii="宋体" w:hAnsi="宋体"/>
                <w:sz w:val="22"/>
                <w:lang w:eastAsia="zh-Hans"/>
              </w:rPr>
              <w:t>本项目需要</w:t>
            </w:r>
            <w:r>
              <w:rPr>
                <w:rFonts w:hint="eastAsia" w:ascii="宋体" w:hAnsi="宋体"/>
                <w:sz w:val="22"/>
              </w:rPr>
              <w:t>；各投标文件横向比较，</w:t>
            </w:r>
            <w:r>
              <w:rPr>
                <w:rFonts w:hint="eastAsia" w:ascii="宋体" w:hAnsi="宋体" w:cs="宋体"/>
                <w:szCs w:val="24"/>
              </w:rPr>
              <w:t>优秀的得4.2-6分；良好的2.1-4.2分；一般的得0-2.1分。</w:t>
            </w:r>
          </w:p>
        </w:tc>
        <w:tc>
          <w:tcPr>
            <w:tcW w:w="851" w:type="dxa"/>
            <w:vAlign w:val="center"/>
          </w:tcPr>
          <w:p>
            <w:pPr>
              <w:jc w:val="center"/>
            </w:pPr>
            <w:r>
              <w:rPr>
                <w:rFonts w:hint="eastAsia" w:ascii="宋体" w:hAnsi="宋体" w:cs="宋体"/>
                <w:szCs w:val="24"/>
              </w:rPr>
              <w:t>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1838" w:type="dxa"/>
            <w:vAlign w:val="center"/>
          </w:tcPr>
          <w:p>
            <w:pPr>
              <w:adjustRightInd w:val="0"/>
              <w:snapToGrid w:val="0"/>
              <w:jc w:val="left"/>
              <w:rPr>
                <w:rFonts w:ascii="宋体" w:hAnsi="宋体" w:cs="宋体"/>
                <w:szCs w:val="24"/>
              </w:rPr>
            </w:pPr>
            <w:r>
              <w:rPr>
                <w:rFonts w:hint="eastAsia" w:ascii="宋体" w:hAnsi="宋体" w:cs="宋体"/>
                <w:szCs w:val="24"/>
              </w:rPr>
              <w:t>设备材料</w:t>
            </w:r>
          </w:p>
        </w:tc>
        <w:tc>
          <w:tcPr>
            <w:tcW w:w="6586" w:type="dxa"/>
            <w:vAlign w:val="center"/>
          </w:tcPr>
          <w:p>
            <w:pPr>
              <w:adjustRightInd w:val="0"/>
              <w:snapToGrid w:val="0"/>
              <w:jc w:val="left"/>
              <w:rPr>
                <w:rFonts w:ascii="宋体" w:hAnsi="宋体" w:cs="宋体"/>
                <w:szCs w:val="24"/>
              </w:rPr>
            </w:pPr>
            <w:r>
              <w:rPr>
                <w:rFonts w:hint="eastAsia" w:ascii="宋体" w:hAnsi="宋体" w:cs="宋体"/>
                <w:szCs w:val="24"/>
              </w:rPr>
              <w:t>投标人所使用的主要设备材料根据投标人提供的证明文件进行综合打分，优秀的得2.8-4分；良好的1.4-2.8分；一般的得0-1.4分。</w:t>
            </w:r>
          </w:p>
        </w:tc>
        <w:tc>
          <w:tcPr>
            <w:tcW w:w="851" w:type="dxa"/>
            <w:vAlign w:val="center"/>
          </w:tcPr>
          <w:p>
            <w:pPr>
              <w:jc w:val="center"/>
              <w:rPr>
                <w:rFonts w:ascii="宋体" w:hAnsi="宋体" w:cs="宋体"/>
                <w:szCs w:val="24"/>
              </w:rPr>
            </w:pPr>
            <w:r>
              <w:rPr>
                <w:rFonts w:hint="eastAsia" w:ascii="宋体" w:hAnsi="宋体" w:cs="宋体"/>
                <w:szCs w:val="24"/>
              </w:rPr>
              <w:t>0-4</w:t>
            </w:r>
          </w:p>
        </w:tc>
      </w:tr>
    </w:tbl>
    <w:p/>
    <w:p>
      <w:pPr>
        <w:adjustRightInd w:val="0"/>
        <w:snapToGrid w:val="0"/>
        <w:spacing w:line="360" w:lineRule="exact"/>
        <w:ind w:firstLine="442" w:firstLineChars="200"/>
        <w:rPr>
          <w:rFonts w:ascii="宋体" w:hAnsi="宋体" w:cs="宋体"/>
          <w:b/>
          <w:sz w:val="22"/>
        </w:rPr>
      </w:pPr>
      <w:r>
        <w:rPr>
          <w:rFonts w:hint="eastAsia" w:ascii="宋体" w:hAnsi="宋体" w:cs="宋体"/>
          <w:b/>
          <w:sz w:val="22"/>
        </w:rPr>
        <w:t>2.投标文件的商务报价评审(</w:t>
      </w:r>
      <w:r>
        <w:rPr>
          <w:rFonts w:hint="eastAsia" w:ascii="宋体" w:hAnsi="宋体" w:cs="宋体"/>
          <w:b/>
          <w:sz w:val="22"/>
          <w:u w:val="single"/>
        </w:rPr>
        <w:t xml:space="preserve"> 60 </w:t>
      </w:r>
      <w:r>
        <w:rPr>
          <w:rFonts w:ascii="宋体" w:hAnsi="宋体" w:cs="宋体"/>
          <w:b/>
          <w:sz w:val="22"/>
        </w:rPr>
        <w:t>分</w:t>
      </w:r>
      <w:r>
        <w:rPr>
          <w:rFonts w:hint="eastAsia" w:ascii="宋体" w:hAnsi="宋体" w:cs="宋体"/>
          <w:b/>
          <w:sz w:val="22"/>
        </w:rPr>
        <w:t>)</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(1)由评标委员会全体成员对投标文件的商务报价进行统一评审。评标委员会应对报价的范围、数量、单价、费用组成和总价等进行全面审阅和对比分析，找出报价差异的原因及存在的问题。</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(2)投标报价</w:t>
      </w:r>
      <w:r>
        <w:rPr>
          <w:rFonts w:hint="eastAsia" w:ascii="宋体" w:hAnsi="宋体" w:cs="宋体"/>
          <w:b/>
          <w:bCs/>
          <w:sz w:val="22"/>
        </w:rPr>
        <w:t>扣除税金(按投标函承诺的增值税税率扣减)</w:t>
      </w:r>
      <w:r>
        <w:rPr>
          <w:rFonts w:hint="eastAsia" w:ascii="宋体" w:hAnsi="宋体" w:cs="宋体"/>
          <w:sz w:val="22"/>
        </w:rPr>
        <w:t>后为评标价(即不含税价)。</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(3)评标基准价由评标委员会依据下述方法计算，除计算差错外，确认后的评标基准价在本次招标期间保持不变。</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计算差错，仅限于以下两种情况：(1)纯算术性四则运算差错；(2)未按约定的计算方法，多计或者少计投标人报价的。由于评标差错，导致否决投标错误，重新评标纠正等其他情况，不属于计算差错。</w:t>
      </w:r>
    </w:p>
    <w:p>
      <w:pPr>
        <w:numPr>
          <w:ilvl w:val="0"/>
          <w:numId w:val="4"/>
        </w:numPr>
        <w:adjustRightInd w:val="0"/>
        <w:snapToGrid w:val="0"/>
        <w:spacing w:line="360" w:lineRule="exact"/>
        <w:ind w:firstLine="440" w:firstLineChars="200"/>
        <w:rPr>
          <w:rFonts w:ascii="宋体" w:hAnsi="宋体" w:cs="宋体"/>
          <w:sz w:val="22"/>
        </w:rPr>
      </w:pPr>
      <w:r>
        <w:rPr>
          <w:rFonts w:hint="eastAsia" w:ascii="宋体" w:hAnsi="宋体" w:cs="宋体"/>
          <w:sz w:val="22"/>
        </w:rPr>
        <w:t>评分范围：通过符合性审查的所有投标文件进入评分范围(下称有效评标价)。</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(5)报价平均值：有效评标价的算术平均值为报价平均值(有效评标价在5个及以上时，去除一个最高价和一个最低价；有效评标价在8个及以上时，去除一个最高价、一个次高价和一个最低价、一个次低价)。</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(6)评标基准价：报价平均值与有效评标价中的次低评标价(不足4个的与最低评标价)的算术平均值为评标基准价。</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(7)根据投标文件的有效评标价与评标基准价对比，计算投标人的商务报价的得分值。即：</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a.有效评标价等于评标基准价时，得满分；</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b.有效评标价每低于评标基准价1个百分点，扣0.5分；</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c.有效评标价每高于评标基准价1个百分点，扣1分。</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以上报价得分不足一个百分点时，使用直线插入法计算，保留小数2位。</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投标文件的商务标评分不足30分的，计为30分。</w:t>
      </w:r>
    </w:p>
    <w:p>
      <w:pPr>
        <w:adjustRightInd w:val="0"/>
        <w:snapToGrid w:val="0"/>
        <w:spacing w:line="360" w:lineRule="exact"/>
        <w:ind w:firstLine="442" w:firstLineChars="200"/>
        <w:rPr>
          <w:rFonts w:ascii="宋体" w:hAnsi="宋体" w:cs="宋体"/>
          <w:b/>
          <w:sz w:val="22"/>
        </w:rPr>
      </w:pPr>
      <w:r>
        <w:rPr>
          <w:rFonts w:hint="eastAsia" w:ascii="宋体" w:hAnsi="宋体" w:cs="宋体"/>
          <w:b/>
          <w:sz w:val="22"/>
        </w:rPr>
        <w:t>3.投标文件的综合得分：每个投标人综合得分=技术分+商务分。</w:t>
      </w:r>
    </w:p>
    <w:p>
      <w:pPr>
        <w:adjustRightInd w:val="0"/>
        <w:snapToGrid w:val="0"/>
        <w:spacing w:line="360" w:lineRule="exact"/>
        <w:ind w:firstLine="442" w:firstLineChars="200"/>
        <w:rPr>
          <w:rFonts w:ascii="宋体" w:hAnsi="宋体" w:cs="宋体"/>
          <w:sz w:val="22"/>
        </w:rPr>
      </w:pPr>
      <w:r>
        <w:rPr>
          <w:rFonts w:hint="eastAsia" w:ascii="宋体" w:hAnsi="宋体" w:cs="宋体"/>
          <w:b/>
          <w:sz w:val="22"/>
        </w:rPr>
        <w:t>4.对投标人进行排序，推荐中标候选人</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(1)评标委员会根据综合得分对进入评分范围的投标文件按综合得分由高到低进行排序，综合得分相同时，评标价低者优先；综合得分、评标价均相同时，由评标委员会通过抽签(或记名投票表决)方式排序。</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(2)当有效投标文件只有一名时，则由评标委员会确定是否推荐为中标候选人。</w:t>
      </w:r>
    </w:p>
    <w:p>
      <w:pPr>
        <w:adjustRightInd w:val="0"/>
        <w:snapToGrid w:val="0"/>
        <w:spacing w:line="360" w:lineRule="exact"/>
        <w:ind w:firstLine="442" w:firstLineChars="200"/>
        <w:rPr>
          <w:rFonts w:ascii="宋体" w:hAnsi="宋体" w:cs="宋体"/>
          <w:b/>
          <w:sz w:val="22"/>
        </w:rPr>
      </w:pPr>
      <w:r>
        <w:rPr>
          <w:rFonts w:hint="eastAsia" w:ascii="宋体" w:hAnsi="宋体" w:cs="宋体"/>
          <w:b/>
          <w:sz w:val="22"/>
        </w:rPr>
        <w:t>五、完成评标报告</w:t>
      </w:r>
    </w:p>
    <w:p>
      <w:pPr>
        <w:adjustRightInd w:val="0"/>
        <w:snapToGrid w:val="0"/>
        <w:spacing w:line="360" w:lineRule="exact"/>
        <w:ind w:firstLine="442" w:firstLineChars="200"/>
        <w:rPr>
          <w:rFonts w:ascii="宋体" w:hAnsi="宋体" w:cs="宋体"/>
          <w:sz w:val="22"/>
        </w:rPr>
      </w:pPr>
      <w:r>
        <w:rPr>
          <w:rFonts w:hint="eastAsia" w:ascii="宋体" w:hAnsi="宋体" w:cs="宋体"/>
          <w:b/>
          <w:sz w:val="22"/>
        </w:rPr>
        <w:t>(一)评标委员会应当向招标人提交书面评标报告。</w:t>
      </w:r>
      <w:r>
        <w:rPr>
          <w:rFonts w:hint="eastAsia" w:ascii="宋体" w:hAnsi="宋体" w:cs="宋体"/>
          <w:sz w:val="22"/>
        </w:rPr>
        <w:t>评标报告由评标委员会全体成员签字。对评标结果有不同意见的评标委员会成员应当以书面形式说明其不同意见和理由，评标报告应当注明该不同意见。评标委员会成员拒绝在评标报告上签字又不书面说明其不同意见和理由的，视为同意评标结果。</w:t>
      </w:r>
    </w:p>
    <w:p>
      <w:pPr>
        <w:adjustRightInd w:val="0"/>
        <w:snapToGrid w:val="0"/>
        <w:spacing w:line="360" w:lineRule="exact"/>
        <w:ind w:firstLine="442" w:firstLineChars="200"/>
        <w:rPr>
          <w:rFonts w:ascii="宋体" w:hAnsi="宋体" w:cs="宋体"/>
          <w:b/>
          <w:sz w:val="22"/>
        </w:rPr>
      </w:pPr>
      <w:r>
        <w:rPr>
          <w:rFonts w:hint="eastAsia" w:ascii="宋体" w:hAnsi="宋体" w:cs="宋体"/>
          <w:b/>
          <w:sz w:val="22"/>
        </w:rPr>
        <w:t>(二)评标报告应包括以下内容：</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1、开标记录；</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2、评标内容、过程和结果；</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3、询标澄清纪要(若有)；</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4、否决投标情况说明及依据；</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5、推荐中标候选人；</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6、其他建议。</w:t>
      </w:r>
    </w:p>
    <w:p>
      <w:pPr>
        <w:pStyle w:val="9"/>
      </w:pPr>
      <w:r>
        <w:rPr>
          <w:rFonts w:ascii="宋体" w:hAnsi="宋体" w:cs="宋体"/>
          <w:sz w:val="22"/>
        </w:rPr>
        <w:br w:type="page"/>
      </w:r>
    </w:p>
    <w:p>
      <w:pPr>
        <w:pStyle w:val="9"/>
        <w:rPr>
          <w:rFonts w:ascii="宋体" w:hAnsi="宋体" w:cs="宋体"/>
          <w:sz w:val="28"/>
          <w:szCs w:val="20"/>
        </w:rPr>
      </w:pPr>
      <w:bookmarkStart w:id="14" w:name="_Toc17411"/>
      <w:r>
        <w:rPr>
          <w:rFonts w:hint="eastAsia"/>
        </w:rPr>
        <w:t>第三章</w:t>
      </w:r>
      <w:r>
        <w:t xml:space="preserve">  </w:t>
      </w:r>
      <w:r>
        <w:rPr>
          <w:rFonts w:hint="eastAsia"/>
        </w:rPr>
        <w:t>合同条款及格式</w:t>
      </w:r>
      <w:bookmarkEnd w:id="7"/>
      <w:bookmarkEnd w:id="14"/>
      <w:bookmarkStart w:id="15" w:name="_Toc448097405"/>
    </w:p>
    <w:bookmarkEnd w:id="15"/>
    <w:p>
      <w:pPr>
        <w:spacing w:line="360" w:lineRule="exact"/>
        <w:jc w:val="center"/>
        <w:rPr>
          <w:rFonts w:asciiTheme="minorEastAsia" w:hAnsiTheme="minorEastAsia" w:cstheme="minorEastAsia"/>
          <w:b/>
          <w:bCs/>
          <w:sz w:val="32"/>
          <w:szCs w:val="32"/>
        </w:rPr>
      </w:pPr>
      <w:bookmarkStart w:id="16" w:name="_Hlk119435578"/>
      <w:bookmarkStart w:id="17" w:name="_Toc448097407"/>
      <w:r>
        <w:rPr>
          <w:rFonts w:hint="eastAsia" w:asciiTheme="minorEastAsia" w:hAnsiTheme="minorEastAsia" w:cstheme="minorEastAsia"/>
          <w:b/>
          <w:bCs/>
          <w:sz w:val="32"/>
          <w:szCs w:val="32"/>
        </w:rPr>
        <w:t>杭州萧山国际机场6号道口改造项目</w:t>
      </w:r>
      <w:bookmarkEnd w:id="16"/>
      <w:r>
        <w:rPr>
          <w:rFonts w:hint="eastAsia" w:asciiTheme="minorEastAsia" w:hAnsiTheme="minorEastAsia" w:cstheme="minorEastAsia"/>
          <w:b/>
          <w:bCs/>
          <w:sz w:val="32"/>
          <w:szCs w:val="32"/>
        </w:rPr>
        <w:t>施工合同</w:t>
      </w:r>
    </w:p>
    <w:p>
      <w:pPr>
        <w:spacing w:line="400" w:lineRule="exact"/>
        <w:rPr>
          <w:rFonts w:asciiTheme="minorEastAsia" w:hAnsiTheme="minorEastAsia" w:cstheme="minorEastAsia"/>
          <w:sz w:val="24"/>
          <w:szCs w:val="24"/>
        </w:rPr>
      </w:pPr>
      <w:r>
        <w:rPr>
          <w:rFonts w:hint="eastAsia" w:asciiTheme="minorEastAsia" w:hAnsiTheme="minorEastAsia" w:cstheme="minorEastAsia"/>
          <w:sz w:val="24"/>
          <w:szCs w:val="24"/>
        </w:rPr>
        <mc:AlternateContent>
          <mc:Choice Requires="wps">
            <w:drawing>
              <wp:anchor distT="0" distB="0" distL="114300" distR="114300" simplePos="0" relativeHeight="251662336" behindDoc="0" locked="0" layoutInCell="1" allowOverlap="1">
                <wp:simplePos x="0" y="0"/>
                <wp:positionH relativeFrom="column">
                  <wp:posOffset>1320800</wp:posOffset>
                </wp:positionH>
                <wp:positionV relativeFrom="paragraph">
                  <wp:posOffset>250825</wp:posOffset>
                </wp:positionV>
                <wp:extent cx="3746500" cy="10160"/>
                <wp:effectExtent l="0" t="0" r="0" b="0"/>
                <wp:wrapNone/>
                <wp:docPr id="3" name="直接连接符 3"/>
                <wp:cNvGraphicFramePr/>
                <a:graphic xmlns:a="http://schemas.openxmlformats.org/drawingml/2006/main">
                  <a:graphicData uri="http://schemas.microsoft.com/office/word/2010/wordprocessingShape">
                    <wps:wsp>
                      <wps:cNvCnPr/>
                      <wps:spPr>
                        <a:xfrm>
                          <a:off x="0" y="0"/>
                          <a:ext cx="3746500" cy="1016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id="_x0000_s1026" o:spid="_x0000_s1026" o:spt="20" style="position:absolute;left:0pt;margin-left:104pt;margin-top:19.75pt;height:0.8pt;width:295pt;z-index:251662336;mso-width-relative:page;mso-height-relative:page;" filled="f" stroked="t" coordsize="21600,21600" o:gfxdata="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Ox4jznYAAAACQEAAA8A&#10;AAAAAAAAAQAgAAAAIgAAAGRycy9kb3ducmV2LnhtbFBLAQIUABQAAAAIAIdO4kCPrqjP3gEAAIkD&#10;AAAOAAAAAAAAAAEAIAAAACcBAABkcnMvZTJvRG9jLnhtbFBLBQYAAAAABgAGAFkBAAB3BQAAAAA=&#10;">
                <v:fill on="f" focussize="0,0"/>
                <v:stroke weight="0.5pt" color="#000000" miterlimit="8" joinstyle="miter"/>
                <v:imagedata o:title=""/>
                <o:lock v:ext="edit" aspectratio="f"/>
              </v:line>
            </w:pict>
          </mc:Fallback>
        </mc:AlternateContent>
      </w:r>
      <w:r>
        <w:rPr>
          <w:rFonts w:hint="eastAsia" w:asciiTheme="minorEastAsia" w:hAnsiTheme="minorEastAsia" w:cstheme="minorEastAsia"/>
          <w:sz w:val="24"/>
          <w:szCs w:val="24"/>
        </w:rPr>
        <w:t xml:space="preserve">    发包方（甲方）：杭州萧山国际机场有限公司</w:t>
      </w:r>
    </w:p>
    <w:p>
      <w:pPr>
        <w:spacing w:line="400" w:lineRule="exact"/>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住所地：杭州萧山国际机场内</w:t>
      </w:r>
    </w:p>
    <w:p>
      <w:pPr>
        <w:spacing w:line="400" w:lineRule="exact"/>
        <w:ind w:firstLine="480" w:firstLineChars="200"/>
        <w:rPr>
          <w:rFonts w:asciiTheme="minorEastAsia" w:hAnsiTheme="minorEastAsia" w:cstheme="minorEastAsia"/>
          <w:sz w:val="24"/>
          <w:szCs w:val="24"/>
        </w:rPr>
      </w:pPr>
    </w:p>
    <w:p>
      <w:pPr>
        <w:spacing w:line="400" w:lineRule="exact"/>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mc:AlternateContent>
          <mc:Choice Requires="wps">
            <w:drawing>
              <wp:anchor distT="0" distB="0" distL="114300" distR="114300" simplePos="0" relativeHeight="251650048" behindDoc="0" locked="0" layoutInCell="1" allowOverlap="1">
                <wp:simplePos x="0" y="0"/>
                <wp:positionH relativeFrom="column">
                  <wp:posOffset>1351280</wp:posOffset>
                </wp:positionH>
                <wp:positionV relativeFrom="paragraph">
                  <wp:posOffset>248285</wp:posOffset>
                </wp:positionV>
                <wp:extent cx="3746500" cy="10160"/>
                <wp:effectExtent l="0" t="0" r="0" b="0"/>
                <wp:wrapNone/>
                <wp:docPr id="12" name="直接连接符 12"/>
                <wp:cNvGraphicFramePr/>
                <a:graphic xmlns:a="http://schemas.openxmlformats.org/drawingml/2006/main">
                  <a:graphicData uri="http://schemas.microsoft.com/office/word/2010/wordprocessingShape">
                    <wps:wsp>
                      <wps:cNvCnPr/>
                      <wps:spPr>
                        <a:xfrm>
                          <a:off x="2494280" y="1757045"/>
                          <a:ext cx="3746500" cy="1016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id="_x0000_s1026" o:spid="_x0000_s1026" o:spt="20" style="position:absolute;left:0pt;margin-left:106.4pt;margin-top:19.55pt;height:0.8pt;width:295pt;z-index:251650048;mso-width-relative:page;mso-height-relative:page;" filled="f" stroked="t" coordsize="21600,21600" o:gfxdata="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HUm&#10;7wDWAAAACQEAAA8AAAAAAAAAAQAgAAAAIgAAAGRycy9kb3ducmV2LnhtbFBLAQIUABQAAAAIAIdO&#10;4kBkw8Z07AEAAJcDAAAOAAAAAAAAAAEAIAAAACUBAABkcnMvZTJvRG9jLnhtbFBLBQYAAAAABgAG&#10;AFkBAACDBQAAAAA=&#10;">
                <v:fill on="f" focussize="0,0"/>
                <v:stroke weight="0.5pt" color="#000000" miterlimit="8" joinstyle="miter"/>
                <v:imagedata o:title=""/>
                <o:lock v:ext="edit" aspectratio="f"/>
              </v:line>
            </w:pict>
          </mc:Fallback>
        </mc:AlternateContent>
      </w:r>
      <w:r>
        <w:rPr>
          <w:rFonts w:hint="eastAsia" w:asciiTheme="minorEastAsia" w:hAnsiTheme="minorEastAsia" w:cstheme="minorEastAsia"/>
          <w:sz w:val="24"/>
          <w:szCs w:val="24"/>
        </w:rPr>
        <w:t>承包方（乙方）：</w:t>
      </w:r>
    </w:p>
    <w:p>
      <w:pPr>
        <w:spacing w:line="400" w:lineRule="exact"/>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住所地：</w:t>
      </w:r>
    </w:p>
    <w:p>
      <w:pPr>
        <w:spacing w:line="400" w:lineRule="exact"/>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按照《中华人民共和国民法典》和《中华人民共和国建筑法》的规定，结合本工程具体情况，双方达成如下协议。</w:t>
      </w:r>
    </w:p>
    <w:p>
      <w:pPr>
        <w:numPr>
          <w:ilvl w:val="0"/>
          <w:numId w:val="5"/>
        </w:numPr>
        <w:spacing w:line="400" w:lineRule="exact"/>
        <w:rPr>
          <w:rFonts w:asciiTheme="minorEastAsia" w:hAnsiTheme="minorEastAsia" w:cstheme="minorEastAsia"/>
          <w:sz w:val="24"/>
          <w:szCs w:val="24"/>
        </w:rPr>
      </w:pPr>
      <w:r>
        <w:rPr>
          <w:rFonts w:hint="eastAsia" w:asciiTheme="minorEastAsia" w:hAnsiTheme="minorEastAsia" w:cstheme="minorEastAsia"/>
          <w:sz w:val="24"/>
          <w:szCs w:val="24"/>
        </w:rPr>
        <w:t xml:space="preserve"> 工程概况</w:t>
      </w:r>
    </w:p>
    <w:p>
      <w:pPr>
        <w:spacing w:line="400" w:lineRule="exact"/>
        <w:ind w:left="2159" w:leftChars="228" w:hanging="1680" w:hangingChars="700"/>
        <w:rPr>
          <w:rFonts w:asciiTheme="minorEastAsia" w:hAnsiTheme="minorEastAsia" w:cstheme="minorEastAsia"/>
          <w:sz w:val="24"/>
          <w:szCs w:val="24"/>
        </w:rPr>
      </w:pPr>
      <w:r>
        <w:rPr>
          <w:rFonts w:hint="eastAsia" w:asciiTheme="minorEastAsia" w:hAnsiTheme="minorEastAsia" w:cstheme="minorEastAsia"/>
          <w:sz w:val="24"/>
          <w:szCs w:val="24"/>
        </w:rPr>
        <w:t xml:space="preserve">1.1工程名称：杭州萧山国际机场6号道口改造项目 </w:t>
      </w:r>
    </w:p>
    <w:p>
      <w:pPr>
        <w:spacing w:line="400" w:lineRule="exact"/>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1.2工程地点：杭州萧山国际机场内</w:t>
      </w:r>
    </w:p>
    <w:p>
      <w:pPr>
        <w:spacing w:line="400" w:lineRule="exact"/>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1.3承包范围：对6号道口检查室入口进行改造、增设人员出口通道、增设司机检查室出口、调整检查室布局等。</w:t>
      </w:r>
    </w:p>
    <w:p>
      <w:pPr>
        <w:spacing w:line="400" w:lineRule="exact"/>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1.4承包方式：包工包料</w:t>
      </w:r>
    </w:p>
    <w:p>
      <w:pPr>
        <w:spacing w:line="400" w:lineRule="exact"/>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1.5工期：工程具体开工日期以发包人书面指示为准，工期</w:t>
      </w:r>
      <w:r>
        <w:rPr>
          <w:rFonts w:hint="eastAsia" w:asciiTheme="minorEastAsia" w:hAnsiTheme="minorEastAsia" w:cstheme="minorEastAsia"/>
          <w:color w:val="auto"/>
          <w:sz w:val="24"/>
          <w:szCs w:val="24"/>
          <w:u w:val="single"/>
          <w:lang w:val="en-US" w:eastAsia="zh-CN"/>
        </w:rPr>
        <w:t>10</w:t>
      </w:r>
      <w:r>
        <w:rPr>
          <w:rFonts w:hint="eastAsia" w:asciiTheme="minorEastAsia" w:hAnsiTheme="minorEastAsia" w:cstheme="minorEastAsia"/>
          <w:sz w:val="24"/>
          <w:szCs w:val="24"/>
        </w:rPr>
        <w:t>日历天。</w:t>
      </w:r>
    </w:p>
    <w:p>
      <w:pPr>
        <w:spacing w:line="400" w:lineRule="exact"/>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1.6工程质量：</w:t>
      </w:r>
      <w:r>
        <w:rPr>
          <w:rFonts w:hint="eastAsia" w:asciiTheme="minorEastAsia" w:hAnsiTheme="minorEastAsia" w:cstheme="minorEastAsia"/>
          <w:kern w:val="0"/>
          <w:sz w:val="24"/>
          <w:szCs w:val="24"/>
          <w:u w:val="single"/>
        </w:rPr>
        <w:t>工程达到符合国家施工验收规范规定的合格标准，确保一次性验收合格。</w:t>
      </w:r>
    </w:p>
    <w:p>
      <w:pPr>
        <w:spacing w:line="400" w:lineRule="exact"/>
        <w:ind w:firstLine="480"/>
        <w:rPr>
          <w:rFonts w:asciiTheme="minorEastAsia" w:hAnsiTheme="minorEastAsia" w:cstheme="minorEastAsia"/>
          <w:sz w:val="24"/>
          <w:szCs w:val="24"/>
        </w:rPr>
      </w:pPr>
      <w:r>
        <w:rPr>
          <w:rFonts w:hint="eastAsia" w:asciiTheme="minorEastAsia" w:hAnsiTheme="minorEastAsia" w:cstheme="minorEastAsia"/>
          <w:sz w:val="24"/>
          <w:szCs w:val="24"/>
        </w:rPr>
        <mc:AlternateContent>
          <mc:Choice Requires="wps">
            <w:drawing>
              <wp:anchor distT="0" distB="0" distL="114300" distR="114300" simplePos="0" relativeHeight="251674624" behindDoc="0" locked="0" layoutInCell="1" allowOverlap="1">
                <wp:simplePos x="0" y="0"/>
                <wp:positionH relativeFrom="column">
                  <wp:posOffset>2293620</wp:posOffset>
                </wp:positionH>
                <wp:positionV relativeFrom="paragraph">
                  <wp:posOffset>239395</wp:posOffset>
                </wp:positionV>
                <wp:extent cx="3068955" cy="0"/>
                <wp:effectExtent l="0" t="0" r="0" b="0"/>
                <wp:wrapNone/>
                <wp:docPr id="4" name="直接连接符 4"/>
                <wp:cNvGraphicFramePr/>
                <a:graphic xmlns:a="http://schemas.openxmlformats.org/drawingml/2006/main">
                  <a:graphicData uri="http://schemas.microsoft.com/office/word/2010/wordprocessingShape">
                    <wps:wsp>
                      <wps:cNvCnPr/>
                      <wps:spPr>
                        <a:xfrm>
                          <a:off x="3436620" y="4719955"/>
                          <a:ext cx="3068955"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id="_x0000_s1026" o:spid="_x0000_s1026" o:spt="20" style="position:absolute;left:0pt;margin-left:180.6pt;margin-top:18.85pt;height:0pt;width:241.65pt;z-index:251674624;mso-width-relative:page;mso-height-relative:page;" filled="f" stroked="t" coordsize="21600,21600" o:gfxdata="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DDsqprWAAAA&#10;CQEAAA8AAAAAAAAAAQAgAAAAIgAAAGRycy9kb3ducmV2LnhtbFBLAQIUABQAAAAIAIdO4kC10jNZ&#10;5gEAAJEDAAAOAAAAAAAAAAEAIAAAACUBAABkcnMvZTJvRG9jLnhtbFBLBQYAAAAABgAGAFkBAAB9&#10;BQAAAAA=&#10;">
                <v:fill on="f" focussize="0,0"/>
                <v:stroke weight="0.5pt" color="#000000" miterlimit="8" joinstyle="miter"/>
                <v:imagedata o:title=""/>
                <o:lock v:ext="edit" aspectratio="f"/>
              </v:line>
            </w:pict>
          </mc:Fallback>
        </mc:AlternateContent>
      </w:r>
      <w:r>
        <w:rPr>
          <w:rFonts w:hint="eastAsia" w:asciiTheme="minorEastAsia" w:hAnsiTheme="minorEastAsia" w:cstheme="minorEastAsia"/>
          <w:sz w:val="24"/>
          <w:szCs w:val="24"/>
        </w:rPr>
        <w:t>1.7合同暂定价款（人民币大写）：</w:t>
      </w:r>
    </w:p>
    <w:p>
      <w:pPr>
        <w:numPr>
          <w:ilvl w:val="0"/>
          <w:numId w:val="5"/>
        </w:numPr>
        <w:spacing w:line="400" w:lineRule="exact"/>
        <w:rPr>
          <w:rFonts w:asciiTheme="minorEastAsia" w:hAnsiTheme="minorEastAsia" w:cstheme="minorEastAsia"/>
          <w:sz w:val="24"/>
          <w:szCs w:val="24"/>
        </w:rPr>
      </w:pPr>
      <w:r>
        <w:rPr>
          <w:rFonts w:hint="eastAsia" w:asciiTheme="minorEastAsia" w:hAnsiTheme="minorEastAsia" w:cstheme="minorEastAsia"/>
          <w:sz w:val="24"/>
          <w:szCs w:val="24"/>
        </w:rPr>
        <w:t>甲方工作</w:t>
      </w:r>
    </w:p>
    <w:p>
      <w:pPr>
        <w:spacing w:line="400" w:lineRule="exact"/>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2.1开工前</w:t>
      </w:r>
      <w:r>
        <w:rPr>
          <w:rFonts w:hint="eastAsia" w:asciiTheme="minorEastAsia" w:hAnsiTheme="minorEastAsia" w:cstheme="minorEastAsia"/>
          <w:sz w:val="24"/>
          <w:szCs w:val="24"/>
          <w:u w:val="single"/>
        </w:rPr>
        <w:t>7</w:t>
      </w:r>
      <w:r>
        <w:rPr>
          <w:rFonts w:hint="eastAsia" w:asciiTheme="minorEastAsia" w:hAnsiTheme="minorEastAsia" w:cstheme="minorEastAsia"/>
          <w:sz w:val="24"/>
          <w:szCs w:val="24"/>
        </w:rPr>
        <w:t>天，向乙方提供经确认的设计方案图纸或做法说明</w:t>
      </w:r>
      <w:r>
        <w:rPr>
          <w:rFonts w:hint="eastAsia" w:asciiTheme="minorEastAsia" w:hAnsiTheme="minorEastAsia" w:cstheme="minorEastAsia"/>
          <w:sz w:val="24"/>
          <w:szCs w:val="24"/>
          <w:u w:val="single"/>
        </w:rPr>
        <w:t>1</w:t>
      </w:r>
      <w:r>
        <w:rPr>
          <w:rFonts w:hint="eastAsia" w:asciiTheme="minorEastAsia" w:hAnsiTheme="minorEastAsia" w:cstheme="minorEastAsia"/>
          <w:sz w:val="24"/>
          <w:szCs w:val="24"/>
        </w:rPr>
        <w:t>份，并向乙方进行现场交底。</w:t>
      </w:r>
    </w:p>
    <w:p>
      <w:pPr>
        <w:spacing w:line="400" w:lineRule="exact"/>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2.2甲方组织施工方案和进度计划的审查工作。</w:t>
      </w:r>
    </w:p>
    <w:p>
      <w:pPr>
        <w:spacing w:line="400" w:lineRule="exact"/>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2.3涉及机场隔离区的工程项目实施前，由甲方组织对乙方项目实施人员进行相关安全培训教育，并与乙方签订施工安全责任书。</w:t>
      </w:r>
    </w:p>
    <w:p>
      <w:pPr>
        <w:spacing w:line="400" w:lineRule="exact"/>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2.4甲方配合乙方施工所需水、电接入的工作，并说明使用注意事项。办理施工所涉及的各种申请、批件等手续。</w:t>
      </w:r>
    </w:p>
    <w:p>
      <w:pPr>
        <w:spacing w:line="400" w:lineRule="exact"/>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2.5甲方指派</w:t>
      </w:r>
      <w:r>
        <w:rPr>
          <w:rFonts w:hint="eastAsia" w:asciiTheme="minorEastAsia" w:hAnsiTheme="minorEastAsia" w:cstheme="minorEastAsia"/>
          <w:sz w:val="24"/>
          <w:szCs w:val="24"/>
          <w:u w:val="single"/>
        </w:rPr>
        <w:t xml:space="preserve">    </w:t>
      </w:r>
      <w:r>
        <w:rPr>
          <w:rFonts w:hint="eastAsia" w:asciiTheme="minorEastAsia" w:hAnsiTheme="minorEastAsia" w:cstheme="minorEastAsia"/>
          <w:sz w:val="24"/>
          <w:szCs w:val="24"/>
        </w:rPr>
        <w:t>为甲方项目负责人，负责合同履行。对工程安全、质量、进度以及造价进行监督检查，办理验收、变更、登记手续和其他事宜。</w:t>
      </w:r>
    </w:p>
    <w:p>
      <w:pPr>
        <w:spacing w:line="400" w:lineRule="exact"/>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2.6甲方委托</w:t>
      </w:r>
      <w:r>
        <w:rPr>
          <w:rFonts w:hint="eastAsia" w:asciiTheme="minorEastAsia" w:hAnsiTheme="minorEastAsia" w:cstheme="minorEastAsia"/>
          <w:sz w:val="24"/>
          <w:szCs w:val="24"/>
          <w:u w:val="single"/>
        </w:rPr>
        <w:t>/</w:t>
      </w:r>
      <w:r>
        <w:rPr>
          <w:rFonts w:hint="eastAsia" w:asciiTheme="minorEastAsia" w:hAnsiTheme="minorEastAsia" w:cstheme="minorEastAsia"/>
          <w:sz w:val="24"/>
          <w:szCs w:val="24"/>
        </w:rPr>
        <w:t>监理公司进行工程监理，监理公司任命</w:t>
      </w:r>
      <w:r>
        <w:rPr>
          <w:rFonts w:hint="eastAsia" w:asciiTheme="minorEastAsia" w:hAnsiTheme="minorEastAsia" w:cstheme="minorEastAsia"/>
          <w:sz w:val="24"/>
          <w:szCs w:val="24"/>
          <w:u w:val="single"/>
        </w:rPr>
        <w:t>/</w:t>
      </w:r>
      <w:r>
        <w:rPr>
          <w:rFonts w:hint="eastAsia" w:asciiTheme="minorEastAsia" w:hAnsiTheme="minorEastAsia" w:cstheme="minorEastAsia"/>
          <w:sz w:val="24"/>
          <w:szCs w:val="24"/>
        </w:rPr>
        <w:t>为总监理工程师，其职责在监理合同中应明确，并将合同副本交乙方</w:t>
      </w:r>
      <w:r>
        <w:rPr>
          <w:rFonts w:hint="eastAsia" w:asciiTheme="minorEastAsia" w:hAnsiTheme="minorEastAsia" w:cstheme="minorEastAsia"/>
          <w:sz w:val="24"/>
          <w:szCs w:val="24"/>
          <w:u w:val="single"/>
        </w:rPr>
        <w:t>/</w:t>
      </w:r>
      <w:r>
        <w:rPr>
          <w:rFonts w:hint="eastAsia" w:asciiTheme="minorEastAsia" w:hAnsiTheme="minorEastAsia" w:cstheme="minorEastAsia"/>
          <w:sz w:val="24"/>
          <w:szCs w:val="24"/>
        </w:rPr>
        <w:t>份。</w:t>
      </w:r>
    </w:p>
    <w:p>
      <w:pPr>
        <w:spacing w:line="400" w:lineRule="exact"/>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2.7如确实需要拆改原建筑物结构或设备管线，甲方负责到有关部门办理相应审批手续。</w:t>
      </w:r>
    </w:p>
    <w:p>
      <w:pPr>
        <w:spacing w:line="400" w:lineRule="exact"/>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2.8协调有关部门做好现场保卫、消防、垃圾处理等工作。</w:t>
      </w:r>
    </w:p>
    <w:p>
      <w:pPr>
        <w:spacing w:line="400" w:lineRule="exact"/>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2.9组织工程竣工验收以及办理工程竣工结算审核工作。</w:t>
      </w:r>
    </w:p>
    <w:p>
      <w:pPr>
        <w:spacing w:line="400" w:lineRule="exact"/>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2.10项目所涉及项目工程造价的移交送审工作，由监理单位或甲方代表协助建设单位预决算员办理。</w:t>
      </w:r>
    </w:p>
    <w:p>
      <w:pPr>
        <w:numPr>
          <w:ilvl w:val="0"/>
          <w:numId w:val="5"/>
        </w:numPr>
        <w:spacing w:line="400" w:lineRule="exact"/>
        <w:rPr>
          <w:rFonts w:asciiTheme="minorEastAsia" w:hAnsiTheme="minorEastAsia" w:cstheme="minorEastAsia"/>
          <w:sz w:val="24"/>
          <w:szCs w:val="24"/>
        </w:rPr>
      </w:pPr>
      <w:r>
        <w:rPr>
          <w:rFonts w:hint="eastAsia" w:asciiTheme="minorEastAsia" w:hAnsiTheme="minorEastAsia" w:cstheme="minorEastAsia"/>
          <w:sz w:val="24"/>
          <w:szCs w:val="24"/>
        </w:rPr>
        <w:t>乙方工作</w:t>
      </w:r>
    </w:p>
    <w:p>
      <w:pPr>
        <w:spacing w:line="400" w:lineRule="exact"/>
        <w:ind w:left="426"/>
        <w:rPr>
          <w:rFonts w:asciiTheme="minorEastAsia" w:hAnsiTheme="minorEastAsia" w:cstheme="minorEastAsia"/>
          <w:sz w:val="24"/>
          <w:szCs w:val="24"/>
        </w:rPr>
      </w:pPr>
      <w:r>
        <w:rPr>
          <w:rFonts w:hint="eastAsia" w:asciiTheme="minorEastAsia" w:hAnsiTheme="minorEastAsia" w:cstheme="minorEastAsia"/>
          <w:sz w:val="24"/>
          <w:szCs w:val="24"/>
        </w:rPr>
        <w:t>3.1乙方收到设计方案图纸或做法说明后应及时进行现场踏勘，并结合现场实际情况进行复核完善，并拟定施工方案和进度计划，交甲方审定。</w:t>
      </w:r>
    </w:p>
    <w:p>
      <w:pPr>
        <w:spacing w:line="400" w:lineRule="exact"/>
        <w:ind w:left="426"/>
        <w:rPr>
          <w:rFonts w:asciiTheme="minorEastAsia" w:hAnsiTheme="minorEastAsia" w:cstheme="minorEastAsia"/>
          <w:sz w:val="24"/>
          <w:szCs w:val="24"/>
        </w:rPr>
      </w:pPr>
      <w:r>
        <w:rPr>
          <w:rFonts w:hint="eastAsia" w:asciiTheme="minorEastAsia" w:hAnsiTheme="minorEastAsia" w:cstheme="minorEastAsia"/>
          <w:sz w:val="24"/>
          <w:szCs w:val="24"/>
        </w:rPr>
        <w:t>3.2乙方指派</w:t>
      </w:r>
      <w:r>
        <w:rPr>
          <w:rFonts w:hint="eastAsia" w:asciiTheme="minorEastAsia" w:hAnsiTheme="minorEastAsia" w:cstheme="minorEastAsia"/>
          <w:sz w:val="24"/>
          <w:szCs w:val="24"/>
          <w:u w:val="single"/>
        </w:rPr>
        <w:t xml:space="preserve">      </w:t>
      </w:r>
      <w:r>
        <w:rPr>
          <w:rFonts w:hint="eastAsia" w:asciiTheme="minorEastAsia" w:hAnsiTheme="minorEastAsia" w:cstheme="minorEastAsia"/>
          <w:sz w:val="24"/>
          <w:szCs w:val="24"/>
        </w:rPr>
        <w:t>身份证号</w:t>
      </w:r>
      <w:r>
        <w:rPr>
          <w:rFonts w:hint="eastAsia" w:asciiTheme="minorEastAsia" w:hAnsiTheme="minorEastAsia" w:cstheme="minorEastAsia"/>
          <w:sz w:val="24"/>
          <w:szCs w:val="24"/>
          <w:u w:val="single"/>
        </w:rPr>
        <w:t xml:space="preserve">       </w:t>
      </w:r>
      <w:r>
        <w:rPr>
          <w:rFonts w:hint="eastAsia" w:asciiTheme="minorEastAsia" w:hAnsiTheme="minorEastAsia" w:cstheme="minorEastAsia"/>
          <w:sz w:val="24"/>
          <w:szCs w:val="24"/>
        </w:rPr>
        <w:t>为乙方项目负责人，负责合同履行。按要求组织施工，保质、保量、按期完成施工任务，解决由乙方负责的各项事宜。</w:t>
      </w:r>
    </w:p>
    <w:p>
      <w:pPr>
        <w:spacing w:line="400" w:lineRule="exact"/>
        <w:ind w:left="426"/>
        <w:rPr>
          <w:rFonts w:asciiTheme="minorEastAsia" w:hAnsiTheme="minorEastAsia" w:cstheme="minorEastAsia"/>
          <w:sz w:val="24"/>
          <w:szCs w:val="24"/>
        </w:rPr>
      </w:pPr>
      <w:r>
        <w:rPr>
          <w:rFonts w:hint="eastAsia" w:asciiTheme="minorEastAsia" w:hAnsiTheme="minorEastAsia" w:cstheme="minorEastAsia"/>
          <w:sz w:val="24"/>
          <w:szCs w:val="24"/>
        </w:rPr>
        <w:t>3.3乙方应严格执行施工规范、安全操作规程、防火安全规定、环境保护规定。严格按照图纸或作法说明进行施工，做好各项质量检查记录。</w:t>
      </w:r>
    </w:p>
    <w:p>
      <w:pPr>
        <w:spacing w:line="400" w:lineRule="exact"/>
        <w:ind w:left="426"/>
        <w:rPr>
          <w:rFonts w:asciiTheme="minorEastAsia" w:hAnsiTheme="minorEastAsia" w:cstheme="minorEastAsia"/>
          <w:sz w:val="24"/>
          <w:szCs w:val="24"/>
        </w:rPr>
      </w:pPr>
      <w:r>
        <w:rPr>
          <w:rFonts w:hint="eastAsia" w:asciiTheme="minorEastAsia" w:hAnsiTheme="minorEastAsia" w:cstheme="minorEastAsia"/>
          <w:sz w:val="24"/>
          <w:szCs w:val="24"/>
        </w:rPr>
        <w:t>3.4乙方须按甲方要求时间进场施工，并按甲方实施要求保质保量在合同工期内完成工程施工。施工过程中如有工程变更情况，须按甲方相关工程管理规定办理变更手续。项目完工后，乙方应配合甲方组织竣工验收，并按相关工程归档要求及时完成竣工资料的移交工作。</w:t>
      </w:r>
    </w:p>
    <w:p>
      <w:pPr>
        <w:spacing w:line="400" w:lineRule="exact"/>
        <w:ind w:left="426"/>
        <w:rPr>
          <w:rFonts w:asciiTheme="minorEastAsia" w:hAnsiTheme="minorEastAsia" w:cstheme="minorEastAsia"/>
          <w:sz w:val="24"/>
          <w:szCs w:val="24"/>
        </w:rPr>
      </w:pPr>
      <w:r>
        <w:rPr>
          <w:rFonts w:hint="eastAsia" w:asciiTheme="minorEastAsia" w:hAnsiTheme="minorEastAsia" w:cstheme="minorEastAsia"/>
          <w:sz w:val="24"/>
          <w:szCs w:val="24"/>
        </w:rPr>
        <w:t>3.5乙方须按相关要求及时报送竣工结算资料，配合甲方完成工程竣工结算审核工作。</w:t>
      </w:r>
    </w:p>
    <w:p>
      <w:pPr>
        <w:spacing w:line="400" w:lineRule="exact"/>
        <w:ind w:left="426"/>
        <w:rPr>
          <w:rFonts w:asciiTheme="minorEastAsia" w:hAnsiTheme="minorEastAsia" w:cstheme="minorEastAsia"/>
          <w:sz w:val="24"/>
          <w:szCs w:val="24"/>
        </w:rPr>
      </w:pPr>
      <w:r>
        <w:rPr>
          <w:rFonts w:hint="eastAsia" w:asciiTheme="minorEastAsia" w:hAnsiTheme="minorEastAsia" w:cstheme="minorEastAsia"/>
          <w:sz w:val="24"/>
          <w:szCs w:val="24"/>
        </w:rPr>
        <w:t>3.6乙方应遵守国家或地方政府及有关部门对施工现场管理的规定，从进场施工之日起，妥善保护好施工现场周围建筑物、设备管线、古树名木不受损坏，并承担相应费用。做好施工现场保卫和垃圾处理等工作，处理好由于施工带来的影响与周围单位的关系，并承担相应费用。</w:t>
      </w:r>
    </w:p>
    <w:p>
      <w:pPr>
        <w:spacing w:line="400" w:lineRule="exact"/>
        <w:ind w:left="426"/>
        <w:rPr>
          <w:rFonts w:asciiTheme="minorEastAsia" w:hAnsiTheme="minorEastAsia" w:cstheme="minorEastAsia"/>
          <w:sz w:val="24"/>
          <w:szCs w:val="24"/>
        </w:rPr>
      </w:pPr>
      <w:r>
        <w:rPr>
          <w:rFonts w:hint="eastAsia" w:asciiTheme="minorEastAsia" w:hAnsiTheme="minorEastAsia" w:cstheme="minorEastAsia"/>
          <w:sz w:val="24"/>
          <w:szCs w:val="24"/>
        </w:rPr>
        <w:t>3.7施工中未经甲方同意或有关部门批准，乙方不得随意拆改或损坏原建筑物结构及各种设备管线。</w:t>
      </w:r>
    </w:p>
    <w:p>
      <w:pPr>
        <w:spacing w:line="400" w:lineRule="exact"/>
        <w:ind w:left="426"/>
        <w:rPr>
          <w:rFonts w:asciiTheme="minorEastAsia" w:hAnsiTheme="minorEastAsia" w:cstheme="minorEastAsia"/>
          <w:sz w:val="24"/>
          <w:szCs w:val="24"/>
        </w:rPr>
      </w:pPr>
      <w:r>
        <w:rPr>
          <w:rFonts w:hint="eastAsia" w:asciiTheme="minorEastAsia" w:hAnsiTheme="minorEastAsia" w:cstheme="minorEastAsia"/>
          <w:sz w:val="24"/>
          <w:szCs w:val="24"/>
        </w:rPr>
        <w:t>3.8工程竣工未移交甲方之前，负责对现场的一切设施和工程成品进行保护，并承担风险和费用。</w:t>
      </w:r>
    </w:p>
    <w:p>
      <w:pPr>
        <w:spacing w:line="400" w:lineRule="exact"/>
        <w:ind w:left="426"/>
        <w:rPr>
          <w:rFonts w:asciiTheme="minorEastAsia" w:hAnsiTheme="minorEastAsia" w:cstheme="minorEastAsia"/>
          <w:sz w:val="24"/>
          <w:szCs w:val="24"/>
        </w:rPr>
      </w:pPr>
      <w:r>
        <w:rPr>
          <w:rFonts w:hint="eastAsia" w:asciiTheme="minorEastAsia" w:hAnsiTheme="minorEastAsia" w:cstheme="minorEastAsia"/>
          <w:sz w:val="24"/>
          <w:szCs w:val="24"/>
        </w:rPr>
        <w:t>第四条 关于工期的约定</w:t>
      </w:r>
    </w:p>
    <w:p>
      <w:pPr>
        <w:spacing w:line="400" w:lineRule="exact"/>
        <w:ind w:left="426"/>
        <w:rPr>
          <w:rFonts w:asciiTheme="minorEastAsia" w:hAnsiTheme="minorEastAsia" w:cstheme="minorEastAsia"/>
          <w:sz w:val="24"/>
          <w:szCs w:val="24"/>
        </w:rPr>
      </w:pPr>
      <w:r>
        <w:rPr>
          <w:rFonts w:hint="eastAsia" w:asciiTheme="minorEastAsia" w:hAnsiTheme="minorEastAsia" w:cstheme="minorEastAsia"/>
          <w:sz w:val="24"/>
          <w:szCs w:val="24"/>
        </w:rPr>
        <w:t>4.1甲方要求比合同约定的工期提前竣工时，应征得乙方同意，并支付乙方因赶工采取的措施费用。</w:t>
      </w:r>
    </w:p>
    <w:p>
      <w:pPr>
        <w:spacing w:line="400" w:lineRule="exact"/>
        <w:ind w:left="426"/>
        <w:rPr>
          <w:rFonts w:asciiTheme="minorEastAsia" w:hAnsiTheme="minorEastAsia" w:cstheme="minorEastAsia"/>
          <w:sz w:val="24"/>
          <w:szCs w:val="24"/>
        </w:rPr>
      </w:pPr>
      <w:r>
        <w:rPr>
          <w:rFonts w:hint="eastAsia" w:asciiTheme="minorEastAsia" w:hAnsiTheme="minorEastAsia" w:cstheme="minorEastAsia"/>
          <w:sz w:val="24"/>
          <w:szCs w:val="24"/>
        </w:rPr>
        <w:t>4.2因甲方未按约定完成工作，影响工期，则工期相应顺延。</w:t>
      </w:r>
    </w:p>
    <w:p>
      <w:pPr>
        <w:spacing w:line="400" w:lineRule="exact"/>
        <w:ind w:left="426"/>
        <w:rPr>
          <w:rFonts w:asciiTheme="minorEastAsia" w:hAnsiTheme="minorEastAsia" w:cstheme="minorEastAsia"/>
          <w:sz w:val="24"/>
          <w:szCs w:val="24"/>
        </w:rPr>
      </w:pPr>
      <w:r>
        <w:rPr>
          <w:rFonts w:hint="eastAsia" w:asciiTheme="minorEastAsia" w:hAnsiTheme="minorEastAsia" w:cstheme="minorEastAsia"/>
          <w:sz w:val="24"/>
          <w:szCs w:val="24"/>
        </w:rPr>
        <w:t>4.3乙方非因甲方原因不能按期开工或中途无故停工影响工期，或乙方非因甲方原因延误工期的，则工期不顺延，且乙方须向甲方承担工期延误的违约责任。</w:t>
      </w:r>
    </w:p>
    <w:p>
      <w:pPr>
        <w:spacing w:line="400" w:lineRule="exact"/>
        <w:ind w:left="426"/>
        <w:rPr>
          <w:rFonts w:asciiTheme="minorEastAsia" w:hAnsiTheme="minorEastAsia" w:cstheme="minorEastAsia"/>
          <w:sz w:val="24"/>
          <w:szCs w:val="24"/>
        </w:rPr>
      </w:pPr>
      <w:r>
        <w:rPr>
          <w:rFonts w:hint="eastAsia" w:asciiTheme="minorEastAsia" w:hAnsiTheme="minorEastAsia" w:cstheme="minorEastAsia"/>
          <w:sz w:val="24"/>
          <w:szCs w:val="24"/>
        </w:rPr>
        <w:t>4.4因涉及甲方要求的设计或工程量变更或非乙方原因造成的停电、停水、停气及不可抗力因素影响，导致停工</w:t>
      </w:r>
      <w:r>
        <w:rPr>
          <w:rFonts w:hint="eastAsia" w:asciiTheme="minorEastAsia" w:hAnsiTheme="minorEastAsia" w:cstheme="minorEastAsia"/>
          <w:sz w:val="24"/>
          <w:szCs w:val="24"/>
          <w:u w:val="single"/>
        </w:rPr>
        <w:t>8</w:t>
      </w:r>
      <w:r>
        <w:rPr>
          <w:rFonts w:hint="eastAsia" w:asciiTheme="minorEastAsia" w:hAnsiTheme="minorEastAsia" w:cstheme="minorEastAsia"/>
          <w:sz w:val="24"/>
          <w:szCs w:val="24"/>
        </w:rPr>
        <w:t>小时以上（一周内累计计算），工期相应顺延。</w:t>
      </w:r>
    </w:p>
    <w:p>
      <w:pPr>
        <w:spacing w:line="400" w:lineRule="exact"/>
        <w:ind w:left="426"/>
        <w:rPr>
          <w:rFonts w:asciiTheme="minorEastAsia" w:hAnsiTheme="minorEastAsia" w:cstheme="minorEastAsia"/>
          <w:sz w:val="24"/>
          <w:szCs w:val="24"/>
        </w:rPr>
      </w:pPr>
      <w:r>
        <w:rPr>
          <w:rFonts w:hint="eastAsia" w:asciiTheme="minorEastAsia" w:hAnsiTheme="minorEastAsia" w:cstheme="minorEastAsia"/>
          <w:sz w:val="24"/>
          <w:szCs w:val="24"/>
        </w:rPr>
        <w:t>第五条 关于工程质量及验收的约定</w:t>
      </w:r>
    </w:p>
    <w:p>
      <w:pPr>
        <w:spacing w:line="400" w:lineRule="exact"/>
        <w:ind w:left="426"/>
        <w:rPr>
          <w:rFonts w:asciiTheme="minorEastAsia" w:hAnsiTheme="minorEastAsia" w:cstheme="minorEastAsia"/>
          <w:sz w:val="24"/>
          <w:szCs w:val="24"/>
        </w:rPr>
      </w:pPr>
      <w:r>
        <w:rPr>
          <w:rFonts w:hint="eastAsia" w:asciiTheme="minorEastAsia" w:hAnsiTheme="minorEastAsia" w:cstheme="minorEastAsia"/>
          <w:sz w:val="24"/>
          <w:szCs w:val="24"/>
        </w:rPr>
        <w:t>5.1本工程以做法说明、设计变更等国家制定的施工及验收规范为质量评定验收标准。</w:t>
      </w:r>
    </w:p>
    <w:p>
      <w:pPr>
        <w:spacing w:line="400" w:lineRule="exact"/>
        <w:ind w:left="426"/>
        <w:rPr>
          <w:rFonts w:asciiTheme="minorEastAsia" w:hAnsiTheme="minorEastAsia" w:cstheme="minorEastAsia"/>
          <w:sz w:val="24"/>
          <w:szCs w:val="24"/>
        </w:rPr>
      </w:pPr>
      <w:r>
        <w:rPr>
          <w:rFonts w:hint="eastAsia" w:asciiTheme="minorEastAsia" w:hAnsiTheme="minorEastAsia" w:cstheme="minorEastAsia"/>
          <w:sz w:val="24"/>
          <w:szCs w:val="24"/>
        </w:rPr>
        <w:t>5.2本工程质量应达到国家质量评定合格标准。</w:t>
      </w:r>
    </w:p>
    <w:p>
      <w:pPr>
        <w:spacing w:line="400" w:lineRule="exact"/>
        <w:ind w:left="426"/>
        <w:rPr>
          <w:rFonts w:asciiTheme="minorEastAsia" w:hAnsiTheme="minorEastAsia" w:cstheme="minorEastAsia"/>
          <w:sz w:val="24"/>
          <w:szCs w:val="24"/>
        </w:rPr>
      </w:pPr>
      <w:r>
        <w:rPr>
          <w:rFonts w:hint="eastAsia" w:asciiTheme="minorEastAsia" w:hAnsiTheme="minorEastAsia" w:cstheme="minorEastAsia"/>
          <w:sz w:val="24"/>
          <w:szCs w:val="24"/>
        </w:rPr>
        <w:t>5.3由于乙方提供的材料、设备质量不合格而影响工程质量，其返工费用由乙方承担，工期不顺延。</w:t>
      </w:r>
    </w:p>
    <w:p>
      <w:pPr>
        <w:spacing w:line="400" w:lineRule="exact"/>
        <w:ind w:left="426"/>
        <w:rPr>
          <w:rFonts w:asciiTheme="minorEastAsia" w:hAnsiTheme="minorEastAsia" w:cstheme="minorEastAsia"/>
          <w:sz w:val="24"/>
          <w:szCs w:val="24"/>
        </w:rPr>
      </w:pPr>
      <w:r>
        <w:rPr>
          <w:rFonts w:hint="eastAsia" w:asciiTheme="minorEastAsia" w:hAnsiTheme="minorEastAsia" w:cstheme="minorEastAsia"/>
          <w:sz w:val="24"/>
          <w:szCs w:val="24"/>
        </w:rPr>
        <w:t>5.4由于乙方原因造成质量事故，其返工费用由乙方承担，工期不顺延。</w:t>
      </w:r>
    </w:p>
    <w:p>
      <w:pPr>
        <w:spacing w:line="400" w:lineRule="exact"/>
        <w:ind w:left="426"/>
        <w:rPr>
          <w:rFonts w:asciiTheme="minorEastAsia" w:hAnsiTheme="minorEastAsia" w:cstheme="minorEastAsia"/>
          <w:sz w:val="24"/>
          <w:szCs w:val="24"/>
        </w:rPr>
      </w:pPr>
      <w:r>
        <w:rPr>
          <w:rFonts w:hint="eastAsia" w:asciiTheme="minorEastAsia" w:hAnsiTheme="minorEastAsia" w:cstheme="minorEastAsia"/>
          <w:sz w:val="24"/>
          <w:szCs w:val="24"/>
        </w:rPr>
        <w:t>5.5工程竣工后，乙方应通知甲方验收，甲方自接到验收通知</w:t>
      </w:r>
      <w:r>
        <w:rPr>
          <w:rFonts w:hint="eastAsia" w:asciiTheme="minorEastAsia" w:hAnsiTheme="minorEastAsia" w:cstheme="minorEastAsia"/>
          <w:sz w:val="24"/>
          <w:szCs w:val="24"/>
          <w:u w:val="single"/>
        </w:rPr>
        <w:t>3</w:t>
      </w:r>
      <w:r>
        <w:rPr>
          <w:rFonts w:hint="eastAsia" w:asciiTheme="minorEastAsia" w:hAnsiTheme="minorEastAsia" w:cstheme="minorEastAsia"/>
          <w:sz w:val="24"/>
          <w:szCs w:val="24"/>
        </w:rPr>
        <w:t>日内组织验收，并办理验收、移交手续。如甲方在规定时间内未能组织验收，需及时通知乙方，另定验收日期。</w:t>
      </w:r>
    </w:p>
    <w:p>
      <w:pPr>
        <w:numPr>
          <w:ilvl w:val="0"/>
          <w:numId w:val="6"/>
        </w:numPr>
        <w:spacing w:line="400" w:lineRule="exact"/>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关于工程价款及结算的约定</w:t>
      </w:r>
    </w:p>
    <w:p>
      <w:pPr>
        <w:spacing w:line="400" w:lineRule="exact"/>
        <w:rPr>
          <w:rFonts w:asciiTheme="minorEastAsia" w:hAnsiTheme="minorEastAsia" w:cstheme="minorEastAsia"/>
          <w:sz w:val="24"/>
          <w:szCs w:val="24"/>
        </w:rPr>
      </w:pPr>
      <w:r>
        <w:rPr>
          <w:rFonts w:hint="eastAsia" w:asciiTheme="minorEastAsia" w:hAnsiTheme="minorEastAsia" w:cstheme="minorEastAsia"/>
          <w:sz w:val="24"/>
          <w:szCs w:val="24"/>
        </w:rPr>
        <w:t xml:space="preserve">     6.1双方商定本合同价款采用第</w:t>
      </w:r>
      <w:r>
        <w:rPr>
          <w:rFonts w:hint="eastAsia" w:asciiTheme="minorEastAsia" w:hAnsiTheme="minorEastAsia" w:cstheme="minorEastAsia"/>
          <w:sz w:val="24"/>
          <w:szCs w:val="24"/>
          <w:u w:val="single"/>
        </w:rPr>
        <w:t>2</w:t>
      </w:r>
      <w:r>
        <w:rPr>
          <w:rFonts w:hint="eastAsia" w:asciiTheme="minorEastAsia" w:hAnsiTheme="minorEastAsia" w:cstheme="minorEastAsia"/>
          <w:sz w:val="24"/>
          <w:szCs w:val="24"/>
        </w:rPr>
        <w:t>种：</w:t>
      </w:r>
    </w:p>
    <w:p>
      <w:pPr>
        <w:spacing w:line="400" w:lineRule="exact"/>
        <w:ind w:left="480"/>
        <w:rPr>
          <w:rFonts w:asciiTheme="minorEastAsia" w:hAnsiTheme="minorEastAsia" w:cstheme="minorEastAsia"/>
          <w:sz w:val="24"/>
          <w:szCs w:val="24"/>
        </w:rPr>
      </w:pPr>
      <w:r>
        <w:rPr>
          <w:rFonts w:hint="eastAsia" w:asciiTheme="minorEastAsia" w:hAnsiTheme="minorEastAsia" w:cstheme="minorEastAsia"/>
          <w:sz w:val="24"/>
          <w:szCs w:val="24"/>
        </w:rPr>
        <w:t>（1）固定总价。</w:t>
      </w:r>
    </w:p>
    <w:p>
      <w:pPr>
        <w:spacing w:line="400" w:lineRule="exact"/>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（2）固定单价。可调价格按</w:t>
      </w:r>
      <w:r>
        <w:rPr>
          <w:rFonts w:hint="eastAsia" w:asciiTheme="minorEastAsia" w:hAnsiTheme="minorEastAsia" w:cstheme="minorEastAsia"/>
          <w:sz w:val="24"/>
          <w:szCs w:val="24"/>
          <w:u w:val="single"/>
        </w:rPr>
        <w:t xml:space="preserve">  /  </w:t>
      </w:r>
      <w:r>
        <w:rPr>
          <w:rFonts w:hint="eastAsia" w:asciiTheme="minorEastAsia" w:hAnsiTheme="minorEastAsia" w:cstheme="minorEastAsia"/>
          <w:sz w:val="24"/>
          <w:szCs w:val="24"/>
        </w:rPr>
        <w:t>规则计算。</w:t>
      </w:r>
    </w:p>
    <w:p>
      <w:pPr>
        <w:spacing w:line="400" w:lineRule="exact"/>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采用固定总价，如有变更需经结算审计，采用固定单价均需经结算审计。甲方委托工程造价咨询人按规定进行审核，并按最终审定的工程价款进行结算。核减追加费按核减额（包括全过程审计中联系单核减额）超过送审造价5％的幅度以外的核减额的5％计算，费用由乙方支付或由甲方从应付工程价款中扣缴；核增部分以核增额为基数，费率为5%，由乙方直接支付审查费用。</w:t>
      </w:r>
    </w:p>
    <w:p>
      <w:pPr>
        <w:spacing w:line="400" w:lineRule="exact"/>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6.2工程竣工验收后，乙方提出工程结算申请并将有关资料送交甲方。甲方按照以下方式办理款项支付：</w:t>
      </w:r>
      <w:bookmarkStart w:id="18" w:name="_Hlk47444557"/>
    </w:p>
    <w:bookmarkEnd w:id="18"/>
    <w:p>
      <w:pPr>
        <w:widowControl/>
        <w:overflowPunct w:val="0"/>
        <w:autoSpaceDE w:val="0"/>
        <w:autoSpaceDN w:val="0"/>
        <w:adjustRightInd w:val="0"/>
        <w:spacing w:line="400" w:lineRule="exact"/>
        <w:ind w:firstLine="480" w:firstLineChars="200"/>
        <w:jc w:val="left"/>
        <w:textAlignment w:val="baseline"/>
        <w:rPr>
          <w:rFonts w:asciiTheme="minorEastAsia" w:hAnsiTheme="minorEastAsia" w:cstheme="minorEastAsia"/>
          <w:b/>
          <w:bCs/>
          <w:sz w:val="24"/>
          <w:szCs w:val="24"/>
        </w:rPr>
      </w:pPr>
      <w:r>
        <w:rPr>
          <w:rFonts w:hint="eastAsia" w:asciiTheme="minorEastAsia" w:hAnsiTheme="minorEastAsia" w:cstheme="minorEastAsia"/>
          <w:sz w:val="24"/>
          <w:szCs w:val="24"/>
        </w:rPr>
        <w:t>工程竣工验收通过并完成工程结算，经发包人认可后30天内，发包人向承包人支付至结算价的97%；结算价的3%留作质量保证金，待缺陷责任期满后无利息支付。</w:t>
      </w:r>
      <w:r>
        <w:rPr>
          <w:rFonts w:hint="eastAsia" w:ascii="宋体" w:hAnsi="宋体" w:eastAsia="宋体" w:cs="宋体"/>
          <w:b/>
          <w:bCs/>
          <w:sz w:val="24"/>
          <w:szCs w:val="24"/>
        </w:rPr>
        <w:t>★施工安全监管费为暂列金额，结算时承包人需提供相应票据作为依据按实结算</w:t>
      </w:r>
      <w:r>
        <w:rPr>
          <w:rFonts w:hint="eastAsia" w:ascii="宋体" w:hAnsi="宋体" w:eastAsia="宋体" w:cs="宋体"/>
          <w:b/>
          <w:bCs/>
          <w:sz w:val="24"/>
          <w:szCs w:val="24"/>
          <w:lang w:eastAsia="zh-CN"/>
        </w:rPr>
        <w:t>，</w:t>
      </w:r>
      <w:r>
        <w:rPr>
          <w:rFonts w:hint="eastAsia" w:ascii="宋体" w:hAnsi="宋体" w:eastAsia="宋体" w:cs="宋体"/>
          <w:b/>
          <w:bCs/>
          <w:sz w:val="24"/>
          <w:szCs w:val="24"/>
          <w:lang w:val="en-US" w:eastAsia="zh-CN"/>
        </w:rPr>
        <w:t>税金另计</w:t>
      </w:r>
      <w:r>
        <w:rPr>
          <w:rFonts w:hint="eastAsia" w:ascii="宋体" w:hAnsi="宋体" w:eastAsia="宋体" w:cs="宋体"/>
          <w:b/>
          <w:bCs/>
          <w:sz w:val="24"/>
          <w:szCs w:val="24"/>
        </w:rPr>
        <w:t>。</w:t>
      </w:r>
    </w:p>
    <w:p>
      <w:pPr>
        <w:widowControl/>
        <w:overflowPunct w:val="0"/>
        <w:autoSpaceDE w:val="0"/>
        <w:autoSpaceDN w:val="0"/>
        <w:adjustRightInd w:val="0"/>
        <w:spacing w:line="400" w:lineRule="exact"/>
        <w:ind w:firstLine="480" w:firstLineChars="200"/>
        <w:jc w:val="left"/>
        <w:textAlignment w:val="baseline"/>
        <w:rPr>
          <w:rFonts w:asciiTheme="minorEastAsia" w:hAnsiTheme="minorEastAsia" w:cstheme="minorEastAsia"/>
          <w:sz w:val="24"/>
          <w:szCs w:val="24"/>
        </w:rPr>
      </w:pPr>
      <w:r>
        <w:rPr>
          <w:rFonts w:hint="eastAsia" w:asciiTheme="minorEastAsia" w:hAnsiTheme="minorEastAsia" w:cstheme="minorEastAsia"/>
          <w:sz w:val="24"/>
          <w:szCs w:val="24"/>
        </w:rPr>
        <w:t>6.3甲方提出工程变更和签证的费用，由乙方在施工前提出并补充编制工料单价预算书。变更估价时，工程量清单中有的项目单价</w:t>
      </w:r>
      <w:bookmarkStart w:id="19" w:name="_Hlk119178570"/>
      <w:r>
        <w:rPr>
          <w:rFonts w:hint="eastAsia" w:asciiTheme="minorEastAsia" w:hAnsiTheme="minorEastAsia" w:cstheme="minorEastAsia"/>
          <w:sz w:val="24"/>
          <w:szCs w:val="24"/>
        </w:rPr>
        <w:t>，按乙方投标工程量清单中该项综合单价计取</w:t>
      </w:r>
      <w:bookmarkEnd w:id="19"/>
      <w:r>
        <w:rPr>
          <w:rFonts w:hint="eastAsia" w:asciiTheme="minorEastAsia" w:hAnsiTheme="minorEastAsia" w:cstheme="minorEastAsia"/>
          <w:sz w:val="24"/>
          <w:szCs w:val="24"/>
        </w:rPr>
        <w:t>；工程量清单中无适用的项目单价，套用浙江省2018定额，按分部分项工程费+规费+税金计取；不能套用浙江省2018定额的项目，可按照成本加利润的原则，承包人与发包人协商后执行。</w:t>
      </w:r>
    </w:p>
    <w:p>
      <w:pPr>
        <w:spacing w:line="400" w:lineRule="exact"/>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第七条 关于材料供应的约定</w:t>
      </w:r>
    </w:p>
    <w:p>
      <w:pPr>
        <w:spacing w:line="400" w:lineRule="exact"/>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7.1本工程由乙方负责采购供应的材料、设备，应为符合设计要求的合格产品，并应按时供应到现场。乙方供应的材料，经甲方验收后，由乙方负责保管，甲方不用支付保管费。由于乙方保管不当造成损失，由乙方负责赔偿。</w:t>
      </w:r>
    </w:p>
    <w:p>
      <w:pPr>
        <w:spacing w:line="400" w:lineRule="exact"/>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7.2凡由乙方采购的材料、设备，如不符合质量要求或规格有差异，应禁止使用。若已使用，对工程造成的损失由乙方负责。</w:t>
      </w:r>
    </w:p>
    <w:p>
      <w:pPr>
        <w:spacing w:line="400" w:lineRule="exact"/>
        <w:ind w:left="426"/>
        <w:rPr>
          <w:rFonts w:asciiTheme="minorEastAsia" w:hAnsiTheme="minorEastAsia" w:cstheme="minorEastAsia"/>
          <w:sz w:val="24"/>
          <w:szCs w:val="24"/>
        </w:rPr>
      </w:pPr>
      <w:r>
        <w:rPr>
          <w:rFonts w:hint="eastAsia" w:asciiTheme="minorEastAsia" w:hAnsiTheme="minorEastAsia" w:cstheme="minorEastAsia"/>
          <w:sz w:val="24"/>
          <w:szCs w:val="24"/>
        </w:rPr>
        <w:t>第八条 有关安全生产和防火的约定</w:t>
      </w:r>
    </w:p>
    <w:p>
      <w:pPr>
        <w:spacing w:line="400" w:lineRule="exact"/>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8.1甲方提供的施工图纸或作法说明，应符合《中华人民共和国消防法》和有关防火设计规范。</w:t>
      </w:r>
    </w:p>
    <w:p>
      <w:pPr>
        <w:spacing w:line="400" w:lineRule="exact"/>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8.2乙方在施工期间应严格遵守《中华人民共和国建筑法》、《中华人民共和国安全生产法》、《中华人民共和国消防法》、《建设工程质量管理条例》、《建设工程安全生产管理条例》和其他相关的法律、法规、规范。</w:t>
      </w:r>
    </w:p>
    <w:p>
      <w:pPr>
        <w:spacing w:line="400" w:lineRule="exact"/>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8.3由于乙方在施工生产过程中违反有关安全操作规程、消防条例，导致发生安全或火灾事故，乙方应承担由此引发的一切经济损失。</w:t>
      </w:r>
    </w:p>
    <w:p>
      <w:pPr>
        <w:spacing w:line="400" w:lineRule="exact"/>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8.4施工及生活用水用电：由甲方提供用水接口，场内接管、安装水表由乙方自行解决，乙方施工前需向机场水电管理部门提出申请并通过。施工用电：由甲方提供用电接口，场内接管、安装电表由乙方自行解决，乙方施工前需向机场水电管理部门提出申请并通过。水费以供水部门水价4.4元/吨为基础单价。如遇水价调整，水费单价也作相应的调整收费，收费单价保留小数点后两位，四舍五入，用水计量以甲方计量为准。电费以供电局电价0.6413元/度为基础单价。如供电局电价调整，电费单价也作相应的调整，收费单价保留小数点后两位，四舍五入，用电计量以甲方计量为准。水电使用过程中产生的水电设施维护服务费（即水电损耗、设施运行维护、维修费等）根据甲方具体通知为准，由双方另行签订水电结算协议。</w:t>
      </w:r>
    </w:p>
    <w:p>
      <w:pPr>
        <w:spacing w:line="400" w:lineRule="exact"/>
        <w:ind w:left="426"/>
        <w:rPr>
          <w:rFonts w:asciiTheme="minorEastAsia" w:hAnsiTheme="minorEastAsia" w:cstheme="minorEastAsia"/>
          <w:sz w:val="24"/>
          <w:szCs w:val="24"/>
        </w:rPr>
      </w:pPr>
      <w:r>
        <w:rPr>
          <w:rFonts w:hint="eastAsia" w:asciiTheme="minorEastAsia" w:hAnsiTheme="minorEastAsia" w:cstheme="minorEastAsia"/>
          <w:sz w:val="24"/>
          <w:szCs w:val="24"/>
        </w:rPr>
        <w:t>第九条 违约责任</w:t>
      </w:r>
    </w:p>
    <w:p>
      <w:pPr>
        <w:spacing w:line="400" w:lineRule="exact"/>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9.1由于乙方原因，逾期竣工，每逾期一天，乙方支付甲方</w:t>
      </w:r>
      <w:r>
        <w:rPr>
          <w:rFonts w:hint="eastAsia" w:asciiTheme="minorEastAsia" w:hAnsiTheme="minorEastAsia" w:cstheme="minorEastAsia"/>
          <w:sz w:val="24"/>
          <w:szCs w:val="24"/>
          <w:u w:val="single"/>
        </w:rPr>
        <w:t>壹万元</w:t>
      </w:r>
      <w:r>
        <w:rPr>
          <w:rFonts w:hint="eastAsia" w:asciiTheme="minorEastAsia" w:hAnsiTheme="minorEastAsia" w:cstheme="minorEastAsia"/>
          <w:sz w:val="24"/>
          <w:szCs w:val="24"/>
        </w:rPr>
        <w:t>违约金；甲方有权终止合同，并保留对乙方追溯赔偿其他一切损失的权利。</w:t>
      </w:r>
    </w:p>
    <w:p>
      <w:pPr>
        <w:spacing w:line="400" w:lineRule="exact"/>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9.2乙方应妥善保护甲方提供的设备及现场堆放的家具、陈设和工程成品，如造成损失，应照价赔偿。</w:t>
      </w:r>
    </w:p>
    <w:p>
      <w:pPr>
        <w:spacing w:line="400" w:lineRule="exact"/>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9.3未经甲方同意，乙方擅自拆改原建筑物结构或设备管线，由此发生的损失或事故（包括行政处罚），由乙方负责并承担损失。</w:t>
      </w:r>
    </w:p>
    <w:p>
      <w:pPr>
        <w:spacing w:line="400" w:lineRule="exact"/>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9.4除本合同另有约定外，任何一方违约应当就因此给对方造成的损失承担赔偿责任。</w:t>
      </w:r>
    </w:p>
    <w:p>
      <w:pPr>
        <w:spacing w:line="400" w:lineRule="exact"/>
        <w:ind w:left="426"/>
        <w:rPr>
          <w:rFonts w:asciiTheme="minorEastAsia" w:hAnsiTheme="minorEastAsia" w:cstheme="minorEastAsia"/>
          <w:sz w:val="24"/>
          <w:szCs w:val="24"/>
        </w:rPr>
      </w:pPr>
      <w:r>
        <w:rPr>
          <w:rFonts w:hint="eastAsia" w:asciiTheme="minorEastAsia" w:hAnsiTheme="minorEastAsia" w:cstheme="minorEastAsia"/>
          <w:sz w:val="24"/>
          <w:szCs w:val="24"/>
        </w:rPr>
        <w:t>第十条 争议或纠纷处理</w:t>
      </w:r>
    </w:p>
    <w:p>
      <w:pPr>
        <w:spacing w:line="400" w:lineRule="exact"/>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10.1本合同在履行期间，双方发生争议时，在不影响工作进度的前提下，双方可采取协商解决或请有关部门进行调解。</w:t>
      </w:r>
    </w:p>
    <w:p>
      <w:pPr>
        <w:spacing w:line="400" w:lineRule="exact"/>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10.2当事人不愿通过协商、调解解决或者协商、调解不成时，本合同在执行中发生的争议双方同意由甲方所在地人民法院诉讼管辖解决。</w:t>
      </w:r>
    </w:p>
    <w:p>
      <w:pPr>
        <w:spacing w:line="400" w:lineRule="exact"/>
        <w:ind w:left="426"/>
        <w:rPr>
          <w:rFonts w:asciiTheme="minorEastAsia" w:hAnsiTheme="minorEastAsia" w:cstheme="minorEastAsia"/>
          <w:sz w:val="24"/>
          <w:szCs w:val="24"/>
        </w:rPr>
      </w:pPr>
      <w:r>
        <w:rPr>
          <w:rFonts w:hint="eastAsia" w:asciiTheme="minorEastAsia" w:hAnsiTheme="minorEastAsia" w:cstheme="minorEastAsia"/>
          <w:sz w:val="24"/>
          <w:szCs w:val="24"/>
        </w:rPr>
        <w:t xml:space="preserve"> 第十一条 附则</w:t>
      </w:r>
    </w:p>
    <w:p>
      <w:pPr>
        <w:spacing w:line="400" w:lineRule="exact"/>
        <w:ind w:left="480"/>
        <w:rPr>
          <w:rFonts w:asciiTheme="minorEastAsia" w:hAnsiTheme="minorEastAsia" w:cstheme="minorEastAsia"/>
          <w:sz w:val="24"/>
          <w:szCs w:val="24"/>
        </w:rPr>
      </w:pPr>
      <w:r>
        <w:rPr>
          <w:rFonts w:hint="eastAsia" w:asciiTheme="minorEastAsia" w:hAnsiTheme="minorEastAsia" w:cstheme="minorEastAsia"/>
          <w:sz w:val="24"/>
          <w:szCs w:val="24"/>
        </w:rPr>
        <w:t>11.1本工程保修事宜由双方签订保修协议。</w:t>
      </w:r>
    </w:p>
    <w:p>
      <w:pPr>
        <w:spacing w:line="400" w:lineRule="exact"/>
        <w:ind w:left="480"/>
        <w:rPr>
          <w:rFonts w:asciiTheme="minorEastAsia" w:hAnsiTheme="minorEastAsia" w:cstheme="minorEastAsia"/>
          <w:sz w:val="24"/>
          <w:szCs w:val="24"/>
        </w:rPr>
      </w:pPr>
      <w:r>
        <w:rPr>
          <w:rFonts w:hint="eastAsia" w:asciiTheme="minorEastAsia" w:hAnsiTheme="minorEastAsia" w:cstheme="minorEastAsia"/>
          <w:sz w:val="24"/>
          <w:szCs w:val="24"/>
        </w:rPr>
        <w:t>11.2本合同一共</w:t>
      </w:r>
      <w:r>
        <w:rPr>
          <w:rFonts w:hint="eastAsia" w:asciiTheme="minorEastAsia" w:hAnsiTheme="minorEastAsia" w:cstheme="minorEastAsia"/>
          <w:sz w:val="24"/>
          <w:szCs w:val="24"/>
          <w:u w:val="single"/>
        </w:rPr>
        <w:t>陆</w:t>
      </w:r>
      <w:r>
        <w:rPr>
          <w:rFonts w:hint="eastAsia" w:asciiTheme="minorEastAsia" w:hAnsiTheme="minorEastAsia" w:cstheme="minorEastAsia"/>
          <w:sz w:val="24"/>
          <w:szCs w:val="24"/>
        </w:rPr>
        <w:t>份，甲乙双方各执</w:t>
      </w:r>
      <w:r>
        <w:rPr>
          <w:rFonts w:hint="eastAsia" w:asciiTheme="minorEastAsia" w:hAnsiTheme="minorEastAsia" w:cstheme="minorEastAsia"/>
          <w:sz w:val="24"/>
          <w:szCs w:val="24"/>
          <w:u w:val="single"/>
        </w:rPr>
        <w:t>叁</w:t>
      </w:r>
      <w:r>
        <w:rPr>
          <w:rFonts w:hint="eastAsia" w:asciiTheme="minorEastAsia" w:hAnsiTheme="minorEastAsia" w:cstheme="minorEastAsia"/>
          <w:sz w:val="24"/>
          <w:szCs w:val="24"/>
        </w:rPr>
        <w:t>份，具有同等法律效力。</w:t>
      </w:r>
    </w:p>
    <w:p>
      <w:pPr>
        <w:spacing w:line="400" w:lineRule="exact"/>
        <w:ind w:left="480"/>
        <w:rPr>
          <w:rFonts w:asciiTheme="minorEastAsia" w:hAnsiTheme="minorEastAsia" w:cstheme="minorEastAsia"/>
          <w:sz w:val="24"/>
          <w:szCs w:val="24"/>
        </w:rPr>
      </w:pPr>
      <w:r>
        <w:rPr>
          <w:rFonts w:hint="eastAsia" w:asciiTheme="minorEastAsia" w:hAnsiTheme="minorEastAsia" w:cstheme="minorEastAsia"/>
          <w:sz w:val="24"/>
          <w:szCs w:val="24"/>
        </w:rPr>
        <w:t xml:space="preserve">11.3本合同履行完成后自动终止。   </w:t>
      </w:r>
    </w:p>
    <w:p>
      <w:pPr>
        <w:spacing w:line="400" w:lineRule="exact"/>
        <w:ind w:left="480"/>
        <w:rPr>
          <w:rFonts w:asciiTheme="minorEastAsia" w:hAnsiTheme="minorEastAsia" w:cstheme="minorEastAsia"/>
          <w:b/>
          <w:sz w:val="24"/>
          <w:szCs w:val="24"/>
        </w:rPr>
      </w:pPr>
      <w:r>
        <w:rPr>
          <w:rFonts w:hint="eastAsia" w:asciiTheme="minorEastAsia" w:hAnsiTheme="minorEastAsia" w:cstheme="minorEastAsia"/>
          <w:sz w:val="24"/>
          <w:szCs w:val="24"/>
        </w:rPr>
        <w:t>11.4本合同包含以下附件，附件与本合同具有同等法律效力。</w:t>
      </w:r>
    </w:p>
    <w:p>
      <w:pPr>
        <w:numPr>
          <w:ilvl w:val="0"/>
          <w:numId w:val="7"/>
        </w:numPr>
        <w:spacing w:line="400" w:lineRule="exact"/>
        <w:ind w:left="480"/>
        <w:rPr>
          <w:rFonts w:asciiTheme="minorEastAsia" w:hAnsiTheme="minorEastAsia" w:cstheme="minorEastAsia"/>
          <w:sz w:val="24"/>
          <w:szCs w:val="24"/>
        </w:rPr>
      </w:pPr>
      <w:r>
        <w:rPr>
          <w:rFonts w:hint="eastAsia" w:asciiTheme="minorEastAsia" w:hAnsiTheme="minorEastAsia" w:cstheme="minorEastAsia"/>
          <w:sz w:val="24"/>
          <w:szCs w:val="24"/>
        </w:rPr>
        <w:t>工程质量保修书</w:t>
      </w:r>
    </w:p>
    <w:p>
      <w:pPr>
        <w:numPr>
          <w:ilvl w:val="0"/>
          <w:numId w:val="7"/>
        </w:numPr>
        <w:spacing w:line="400" w:lineRule="exact"/>
        <w:ind w:left="480"/>
        <w:rPr>
          <w:rFonts w:asciiTheme="minorEastAsia" w:hAnsiTheme="minorEastAsia" w:cstheme="minorEastAsia"/>
          <w:sz w:val="24"/>
          <w:szCs w:val="24"/>
        </w:rPr>
      </w:pPr>
      <w:r>
        <w:rPr>
          <w:rFonts w:hint="eastAsia" w:asciiTheme="minorEastAsia" w:hAnsiTheme="minorEastAsia" w:cstheme="minorEastAsia"/>
          <w:sz w:val="24"/>
          <w:szCs w:val="24"/>
        </w:rPr>
        <w:t xml:space="preserve">安全文明施工协议书  </w:t>
      </w:r>
    </w:p>
    <w:p>
      <w:pPr>
        <w:numPr>
          <w:ilvl w:val="0"/>
          <w:numId w:val="7"/>
        </w:numPr>
        <w:spacing w:line="400" w:lineRule="exact"/>
        <w:ind w:left="480"/>
        <w:rPr>
          <w:rFonts w:asciiTheme="minorEastAsia" w:hAnsiTheme="minorEastAsia" w:cstheme="minorEastAsia"/>
          <w:sz w:val="24"/>
          <w:szCs w:val="24"/>
        </w:rPr>
      </w:pPr>
      <w:r>
        <w:rPr>
          <w:rFonts w:hint="eastAsia" w:asciiTheme="minorEastAsia" w:hAnsiTheme="minorEastAsia" w:cstheme="minorEastAsia"/>
          <w:sz w:val="24"/>
          <w:szCs w:val="24"/>
        </w:rPr>
        <w:t>疫情防控责任书</w:t>
      </w:r>
    </w:p>
    <w:p>
      <w:pPr>
        <w:tabs>
          <w:tab w:val="right" w:pos="8306"/>
        </w:tabs>
        <w:adjustRightInd w:val="0"/>
        <w:snapToGrid w:val="0"/>
        <w:spacing w:line="400" w:lineRule="exact"/>
        <w:ind w:left="900" w:leftChars="200" w:hanging="480" w:hangingChars="200"/>
        <w:rPr>
          <w:rFonts w:asciiTheme="minorEastAsia" w:hAnsiTheme="minorEastAsia" w:cstheme="minorEastAsia"/>
          <w:sz w:val="24"/>
          <w:szCs w:val="24"/>
        </w:rPr>
      </w:pPr>
      <w:r>
        <w:rPr>
          <w:rFonts w:hint="eastAsia" w:asciiTheme="minorEastAsia" w:hAnsiTheme="minorEastAsia" w:cstheme="minorEastAsia"/>
          <w:sz w:val="24"/>
          <w:szCs w:val="24"/>
        </w:rPr>
        <w:t>甲方：杭州萧山国际机场有限公司  乙方：</w:t>
      </w:r>
    </w:p>
    <w:p>
      <w:pPr>
        <w:adjustRightInd w:val="0"/>
        <w:snapToGrid w:val="0"/>
        <w:spacing w:line="400" w:lineRule="exact"/>
        <w:ind w:left="900" w:leftChars="200" w:hanging="480" w:hangingChars="200"/>
        <w:rPr>
          <w:rFonts w:asciiTheme="minorEastAsia" w:hAnsiTheme="minorEastAsia" w:cstheme="minorEastAsia"/>
          <w:sz w:val="24"/>
          <w:szCs w:val="24"/>
        </w:rPr>
      </w:pPr>
      <w:r>
        <w:rPr>
          <w:rFonts w:hint="eastAsia" w:asciiTheme="minorEastAsia" w:hAnsiTheme="minorEastAsia" w:cstheme="minorEastAsia"/>
          <w:sz w:val="24"/>
          <w:szCs w:val="24"/>
        </w:rPr>
        <w:t>地址：杭州萧山国际机场内        地址：</w:t>
      </w:r>
    </w:p>
    <w:p>
      <w:pPr>
        <w:adjustRightInd w:val="0"/>
        <w:snapToGrid w:val="0"/>
        <w:spacing w:line="400" w:lineRule="exact"/>
        <w:ind w:left="900" w:leftChars="200" w:hanging="480" w:hangingChars="200"/>
        <w:rPr>
          <w:rFonts w:asciiTheme="minorEastAsia" w:hAnsiTheme="minorEastAsia" w:cstheme="minorEastAsia"/>
          <w:sz w:val="24"/>
          <w:szCs w:val="24"/>
        </w:rPr>
      </w:pPr>
      <w:r>
        <w:rPr>
          <w:rFonts w:hint="eastAsia" w:asciiTheme="minorEastAsia" w:hAnsiTheme="minorEastAsia" w:cstheme="minorEastAsia"/>
          <w:sz w:val="24"/>
          <w:szCs w:val="24"/>
        </w:rPr>
        <w:t>法定代表人：                     法定代表人：</w:t>
      </w:r>
    </w:p>
    <w:p>
      <w:pPr>
        <w:adjustRightInd w:val="0"/>
        <w:snapToGrid w:val="0"/>
        <w:spacing w:line="400" w:lineRule="exact"/>
        <w:ind w:left="900" w:leftChars="200" w:hanging="480" w:hangingChars="200"/>
        <w:rPr>
          <w:rFonts w:asciiTheme="minorEastAsia" w:hAnsiTheme="minorEastAsia" w:cstheme="minorEastAsia"/>
          <w:sz w:val="24"/>
          <w:szCs w:val="24"/>
        </w:rPr>
      </w:pPr>
      <w:r>
        <w:rPr>
          <w:rFonts w:hint="eastAsia" w:asciiTheme="minorEastAsia" w:hAnsiTheme="minorEastAsia" w:cstheme="minorEastAsia"/>
          <w:sz w:val="24"/>
          <w:szCs w:val="24"/>
        </w:rPr>
        <w:t>或                               或</w:t>
      </w:r>
    </w:p>
    <w:p>
      <w:pPr>
        <w:adjustRightInd w:val="0"/>
        <w:snapToGrid w:val="0"/>
        <w:spacing w:line="400" w:lineRule="exact"/>
        <w:ind w:left="900" w:leftChars="200" w:hanging="480" w:hangingChars="200"/>
        <w:rPr>
          <w:rFonts w:asciiTheme="minorEastAsia" w:hAnsiTheme="minorEastAsia" w:cstheme="minorEastAsia"/>
          <w:sz w:val="24"/>
          <w:szCs w:val="24"/>
        </w:rPr>
      </w:pPr>
      <w:r>
        <w:rPr>
          <w:rFonts w:hint="eastAsia" w:asciiTheme="minorEastAsia" w:hAnsiTheme="minorEastAsia" w:cstheme="minorEastAsia"/>
          <w:sz w:val="24"/>
          <w:szCs w:val="24"/>
        </w:rPr>
        <w:t>授权代表：                       授权代表：</w:t>
      </w:r>
    </w:p>
    <w:p>
      <w:pPr>
        <w:adjustRightInd w:val="0"/>
        <w:snapToGrid w:val="0"/>
        <w:spacing w:line="400" w:lineRule="exact"/>
        <w:ind w:left="900" w:leftChars="200" w:hanging="480" w:hangingChars="200"/>
        <w:rPr>
          <w:rFonts w:asciiTheme="minorEastAsia" w:hAnsiTheme="minorEastAsia" w:cstheme="minorEastAsia"/>
          <w:sz w:val="24"/>
          <w:szCs w:val="24"/>
        </w:rPr>
      </w:pPr>
      <w:r>
        <w:rPr>
          <w:rFonts w:hint="eastAsia" w:asciiTheme="minorEastAsia" w:hAnsiTheme="minorEastAsia" w:cstheme="minorEastAsia"/>
          <w:sz w:val="24"/>
          <w:szCs w:val="24"/>
        </w:rPr>
        <w:t xml:space="preserve">签字日期：                       签字日期： </w:t>
      </w:r>
    </w:p>
    <w:p>
      <w:pPr>
        <w:adjustRightInd w:val="0"/>
        <w:snapToGrid w:val="0"/>
        <w:spacing w:line="400" w:lineRule="exact"/>
        <w:ind w:left="902" w:leftChars="200" w:hanging="482" w:hangingChars="200"/>
        <w:rPr>
          <w:rFonts w:asciiTheme="minorEastAsia" w:hAnsiTheme="minorEastAsia" w:cstheme="minorEastAsia"/>
          <w:b/>
          <w:sz w:val="24"/>
          <w:szCs w:val="24"/>
        </w:rPr>
      </w:pPr>
    </w:p>
    <w:p>
      <w:pPr>
        <w:adjustRightInd w:val="0"/>
        <w:snapToGrid w:val="0"/>
        <w:spacing w:line="400" w:lineRule="exact"/>
        <w:ind w:left="1320" w:leftChars="400" w:hanging="480" w:hangingChars="200"/>
        <w:rPr>
          <w:rFonts w:asciiTheme="minorEastAsia" w:hAnsiTheme="minorEastAsia" w:cstheme="minorEastAsia"/>
          <w:sz w:val="24"/>
          <w:szCs w:val="24"/>
        </w:rPr>
      </w:pPr>
      <w:r>
        <w:rPr>
          <w:rFonts w:hint="eastAsia" w:asciiTheme="minorEastAsia" w:hAnsiTheme="minorEastAsia" w:cstheme="minorEastAsia"/>
          <w:sz w:val="24"/>
          <w:szCs w:val="24"/>
        </w:rPr>
        <w:t>年  月  日                      年  月  日</w:t>
      </w:r>
    </w:p>
    <w:p>
      <w:pPr>
        <w:pageBreakBefore/>
        <w:adjustRightInd w:val="0"/>
        <w:snapToGrid w:val="0"/>
        <w:spacing w:line="400" w:lineRule="exact"/>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附件一：</w:t>
      </w:r>
    </w:p>
    <w:p>
      <w:pPr>
        <w:spacing w:line="360" w:lineRule="exact"/>
        <w:jc w:val="center"/>
        <w:rPr>
          <w:rFonts w:asciiTheme="minorEastAsia" w:hAnsiTheme="minorEastAsia" w:cstheme="minorEastAsia"/>
          <w:b/>
          <w:bCs/>
          <w:sz w:val="24"/>
          <w:szCs w:val="24"/>
        </w:rPr>
      </w:pPr>
      <w:r>
        <w:rPr>
          <w:rFonts w:hint="eastAsia" w:asciiTheme="minorEastAsia" w:hAnsiTheme="minorEastAsia" w:cstheme="minorEastAsia"/>
          <w:b/>
          <w:bCs/>
          <w:sz w:val="24"/>
          <w:szCs w:val="24"/>
        </w:rPr>
        <w:t>工程质量保修书</w:t>
      </w:r>
    </w:p>
    <w:p>
      <w:pPr>
        <w:spacing w:line="360" w:lineRule="exact"/>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 xml:space="preserve">发包人（全称）：杭州萧山国际机场有限公司                                </w:t>
      </w:r>
    </w:p>
    <w:p>
      <w:pPr>
        <w:spacing w:line="360" w:lineRule="exact"/>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 xml:space="preserve">承包人（全称）：                                 </w:t>
      </w:r>
    </w:p>
    <w:p>
      <w:pPr>
        <w:spacing w:line="360" w:lineRule="exact"/>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发包人和承包人根据《中华人民共和国建筑法》和《建设工程质量管理条例》，经协商一致就</w:t>
      </w:r>
      <w:bookmarkStart w:id="20" w:name="_Hlk119436069"/>
      <w:r>
        <w:rPr>
          <w:rFonts w:hint="eastAsia" w:asciiTheme="minorEastAsia" w:hAnsiTheme="minorEastAsia" w:cstheme="minorEastAsia"/>
          <w:sz w:val="24"/>
          <w:szCs w:val="24"/>
          <w:u w:val="single"/>
        </w:rPr>
        <w:t>杭州萧山国际机场6号道口改造项目</w:t>
      </w:r>
      <w:bookmarkEnd w:id="20"/>
      <w:r>
        <w:rPr>
          <w:rFonts w:hint="eastAsia" w:asciiTheme="minorEastAsia" w:hAnsiTheme="minorEastAsia" w:cstheme="minorEastAsia"/>
          <w:sz w:val="24"/>
          <w:szCs w:val="24"/>
        </w:rPr>
        <w:t>（工程全称）签订工程质量保修书。</w:t>
      </w:r>
    </w:p>
    <w:p>
      <w:pPr>
        <w:spacing w:line="360" w:lineRule="exact"/>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一、工程质量保修范围和内容　</w:t>
      </w:r>
    </w:p>
    <w:p>
      <w:pPr>
        <w:spacing w:line="360" w:lineRule="exact"/>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承包人在质量保修期内，按照有关法律规定和合同约定，承担工程质量保修责任。</w:t>
      </w:r>
    </w:p>
    <w:p>
      <w:pPr>
        <w:spacing w:line="360" w:lineRule="exact"/>
        <w:rPr>
          <w:rFonts w:asciiTheme="minorEastAsia" w:hAnsiTheme="minorEastAsia" w:cstheme="minorEastAsia"/>
          <w:sz w:val="24"/>
          <w:szCs w:val="24"/>
        </w:rPr>
      </w:pPr>
      <w:r>
        <w:rPr>
          <w:rFonts w:hint="eastAsia" w:asciiTheme="minorEastAsia" w:hAnsiTheme="minorEastAsia" w:cstheme="minorEastAsia"/>
          <w:sz w:val="24"/>
          <w:szCs w:val="24"/>
        </w:rPr>
        <w:t>　　质量保修范围包括地基基础工程、主体结构工程，屋面防水工程、有防水要求的卫生间、房间和外墙面的防渗漏，供热与供冷系统，电气管线、给排水管道、设备安装和装修工程，以及双方约定的其他项目。具体保修的内容，双方约定如下：</w:t>
      </w:r>
    </w:p>
    <w:p>
      <w:pPr>
        <w:spacing w:line="360" w:lineRule="exact"/>
        <w:rPr>
          <w:rFonts w:asciiTheme="minorEastAsia" w:hAnsiTheme="minorEastAsia" w:cstheme="minorEastAsia"/>
          <w:sz w:val="24"/>
          <w:szCs w:val="24"/>
        </w:rPr>
      </w:pPr>
      <w:r>
        <w:rPr>
          <w:rFonts w:hint="eastAsia" w:asciiTheme="minorEastAsia" w:hAnsiTheme="minorEastAsia" w:cstheme="minorEastAsia"/>
          <w:sz w:val="24"/>
          <w:szCs w:val="24"/>
        </w:rPr>
        <w:t>　　本次工程所涉及的所有内容 。</w:t>
      </w:r>
    </w:p>
    <w:p>
      <w:pPr>
        <w:spacing w:line="360" w:lineRule="exact"/>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二、质量保修期</w:t>
      </w:r>
    </w:p>
    <w:p>
      <w:pPr>
        <w:spacing w:line="360" w:lineRule="exact"/>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根据《建设工程质量管理条例》及有关规定，工程的质量保修期如下：</w:t>
      </w:r>
    </w:p>
    <w:p>
      <w:pPr>
        <w:spacing w:line="360" w:lineRule="exact"/>
        <w:ind w:firstLine="480" w:firstLineChars="200"/>
        <w:rPr>
          <w:rFonts w:hint="eastAsia" w:asciiTheme="minorEastAsia" w:hAnsiTheme="minorEastAsia" w:cstheme="minorEastAsia"/>
          <w:sz w:val="24"/>
          <w:szCs w:val="24"/>
        </w:rPr>
      </w:pPr>
      <w:r>
        <w:rPr>
          <w:rFonts w:hint="eastAsia" w:asciiTheme="minorEastAsia" w:hAnsiTheme="minorEastAsia" w:cstheme="minorEastAsia"/>
          <w:sz w:val="24"/>
          <w:szCs w:val="24"/>
        </w:rPr>
        <w:t>1．地基基础工程和主体结构工程为设计文件规定的工程合理使用年限；</w:t>
      </w:r>
    </w:p>
    <w:p>
      <w:pPr>
        <w:spacing w:line="360" w:lineRule="exact"/>
        <w:ind w:firstLine="480" w:firstLineChars="200"/>
        <w:rPr>
          <w:rFonts w:hint="eastAsia" w:asciiTheme="minorEastAsia" w:hAnsiTheme="minorEastAsia" w:cstheme="minorEastAsia"/>
          <w:sz w:val="24"/>
          <w:szCs w:val="24"/>
        </w:rPr>
      </w:pPr>
      <w:r>
        <w:rPr>
          <w:rFonts w:hint="eastAsia" w:asciiTheme="minorEastAsia" w:hAnsiTheme="minorEastAsia" w:cstheme="minorEastAsia"/>
          <w:sz w:val="24"/>
          <w:szCs w:val="24"/>
        </w:rPr>
        <w:t>2．屋面防水工程、有防水要求的卫生间、房间和外墙面的防渗为5 年；</w:t>
      </w:r>
    </w:p>
    <w:p>
      <w:pPr>
        <w:spacing w:line="360" w:lineRule="exact"/>
        <w:ind w:firstLine="480" w:firstLineChars="200"/>
        <w:rPr>
          <w:rFonts w:hint="eastAsia" w:asciiTheme="minorEastAsia" w:hAnsiTheme="minorEastAsia" w:cstheme="minorEastAsia"/>
          <w:sz w:val="24"/>
          <w:szCs w:val="24"/>
        </w:rPr>
      </w:pPr>
      <w:r>
        <w:rPr>
          <w:rFonts w:hint="eastAsia" w:asciiTheme="minorEastAsia" w:hAnsiTheme="minorEastAsia" w:cstheme="minorEastAsia"/>
          <w:sz w:val="24"/>
          <w:szCs w:val="24"/>
        </w:rPr>
        <w:t>3．装修工程为2 年；</w:t>
      </w:r>
    </w:p>
    <w:p>
      <w:pPr>
        <w:spacing w:line="360" w:lineRule="exact"/>
        <w:ind w:firstLine="480" w:firstLineChars="200"/>
        <w:rPr>
          <w:rFonts w:hint="eastAsia" w:asciiTheme="minorEastAsia" w:hAnsiTheme="minorEastAsia" w:cstheme="minorEastAsia"/>
          <w:sz w:val="24"/>
          <w:szCs w:val="24"/>
        </w:rPr>
      </w:pPr>
      <w:r>
        <w:rPr>
          <w:rFonts w:hint="eastAsia" w:asciiTheme="minorEastAsia" w:hAnsiTheme="minorEastAsia" w:cstheme="minorEastAsia"/>
          <w:sz w:val="24"/>
          <w:szCs w:val="24"/>
        </w:rPr>
        <w:t>4．电气管线、给排水管道、设备安装工程为 2 年；</w:t>
      </w:r>
    </w:p>
    <w:p>
      <w:pPr>
        <w:spacing w:line="360" w:lineRule="exact"/>
        <w:ind w:firstLine="480" w:firstLineChars="200"/>
        <w:rPr>
          <w:rFonts w:hint="eastAsia" w:asciiTheme="minorEastAsia" w:hAnsiTheme="minorEastAsia" w:cstheme="minorEastAsia"/>
          <w:sz w:val="24"/>
          <w:szCs w:val="24"/>
        </w:rPr>
      </w:pPr>
      <w:r>
        <w:rPr>
          <w:rFonts w:hint="eastAsia" w:asciiTheme="minorEastAsia" w:hAnsiTheme="minorEastAsia" w:cstheme="minorEastAsia"/>
          <w:sz w:val="24"/>
          <w:szCs w:val="24"/>
        </w:rPr>
        <w:t>5．供热与供冷系统为2 个采暖期、供冷期；</w:t>
      </w:r>
    </w:p>
    <w:p>
      <w:pPr>
        <w:spacing w:line="360" w:lineRule="exact"/>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6．住宅小区内的给排水设施、道路等配套工程为2年；</w:t>
      </w:r>
    </w:p>
    <w:p>
      <w:pPr>
        <w:spacing w:line="360" w:lineRule="exact"/>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7．其他项目保修期限约定如下：</w:t>
      </w:r>
    </w:p>
    <w:p>
      <w:pPr>
        <w:spacing w:line="360" w:lineRule="exact"/>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质量保修期自工程竣工验收合格之日起计算。</w:t>
      </w:r>
    </w:p>
    <w:p>
      <w:pPr>
        <w:spacing w:line="360" w:lineRule="exact"/>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三、缺陷责任期</w:t>
      </w:r>
    </w:p>
    <w:p>
      <w:pPr>
        <w:spacing w:line="360" w:lineRule="exact"/>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工程缺陷责任期为</w:t>
      </w:r>
      <w:r>
        <w:rPr>
          <w:rFonts w:asciiTheme="minorEastAsia" w:hAnsiTheme="minorEastAsia" w:cstheme="minorEastAsia"/>
          <w:sz w:val="24"/>
          <w:szCs w:val="24"/>
          <w:u w:val="single"/>
        </w:rPr>
        <w:t>24</w:t>
      </w:r>
      <w:r>
        <w:rPr>
          <w:rFonts w:hint="eastAsia" w:asciiTheme="minorEastAsia" w:hAnsiTheme="minorEastAsia" w:cstheme="minorEastAsia"/>
          <w:sz w:val="24"/>
          <w:szCs w:val="24"/>
        </w:rPr>
        <w:t>个月，缺陷责任期自工程竣工验收合格之日起计算。单位工程先于全部工程进行验收，单位工程缺陷责任期自单位工程验收合格之日起算。</w:t>
      </w:r>
    </w:p>
    <w:p>
      <w:pPr>
        <w:spacing w:line="360" w:lineRule="exact"/>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缺陷责任期届满后，缺陷责任期届满后，经发包人确认核实，承包人不存在违约情形以及质量保修不存在问题后</w:t>
      </w:r>
      <w:r>
        <w:rPr>
          <w:rFonts w:hint="eastAsia" w:asciiTheme="minorEastAsia" w:hAnsiTheme="minorEastAsia" w:cstheme="minorEastAsia"/>
          <w:sz w:val="24"/>
          <w:szCs w:val="24"/>
          <w:u w:val="single"/>
        </w:rPr>
        <w:t>15</w:t>
      </w:r>
      <w:r>
        <w:rPr>
          <w:rFonts w:hint="eastAsia" w:asciiTheme="minorEastAsia" w:hAnsiTheme="minorEastAsia" w:cstheme="minorEastAsia"/>
          <w:sz w:val="24"/>
          <w:szCs w:val="24"/>
        </w:rPr>
        <w:t>天内无息返还质保金。</w:t>
      </w:r>
    </w:p>
    <w:p>
      <w:pPr>
        <w:spacing w:line="360" w:lineRule="exact"/>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四、质量保修责任</w:t>
      </w:r>
    </w:p>
    <w:p>
      <w:pPr>
        <w:spacing w:line="360" w:lineRule="exact"/>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1．属于保修范围、内容的项目，承包人应当在接到保修通知之日起</w:t>
      </w:r>
      <w:r>
        <w:rPr>
          <w:rFonts w:hint="eastAsia" w:asciiTheme="minorEastAsia" w:hAnsiTheme="minorEastAsia" w:cstheme="minorEastAsia"/>
          <w:sz w:val="24"/>
          <w:szCs w:val="24"/>
          <w:u w:val="single"/>
        </w:rPr>
        <w:t>2</w:t>
      </w:r>
      <w:r>
        <w:rPr>
          <w:rFonts w:hint="eastAsia" w:asciiTheme="minorEastAsia" w:hAnsiTheme="minorEastAsia" w:cstheme="minorEastAsia"/>
          <w:sz w:val="24"/>
          <w:szCs w:val="24"/>
        </w:rPr>
        <w:t>天内派人保修。承包人不在约定期限内派人保修的，发包人可以自行委托他人修理。费用从质量保证金中扣除。修复部分的质保期自修复之日起重新开始计算。</w:t>
      </w:r>
    </w:p>
    <w:p>
      <w:pPr>
        <w:spacing w:line="360" w:lineRule="exact"/>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2．发生紧急事故需抢修的，承包人在接到事故通知后，应当立即到达事故现场进行持续抢修直至修复。</w:t>
      </w:r>
    </w:p>
    <w:p>
      <w:pPr>
        <w:spacing w:line="360" w:lineRule="exact"/>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3．对于涉及结构安全的质量问题，应当按照《建设工程质量管理条例》的规定，立即向当地建设行政主管部门和有关部门报告，采取安全防范措施，并由原设计人或者具有相应资质等级的设计人提出保修方案，承包人实施保修。</w:t>
      </w:r>
    </w:p>
    <w:p>
      <w:pPr>
        <w:spacing w:line="360" w:lineRule="exact"/>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4．质量保修完成后，由发包人组织验收。验收不合格的，发包人有权自行委托第三方修理，全部费用由承包人承担，由发包人与第三方确认后直接从质保金中扣除。</w:t>
      </w:r>
    </w:p>
    <w:p>
      <w:pPr>
        <w:spacing w:line="360" w:lineRule="exact"/>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五、保修费用</w:t>
      </w:r>
    </w:p>
    <w:p>
      <w:pPr>
        <w:spacing w:line="360" w:lineRule="exact"/>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保修费用由造成质量缺陷的责任方承担；对责任方的确定产生疑问或争议的，依发包人委托的鉴定机构所出具的独立报告来确定。</w:t>
      </w:r>
    </w:p>
    <w:p>
      <w:pPr>
        <w:spacing w:line="360" w:lineRule="exact"/>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 xml:space="preserve">六、双方约定的其他工程质量保修事项： </w:t>
      </w:r>
    </w:p>
    <w:p>
      <w:pPr>
        <w:spacing w:line="360" w:lineRule="exact"/>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1、在承包人人员到达之前，发包人可采取适当的应急措施，费用由承包人承担。</w:t>
      </w:r>
    </w:p>
    <w:p>
      <w:pPr>
        <w:spacing w:line="360" w:lineRule="exact"/>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2、遇下列特殊情况的，承包人同意发包人或管理单位可以对一定金额（材料安装类5000元，土建类 10000元）以内的维修项目进行应急处理，先行委托其他单位进行维修，所产生的维修费用由承包人承担。承包人应于收到通知后7日内支付通知书中确定的金额。</w:t>
      </w:r>
    </w:p>
    <w:p>
      <w:pPr>
        <w:spacing w:line="360" w:lineRule="exact"/>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a．紧急抢修事故时，为避免损失进一步扩大；</w:t>
      </w:r>
    </w:p>
    <w:p>
      <w:pPr>
        <w:spacing w:line="360" w:lineRule="exact"/>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b．直接影响到工程正常运行或危害人身财产及财产安全时；</w:t>
      </w:r>
    </w:p>
    <w:p>
      <w:pPr>
        <w:spacing w:line="360" w:lineRule="exact"/>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3、发包人或工程管理单位认为需召开维保工作协调会时，承包人应当准时参加，会议上提出的问题必须当场确定解决方案，承包人对其派出与会人员的签字确认负全部责任，并应当执行会议决定。否则，视作承包人未履行维修义务。</w:t>
      </w:r>
    </w:p>
    <w:p>
      <w:pPr>
        <w:spacing w:line="360" w:lineRule="exact"/>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4、因工程质量问题发生工程维修费用或对第三人赔偿损失的，发包人通知承包人应承担的费用或损失金额，承包人应于收到通知后7日内支付通知书中确定的金额。</w:t>
      </w:r>
    </w:p>
    <w:p>
      <w:pPr>
        <w:spacing w:line="360" w:lineRule="exact"/>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5、承包人负责保修的质量，工程保修项目完成后须经发包人或工程管理单位代表验收签字方视为完成相应保修项目。工程保修项目应保证在六个月内不出现同类问题，否则，即使保修期满也应继续维修。对于更换了重要组件或整个设备的较大维修项目，它原有保修日期应从设备更换或大修之日起重新按国家有关最低标准确定。</w:t>
      </w:r>
    </w:p>
    <w:p>
      <w:pPr>
        <w:spacing w:line="360" w:lineRule="exact"/>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对同一工程质量问题承包人维修两次后，再次发生该质量问题的，发包人工程管理部门有权安排自行维修、委托其他单位维修，所产生相关费用包括维修费等均由承包人承担。承包人应于收到通知后7日内支付通知书中确定的金额。</w:t>
      </w:r>
    </w:p>
    <w:p>
      <w:pPr>
        <w:spacing w:line="360" w:lineRule="exact"/>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6、工程质量保修书由发包人、承包人在工程竣工验收前共同盖章，作为本施工合同附件，其有效期限至质保期届满且发包人书面确认承包人完成全部保修工作止。</w:t>
      </w:r>
    </w:p>
    <w:p>
      <w:pPr>
        <w:spacing w:line="360" w:lineRule="exact"/>
        <w:rPr>
          <w:rFonts w:asciiTheme="minorEastAsia" w:hAnsiTheme="minorEastAsia" w:cstheme="minorEastAsia"/>
          <w:sz w:val="24"/>
          <w:szCs w:val="24"/>
        </w:rPr>
      </w:pPr>
    </w:p>
    <w:p>
      <w:pPr>
        <w:spacing w:line="360" w:lineRule="exact"/>
        <w:rPr>
          <w:rFonts w:asciiTheme="minorEastAsia" w:hAnsiTheme="minorEastAsia" w:cstheme="minorEastAsia"/>
          <w:sz w:val="24"/>
          <w:szCs w:val="24"/>
        </w:rPr>
      </w:pPr>
      <w:r>
        <w:rPr>
          <w:rFonts w:hint="eastAsia" w:asciiTheme="minorEastAsia" w:hAnsiTheme="minorEastAsia" w:cstheme="minorEastAsia"/>
          <w:sz w:val="24"/>
          <w:szCs w:val="24"/>
        </w:rPr>
        <w:t xml:space="preserve">发包人(公章)：                     承包人(公章)：    </w:t>
      </w:r>
    </w:p>
    <w:p>
      <w:pPr>
        <w:pStyle w:val="13"/>
        <w:tabs>
          <w:tab w:val="left" w:pos="426"/>
        </w:tabs>
        <w:snapToGrid w:val="0"/>
        <w:spacing w:line="360" w:lineRule="exact"/>
        <w:ind w:firstLine="220"/>
        <w:rPr>
          <w:rFonts w:asciiTheme="minorEastAsia" w:hAnsiTheme="minorEastAsia" w:eastAsiaTheme="minorEastAsia" w:cstheme="minorEastAsia"/>
          <w:sz w:val="24"/>
        </w:rPr>
      </w:pPr>
    </w:p>
    <w:p>
      <w:pPr>
        <w:pStyle w:val="13"/>
        <w:tabs>
          <w:tab w:val="left" w:pos="426"/>
        </w:tabs>
        <w:snapToGrid w:val="0"/>
        <w:spacing w:line="360" w:lineRule="exact"/>
        <w:ind w:firstLine="220"/>
        <w:rPr>
          <w:rFonts w:asciiTheme="minorEastAsia" w:hAnsiTheme="minorEastAsia" w:eastAsiaTheme="minorEastAsia" w:cstheme="minorEastAsia"/>
          <w:sz w:val="24"/>
        </w:rPr>
      </w:pPr>
    </w:p>
    <w:p>
      <w:pPr>
        <w:spacing w:line="360" w:lineRule="exact"/>
        <w:rPr>
          <w:rFonts w:asciiTheme="minorEastAsia" w:hAnsiTheme="minorEastAsia" w:cstheme="minorEastAsia"/>
          <w:sz w:val="24"/>
          <w:szCs w:val="24"/>
        </w:rPr>
      </w:pPr>
    </w:p>
    <w:p>
      <w:pPr>
        <w:spacing w:line="360" w:lineRule="exact"/>
        <w:rPr>
          <w:rFonts w:asciiTheme="minorEastAsia" w:hAnsiTheme="minorEastAsia" w:cstheme="minorEastAsia"/>
          <w:sz w:val="24"/>
          <w:szCs w:val="24"/>
        </w:rPr>
      </w:pPr>
    </w:p>
    <w:p>
      <w:pPr>
        <w:spacing w:line="360" w:lineRule="exact"/>
        <w:rPr>
          <w:rFonts w:asciiTheme="minorEastAsia" w:hAnsiTheme="minorEastAsia" w:cstheme="minorEastAsia"/>
          <w:sz w:val="24"/>
          <w:szCs w:val="24"/>
        </w:rPr>
      </w:pPr>
    </w:p>
    <w:p>
      <w:pPr>
        <w:spacing w:line="360" w:lineRule="exact"/>
        <w:rPr>
          <w:rFonts w:asciiTheme="minorEastAsia" w:hAnsiTheme="minorEastAsia" w:cstheme="minorEastAsia"/>
          <w:sz w:val="24"/>
          <w:szCs w:val="24"/>
        </w:rPr>
      </w:pPr>
    </w:p>
    <w:p>
      <w:pPr>
        <w:spacing w:line="360" w:lineRule="exact"/>
        <w:rPr>
          <w:rFonts w:asciiTheme="minorEastAsia" w:hAnsiTheme="minorEastAsia" w:cstheme="minorEastAsia"/>
          <w:sz w:val="24"/>
          <w:szCs w:val="24"/>
        </w:rPr>
      </w:pPr>
    </w:p>
    <w:p>
      <w:pPr>
        <w:spacing w:line="360" w:lineRule="exact"/>
        <w:rPr>
          <w:rFonts w:asciiTheme="minorEastAsia" w:hAnsiTheme="minorEastAsia" w:cstheme="minorEastAsia"/>
          <w:sz w:val="24"/>
          <w:szCs w:val="24"/>
        </w:rPr>
      </w:pPr>
    </w:p>
    <w:p>
      <w:pPr>
        <w:spacing w:line="360" w:lineRule="exact"/>
        <w:rPr>
          <w:rFonts w:asciiTheme="minorEastAsia" w:hAnsiTheme="minorEastAsia" w:cstheme="minorEastAsia"/>
          <w:sz w:val="24"/>
          <w:szCs w:val="24"/>
        </w:rPr>
      </w:pPr>
    </w:p>
    <w:p>
      <w:pPr>
        <w:spacing w:line="360" w:lineRule="exact"/>
        <w:rPr>
          <w:rFonts w:asciiTheme="minorEastAsia" w:hAnsiTheme="minorEastAsia" w:cstheme="minorEastAsia"/>
          <w:sz w:val="24"/>
          <w:szCs w:val="24"/>
        </w:rPr>
      </w:pPr>
    </w:p>
    <w:p>
      <w:pPr>
        <w:spacing w:line="360" w:lineRule="exact"/>
        <w:rPr>
          <w:rFonts w:asciiTheme="minorEastAsia" w:hAnsiTheme="minorEastAsia" w:cstheme="minorEastAsia"/>
          <w:sz w:val="24"/>
          <w:szCs w:val="24"/>
        </w:rPr>
      </w:pPr>
    </w:p>
    <w:p>
      <w:pPr>
        <w:spacing w:line="360" w:lineRule="exact"/>
        <w:rPr>
          <w:rFonts w:asciiTheme="minorEastAsia" w:hAnsiTheme="minorEastAsia" w:cstheme="minorEastAsia"/>
          <w:sz w:val="24"/>
          <w:szCs w:val="24"/>
        </w:rPr>
      </w:pPr>
    </w:p>
    <w:p>
      <w:pPr>
        <w:spacing w:line="360" w:lineRule="exact"/>
        <w:rPr>
          <w:rFonts w:asciiTheme="minorEastAsia" w:hAnsiTheme="minorEastAsia" w:cstheme="minorEastAsia"/>
          <w:sz w:val="24"/>
          <w:szCs w:val="24"/>
        </w:rPr>
      </w:pPr>
    </w:p>
    <w:p>
      <w:pPr>
        <w:spacing w:line="360" w:lineRule="exact"/>
        <w:rPr>
          <w:rFonts w:asciiTheme="minorEastAsia" w:hAnsiTheme="minorEastAsia" w:cstheme="minorEastAsia"/>
          <w:sz w:val="24"/>
          <w:szCs w:val="24"/>
        </w:rPr>
      </w:pPr>
    </w:p>
    <w:p>
      <w:pPr>
        <w:spacing w:line="360" w:lineRule="exact"/>
        <w:rPr>
          <w:rFonts w:asciiTheme="minorEastAsia" w:hAnsiTheme="minorEastAsia" w:cstheme="minorEastAsia"/>
          <w:sz w:val="24"/>
          <w:szCs w:val="24"/>
        </w:rPr>
      </w:pPr>
    </w:p>
    <w:p>
      <w:pPr>
        <w:pageBreakBefore/>
        <w:spacing w:line="360" w:lineRule="exact"/>
        <w:rPr>
          <w:rFonts w:asciiTheme="minorEastAsia" w:hAnsiTheme="minorEastAsia" w:cstheme="minorEastAsia"/>
          <w:sz w:val="24"/>
          <w:szCs w:val="24"/>
        </w:rPr>
      </w:pPr>
      <w:r>
        <w:rPr>
          <w:rFonts w:hint="eastAsia" w:asciiTheme="minorEastAsia" w:hAnsiTheme="minorEastAsia" w:cstheme="minorEastAsia"/>
          <w:sz w:val="24"/>
          <w:szCs w:val="24"/>
        </w:rPr>
        <w:t>附件二：</w:t>
      </w:r>
    </w:p>
    <w:p>
      <w:pPr>
        <w:tabs>
          <w:tab w:val="left" w:pos="540"/>
        </w:tabs>
        <w:topLinePunct/>
        <w:spacing w:line="360" w:lineRule="exact"/>
        <w:ind w:firstLine="723"/>
        <w:jc w:val="center"/>
        <w:rPr>
          <w:rFonts w:asciiTheme="minorEastAsia" w:hAnsiTheme="minorEastAsia" w:cstheme="minorEastAsia"/>
          <w:b/>
          <w:sz w:val="24"/>
          <w:szCs w:val="24"/>
        </w:rPr>
      </w:pPr>
      <w:r>
        <w:rPr>
          <w:rFonts w:hint="eastAsia" w:asciiTheme="minorEastAsia" w:hAnsiTheme="minorEastAsia" w:cstheme="minorEastAsia"/>
          <w:b/>
          <w:sz w:val="24"/>
          <w:szCs w:val="24"/>
        </w:rPr>
        <w:t>安全文明施工协议书</w:t>
      </w:r>
    </w:p>
    <w:p>
      <w:pPr>
        <w:spacing w:line="360" w:lineRule="exact"/>
        <w:rPr>
          <w:rFonts w:asciiTheme="minorEastAsia" w:hAnsiTheme="minorEastAsia" w:cstheme="minorEastAsia"/>
          <w:b/>
          <w:sz w:val="24"/>
          <w:szCs w:val="24"/>
        </w:rPr>
      </w:pPr>
      <w:r>
        <w:rPr>
          <w:rFonts w:hint="eastAsia" w:asciiTheme="minorEastAsia" w:hAnsiTheme="minorEastAsia" w:cstheme="minorEastAsia"/>
          <w:b/>
          <w:sz w:val="24"/>
          <w:szCs w:val="24"/>
        </w:rPr>
        <w:t>发包人（发包人）：</w:t>
      </w:r>
      <w:r>
        <w:rPr>
          <w:rFonts w:hint="eastAsia" w:asciiTheme="minorEastAsia" w:hAnsiTheme="minorEastAsia" w:cstheme="minorEastAsia"/>
          <w:b/>
          <w:sz w:val="24"/>
          <w:szCs w:val="24"/>
          <w:u w:val="single"/>
        </w:rPr>
        <w:t>杭州萧山国际机场有限公司</w:t>
      </w:r>
    </w:p>
    <w:p>
      <w:pPr>
        <w:spacing w:line="360" w:lineRule="exact"/>
        <w:rPr>
          <w:rFonts w:asciiTheme="minorEastAsia" w:hAnsiTheme="minorEastAsia" w:cstheme="minorEastAsia"/>
          <w:b/>
          <w:sz w:val="24"/>
          <w:szCs w:val="24"/>
          <w:u w:val="single"/>
        </w:rPr>
      </w:pPr>
      <w:r>
        <w:rPr>
          <w:rFonts w:hint="eastAsia" w:asciiTheme="minorEastAsia" w:hAnsiTheme="minorEastAsia" w:cstheme="minorEastAsia"/>
          <w:b/>
          <w:sz w:val="24"/>
          <w:szCs w:val="24"/>
        </w:rPr>
        <w:t>承包人（承包人）：</w:t>
      </w:r>
      <w:r>
        <w:rPr>
          <w:rFonts w:hint="eastAsia" w:asciiTheme="minorEastAsia" w:hAnsiTheme="minorEastAsia" w:cstheme="minorEastAsia"/>
          <w:b/>
          <w:sz w:val="24"/>
          <w:szCs w:val="24"/>
          <w:u w:val="single"/>
        </w:rPr>
        <w:t xml:space="preserve">                           </w:t>
      </w:r>
    </w:p>
    <w:p>
      <w:pPr>
        <w:spacing w:line="360" w:lineRule="exact"/>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为确保</w:t>
      </w:r>
      <w:r>
        <w:rPr>
          <w:rFonts w:hint="eastAsia" w:asciiTheme="minorEastAsia" w:hAnsiTheme="minorEastAsia" w:cstheme="minorEastAsia"/>
          <w:b/>
          <w:sz w:val="24"/>
          <w:szCs w:val="24"/>
          <w:u w:val="single"/>
        </w:rPr>
        <w:t>杭州萧山国际机场6号道口改造项目</w:t>
      </w:r>
      <w:r>
        <w:rPr>
          <w:rFonts w:hint="eastAsia" w:asciiTheme="minorEastAsia" w:hAnsiTheme="minorEastAsia" w:cstheme="minorEastAsia"/>
          <w:sz w:val="24"/>
          <w:szCs w:val="24"/>
        </w:rPr>
        <w:t xml:space="preserve">的顺利实施，保障机场安全、有序运行，保证工程质量和施工安全，保护国家财产和施工人员的安全与健康，维护甲乙双方的合法利益，明确双方责任，保持良好的施工、生活秩序和饮食、环境卫生。根据国家现行的有关法律、法规和安全生产规范、规程及标准，经双方协商，签订本《安全文明施工协议书》。 </w:t>
      </w:r>
    </w:p>
    <w:p>
      <w:pPr>
        <w:spacing w:line="360" w:lineRule="exact"/>
        <w:ind w:firstLine="482" w:firstLineChars="200"/>
        <w:rPr>
          <w:rFonts w:asciiTheme="minorEastAsia" w:hAnsiTheme="minorEastAsia" w:cstheme="minorEastAsia"/>
          <w:bCs/>
          <w:sz w:val="24"/>
          <w:szCs w:val="24"/>
        </w:rPr>
      </w:pPr>
      <w:r>
        <w:rPr>
          <w:rFonts w:hint="eastAsia" w:asciiTheme="minorEastAsia" w:hAnsiTheme="minorEastAsia" w:cstheme="minorEastAsia"/>
          <w:b/>
          <w:sz w:val="24"/>
          <w:szCs w:val="24"/>
        </w:rPr>
        <w:t>一、发包人对承包人实行安全目标管理，安全目标的具体内容是</w:t>
      </w:r>
      <w:r>
        <w:rPr>
          <w:rFonts w:hint="eastAsia" w:asciiTheme="minorEastAsia" w:hAnsiTheme="minorEastAsia" w:cstheme="minorEastAsia"/>
          <w:sz w:val="24"/>
          <w:szCs w:val="24"/>
        </w:rPr>
        <w:t>：</w:t>
      </w:r>
    </w:p>
    <w:p>
      <w:pPr>
        <w:spacing w:line="360" w:lineRule="exact"/>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1、无死亡事故和重大伤害事故(含道路交通事故)。</w:t>
      </w:r>
    </w:p>
    <w:p>
      <w:pPr>
        <w:spacing w:line="360" w:lineRule="exact"/>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2、无重大责任事故。</w:t>
      </w:r>
    </w:p>
    <w:p>
      <w:pPr>
        <w:spacing w:line="360" w:lineRule="exact"/>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3、无空防安全事故。</w:t>
      </w:r>
    </w:p>
    <w:p>
      <w:pPr>
        <w:spacing w:line="360" w:lineRule="exact"/>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4、无七类重大刑事案件(杀人、绑架、强奸、放火、爆炸、劫持、故意伤害致死)及其它严重、恶性案件。</w:t>
      </w:r>
    </w:p>
    <w:p>
      <w:pPr>
        <w:spacing w:line="360" w:lineRule="exact"/>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上述情况的认定按国家和行业的有关规定和标准执行。</w:t>
      </w:r>
    </w:p>
    <w:p>
      <w:pPr>
        <w:spacing w:line="360" w:lineRule="exact"/>
        <w:ind w:firstLine="482" w:firstLineChars="200"/>
        <w:rPr>
          <w:rFonts w:asciiTheme="minorEastAsia" w:hAnsiTheme="minorEastAsia" w:cstheme="minorEastAsia"/>
          <w:b/>
          <w:sz w:val="24"/>
          <w:szCs w:val="24"/>
        </w:rPr>
      </w:pPr>
      <w:r>
        <w:rPr>
          <w:rFonts w:hint="eastAsia" w:asciiTheme="minorEastAsia" w:hAnsiTheme="minorEastAsia" w:cstheme="minorEastAsia"/>
          <w:b/>
          <w:sz w:val="24"/>
          <w:szCs w:val="24"/>
        </w:rPr>
        <w:t>二、发包人的协助责任和权利</w:t>
      </w:r>
    </w:p>
    <w:p>
      <w:pPr>
        <w:spacing w:line="360" w:lineRule="exact"/>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 xml:space="preserve">5、不得对承包人提出违反国家法律、法规和强制性标准规定的要求。 </w:t>
      </w:r>
    </w:p>
    <w:p>
      <w:pPr>
        <w:spacing w:line="360" w:lineRule="exact"/>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 xml:space="preserve">6、不得要求承包人购买、租赁、使用不符合安全施工要求的安全防护用具、机械设备、施工机具及配件、消防设施和器材等。 </w:t>
      </w:r>
    </w:p>
    <w:p>
      <w:pPr>
        <w:spacing w:line="360" w:lineRule="exact"/>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7、由于民航行业的特殊性和空防安全的重要性，发包人对进出飞行区施工的人员和车辆实行通行证管理制度。为此，承包人成员必须参加发包人组织的专门安全教育培训和考试（主要是机场飞行、空防、不停航施工等安全方面知识）；同时发包人应协助承包人对全体施工人员进行安全教育培训和考核，并协助承包人办理相关人员和车辆的施工通行证。</w:t>
      </w:r>
    </w:p>
    <w:p>
      <w:pPr>
        <w:spacing w:line="360" w:lineRule="exact"/>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8、联系和协调机场公安机关，督促施工单位按有关规定申报暂住登记和申领《暂住证》，并协助承包人联系机场公安局商定有关飞行区安全保卫事宜。</w:t>
      </w:r>
    </w:p>
    <w:p>
      <w:pPr>
        <w:spacing w:line="360" w:lineRule="exact"/>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9、利用施工例会定期分析和掌握施工单位的治安情况，通报当前治安形势，交流工作经验，协助处理相关问题。</w:t>
      </w:r>
    </w:p>
    <w:p>
      <w:pPr>
        <w:spacing w:line="360" w:lineRule="exact"/>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10、承包人拒不按照本协议条款规定组织安全文明施工的，发包人有权责令承包人停工整改直至终止合同。</w:t>
      </w:r>
    </w:p>
    <w:p>
      <w:pPr>
        <w:spacing w:line="360" w:lineRule="exact"/>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11、发包人有权对承包人各项安全工作进行监督、检查。</w:t>
      </w:r>
    </w:p>
    <w:p>
      <w:pPr>
        <w:spacing w:line="360" w:lineRule="exact"/>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12、对承包人因违反民航总局第191号令《民用机场运行安全管理规定》而发生不安全事件，发包人有权按照相关处罚条例对承包人予以处罚，造成严重后果或损失重大的，发包人有权将承包人清退出场并追偿由此而造成的损失。</w:t>
      </w:r>
    </w:p>
    <w:p>
      <w:pPr>
        <w:spacing w:line="360" w:lineRule="exact"/>
        <w:ind w:firstLine="482" w:firstLineChars="200"/>
        <w:rPr>
          <w:rFonts w:asciiTheme="minorEastAsia" w:hAnsiTheme="minorEastAsia" w:cstheme="minorEastAsia"/>
          <w:b/>
          <w:sz w:val="24"/>
          <w:szCs w:val="24"/>
        </w:rPr>
      </w:pPr>
      <w:r>
        <w:rPr>
          <w:rFonts w:hint="eastAsia" w:asciiTheme="minorEastAsia" w:hAnsiTheme="minorEastAsia" w:cstheme="minorEastAsia"/>
          <w:b/>
          <w:sz w:val="24"/>
          <w:szCs w:val="24"/>
        </w:rPr>
        <w:t>三、承包人的安全责任和权利</w:t>
      </w:r>
    </w:p>
    <w:p>
      <w:pPr>
        <w:spacing w:line="360" w:lineRule="exact"/>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（一）承包人应从事的施工安全管理</w:t>
      </w:r>
    </w:p>
    <w:p>
      <w:pPr>
        <w:spacing w:line="360" w:lineRule="exact"/>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 xml:space="preserve">13、遵守《中华人民共和国安全生产法》、《建设工程安全管理条例》以及其他安全生产的法律、法规，遵守民航航空安全、空防管理的法律、法规，遵守机场有关安全管理的规章制度。 </w:t>
      </w:r>
    </w:p>
    <w:p>
      <w:pPr>
        <w:spacing w:line="360" w:lineRule="exact"/>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14、对工程项目的施工安全负全责，根据工程特点制定安全施工措施，消除安全事故隐患，确保工程质量和安全。制定并完善各类突发事件的应急预案，一旦发生安全事故应当及时、如实报告和积极应对。对工程依法实行总分包制，总包单位对施工安全负总责，并以安全责任书的方式确定各分包单位的安全责任。</w:t>
      </w:r>
    </w:p>
    <w:p>
      <w:pPr>
        <w:spacing w:line="360" w:lineRule="exact"/>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15、工程开工前，应完成安全生产规章制度和操作规程等相应规章的制定工作；成立由项目负责人为责任人的有效的安全保障网络；指定项目部专职安全员、班组安全员，并接受发包人的培训和考核，合格后方可上岗；对其他施工人员必须进行安全生产教育培训；保证安全生产条件所需资金的投入。开工后应对工程施工安全进行日常、定期和专项的检查，及时发现和消除安全隐患并做好记录。</w:t>
      </w:r>
    </w:p>
    <w:p>
      <w:pPr>
        <w:spacing w:line="360" w:lineRule="exact"/>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 xml:space="preserve">16、对安全作业环境建设及安全施工措施制定、实行所需的费用，应当列入建设工程预算，专款专用，不得挪作他用。 </w:t>
      </w:r>
    </w:p>
    <w:p>
      <w:pPr>
        <w:spacing w:line="360" w:lineRule="exact"/>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17、垂直运输作业人员、安装拆卸工、电工、焊接和切割工、爆破作业人员、消防工程从业人员、起重信号工、登高作业人员等特种行业从业人员，必须按照国家有关规定经过专门的作业培训，并取得相应操作资格后方可上岗作业,并严格遵守相关的操作规章规程。</w:t>
      </w:r>
    </w:p>
    <w:p>
      <w:pPr>
        <w:spacing w:line="360" w:lineRule="exact"/>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18、在施工组织设计中应当制定安全技术措施和施工现场临时用电方案，对危险性较大的部分分项工程应当制定专项施工方案，并附安全验算计算书，经承包人技术负责人、总监理工程师阅览签字后实施，由专职安全生产管理人员进行现场监督。</w:t>
      </w:r>
    </w:p>
    <w:p>
      <w:pPr>
        <w:spacing w:line="360" w:lineRule="exact"/>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 xml:space="preserve">19、在施工前，负责项目管理的技术人员应当对有关安全施工的技术要求向作业班组、作业人员做出书面交底，并由双方确认签字。 </w:t>
      </w:r>
    </w:p>
    <w:p>
      <w:pPr>
        <w:spacing w:line="360" w:lineRule="exact"/>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 xml:space="preserve">20、应根据不同的施工阶段和环境及季节、气候的变化，在施工现场采取相应的安全防护措施；施工现场暂时停止施工的，承包人要做好现场防护工作，所需费用由承包人承担（合同有约定的除外）。 </w:t>
      </w:r>
    </w:p>
    <w:p>
      <w:pPr>
        <w:spacing w:line="360" w:lineRule="exact"/>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 xml:space="preserve">21、应当向作业人员提供安全防护用具和安全防护服装，并书面告知危险岗位的操作规程及违章操作所产生的危害。 </w:t>
      </w:r>
    </w:p>
    <w:p>
      <w:pPr>
        <w:spacing w:line="360" w:lineRule="exact"/>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 xml:space="preserve">22、采购、租赁的安全防护用具、机械设备、施工机具及配件，应当具有生产许可证、产品合格证，并在进入施工现场前进行查验。 </w:t>
      </w:r>
    </w:p>
    <w:p>
      <w:pPr>
        <w:spacing w:line="360" w:lineRule="exact"/>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 xml:space="preserve">23、施工现场的安全防护用具、机械设备、施工机具及配件必须由专人管理，并定期检查、维修和保养，建立相应的资料档案，并按照国家规定及时报废。 </w:t>
      </w:r>
    </w:p>
    <w:p>
      <w:pPr>
        <w:spacing w:line="360" w:lineRule="exact"/>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 xml:space="preserve">24、在采用新技术、新工艺、新设备、新材料时，应当对作业人员进行相应的安全生产教育培训。 </w:t>
      </w:r>
    </w:p>
    <w:p>
      <w:pPr>
        <w:spacing w:line="360" w:lineRule="exact"/>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 xml:space="preserve">25、应当为施工现场从事危险作业的人员办理意外伤害保险，并支付意外伤害保险费。意外伤害保险期自建设工程开工之日起至竣工验收合格止。 </w:t>
      </w:r>
    </w:p>
    <w:p>
      <w:pPr>
        <w:spacing w:line="360" w:lineRule="exact"/>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26、承包人不得在机场和机场净空保护区范围内施放烟花、爆竹、气球等升空物体；不得随意焚烧垃圾等物品制造烟雾；不得饲养动物；不得随意丢弃飘浮物。</w:t>
      </w:r>
    </w:p>
    <w:p>
      <w:pPr>
        <w:spacing w:line="360" w:lineRule="exact"/>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（二）承包人应从事的空防安全管理</w:t>
      </w:r>
    </w:p>
    <w:p>
      <w:pPr>
        <w:spacing w:line="360" w:lineRule="exact"/>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27、必须严格遵守机场安全管理的各项规章制度。属于机场不停航施工项目或需进入机场控制区施工的项目，其人员和车辆实行机场控制区通行证管理制度，即上述区域施工的人员和车辆一律办理机场公安局统一制发的通行证，凭证进入施工现场。</w:t>
      </w:r>
    </w:p>
    <w:p>
      <w:pPr>
        <w:spacing w:line="360" w:lineRule="exact"/>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28、通行证的办理遵从《杭州萧山国际机场控制区通行证管理办法》。在申请办理人员通行证时应当提供真实有效的身份证明、证照及其它相关资料，并进行背景调查，防止有违法、犯罪记录的人员进入施工队伍；在申请办理车辆通行证时应当提供车辆、设备的有效证件和检验记录，并对其真实性负责。上述通行证由承包人提出申请，报发包人备案，办证费用由承包人自理。</w:t>
      </w:r>
    </w:p>
    <w:p>
      <w:pPr>
        <w:spacing w:line="360" w:lineRule="exact"/>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29、需进入机场控制区施工的人员和车辆需主动接受机场管理人员的检查，并服从机场相关职能部门的监管，无通行证者一律不得进入。</w:t>
      </w:r>
    </w:p>
    <w:p>
      <w:pPr>
        <w:spacing w:line="360" w:lineRule="exact"/>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30、应当加强通行证的管理，建立管理台帐。通行证仅限持证本人、本车使用，严禁转借、涂改和冒用；持证人员发生调离、辞退、开除等情况的，应及时收回通行证交由发包人报机场公安机关注销；如发生人员和车辆通行证遗失的，应在第一时间向发包人报告；持证车辆重新调配或报废的，应及时将通行证交由发包人申报注销。上述环节因承包人管理不力发生问题的，承包人应承担由此引发的一切后果和责任。</w:t>
      </w:r>
    </w:p>
    <w:p>
      <w:pPr>
        <w:spacing w:line="360" w:lineRule="exact"/>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（三）承包人应从事的不停航施工项目安全管理</w:t>
      </w:r>
    </w:p>
    <w:p>
      <w:pPr>
        <w:spacing w:line="360" w:lineRule="exact"/>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31、不停航施工是指在机场不关闭并按照航班计划接受和放行航空器的情况下，在飞行区、部分航站区内实施工程作业。不停航施工的项目单位，必须严格遵守《民用机场运行安全管理规定》（CCAR－140）及杭州萧山国际机场有关安全管理规定进行施工。</w:t>
      </w:r>
    </w:p>
    <w:p>
      <w:pPr>
        <w:spacing w:line="360" w:lineRule="exact"/>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32、在机场有飞行任务期间，禁止在跑道端之外300米以内、跑道中心线两侧75米以内的区域进行任何施工作业。如承包人需在跑道端300米以外、跑道中心线两侧75米以外区域施工的，机具、车辆的高度不得穿透障碍物限制面。除特别批准外，在滑行道、机坪道面边线以外施工的，应当与道（坪）边线保持7.5米加上本机场使用最大机型翼展宽度0.5倍的距离。</w:t>
      </w:r>
    </w:p>
    <w:p>
      <w:pPr>
        <w:spacing w:line="360" w:lineRule="exact"/>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33、实行不停航施工的区域，开挖的明沟和施工材料堆放处，必须根据发包人要求用橘黄色小旗标识以示警告；在低能见度的白天和夜间，应当按照发包人要求加设红色恒定灯光；材料和临时堆放的施工垃圾应当采取防止被风或飞机尾流吹散的措施。</w:t>
      </w:r>
    </w:p>
    <w:p>
      <w:pPr>
        <w:spacing w:line="360" w:lineRule="exact"/>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34、施工机具须停放在指定安全区域内。机场开放运行期间，必须严格控制施工机械的活动范围，杜绝出现机具、车辆侵入隔离区或超越机场净空限制面等情况。</w:t>
      </w:r>
    </w:p>
    <w:p>
      <w:pPr>
        <w:spacing w:line="360" w:lineRule="exact"/>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 xml:space="preserve">（四）承包人的文明施工责任 </w:t>
      </w:r>
    </w:p>
    <w:p>
      <w:pPr>
        <w:spacing w:line="360" w:lineRule="exact"/>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35、按照《建筑施工安全检查标准》JGJ59—99的标准和浙江省、杭州市有关文明施工检查评分标准做好文明施工，保证施工项目文明施工合格。</w:t>
      </w:r>
    </w:p>
    <w:p>
      <w:pPr>
        <w:spacing w:line="360" w:lineRule="exact"/>
        <w:ind w:firstLine="240" w:firstLineChars="100"/>
        <w:rPr>
          <w:rFonts w:asciiTheme="minorEastAsia" w:hAnsiTheme="minorEastAsia" w:cstheme="minorEastAsia"/>
          <w:sz w:val="24"/>
          <w:szCs w:val="24"/>
        </w:rPr>
      </w:pPr>
      <w:r>
        <w:rPr>
          <w:rFonts w:hint="eastAsia" w:asciiTheme="minorEastAsia" w:hAnsiTheme="minorEastAsia" w:cstheme="minorEastAsia"/>
          <w:sz w:val="24"/>
          <w:szCs w:val="24"/>
        </w:rPr>
        <w:t xml:space="preserve">  36、建筑材料、构件、料具必须按施工现场总平面布置图堆放，布置合理，并有标识。如有易燃易爆物品应有专门场所分类堆放，专人负责，符合相关消防规定，确保安全。</w:t>
      </w:r>
    </w:p>
    <w:p>
      <w:pPr>
        <w:spacing w:line="360" w:lineRule="exact"/>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37、在施工现场建立清扫制度，落实到人，做到工完料尽场地清，车辆进出场应有防泥带出措施。建筑垃圾及时清运，并堆放到发包人指定地点。土方外运过程，严格按程序操作，不得在机场内外遗洒，应有避免扬尘的措施。</w:t>
      </w:r>
    </w:p>
    <w:p>
      <w:pPr>
        <w:spacing w:line="360" w:lineRule="exact"/>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（五）承包人应从事的社会治安综合治理</w:t>
      </w:r>
    </w:p>
    <w:p>
      <w:pPr>
        <w:spacing w:line="360" w:lineRule="exact"/>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38、做好内部的治安防范工作，对重要部位和物资，要落实人防、物防和技防的措施，积极配合公安机关组织的治安联防活动。</w:t>
      </w:r>
    </w:p>
    <w:p>
      <w:pPr>
        <w:spacing w:line="360" w:lineRule="exact"/>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39、认真排查、调处各类矛盾，及时消除隐患，杜绝各类社会矛盾引发的群体性事件的发生。</w:t>
      </w:r>
    </w:p>
    <w:p>
      <w:pPr>
        <w:spacing w:line="360" w:lineRule="exact"/>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40、制定包括重大安全生产事故、重大道路交通事故、重大消防安全事故、重大刑事案件以及群体性事件等突发性事件在内的应急处置预案，一旦发生，及时报告发包人和上级主管部门并做好处置工作。</w:t>
      </w:r>
    </w:p>
    <w:p>
      <w:pPr>
        <w:spacing w:line="360" w:lineRule="exact"/>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（六）承包人应从事的消防安全管理</w:t>
      </w:r>
    </w:p>
    <w:p>
      <w:pPr>
        <w:spacing w:line="360" w:lineRule="exact"/>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41、遵守国家消防法律法规，建立和健全消防管理规章制度，明确消防安全责任人，健全消防安全网络（配备专职或兼职消防员），建立消防应急队伍，并报发包人和机场公安局消防部门备案。</w:t>
      </w:r>
    </w:p>
    <w:p>
      <w:pPr>
        <w:spacing w:line="360" w:lineRule="exact"/>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42、制定用火、用电、使用易燃材料等各项消防安全操作规程，设置消防通道、消防水源、配备必须的消防设备和灭火器材，并在重点场所重点部位设置消防警示标志。</w:t>
      </w:r>
    </w:p>
    <w:p>
      <w:pPr>
        <w:spacing w:line="360" w:lineRule="exact"/>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43、施工中使用明火，使用电、气进行焊接和切割作业，须经机场公安消防管理部门审查批准，未经批准一律不得使用。</w:t>
      </w:r>
    </w:p>
    <w:p>
      <w:pPr>
        <w:spacing w:line="360" w:lineRule="exact"/>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44、加强对施工人员进行消防安全教育，使其熟悉本岗位防火措施、遇险报警、初期扑救及自救逃生的知识和技能。</w:t>
      </w:r>
    </w:p>
    <w:p>
      <w:pPr>
        <w:spacing w:line="360" w:lineRule="exact"/>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（七）承包人应从事的交通安全管理</w:t>
      </w:r>
    </w:p>
    <w:p>
      <w:pPr>
        <w:spacing w:line="360" w:lineRule="exact"/>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45、加强对下属员工、驾驶人员、承运单位的道路交通安全法律法规宣传教育，车辆进出机场和施工场地均应服从交警及其他交通管理人员的指挥和管理。</w:t>
      </w:r>
    </w:p>
    <w:p>
      <w:pPr>
        <w:spacing w:line="360" w:lineRule="exact"/>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46、对驾驶人员和承运单位应实行交通安全检查考核制度，签订《交通安全责任书》，配备交通安全联络员对运输车辆驾驶员和施工人员进行交通安全教育，减少或控制交通违法行为的发生，禁止严重影响交通安全的违法行为（如超载、超速、酒后驾驶、逆向行驶等）。</w:t>
      </w:r>
    </w:p>
    <w:p>
      <w:pPr>
        <w:spacing w:line="360" w:lineRule="exact"/>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47、确保各类运输车辆技术状况良好，不得使用无号牌、无行驶证、无保险和带故障、检验不合格的运输车辆，不得使用拖拉机和农用运输车。</w:t>
      </w:r>
    </w:p>
    <w:p>
      <w:pPr>
        <w:spacing w:line="360" w:lineRule="exact"/>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48、所有运输车辆均应办理施工通行证并按指定路线和限定速度行驶，不得违反车辆装载规定：超载、超高、超宽。进入控制区施工车辆应开启黄色警示灯。</w:t>
      </w:r>
    </w:p>
    <w:p>
      <w:pPr>
        <w:spacing w:line="360" w:lineRule="exact"/>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49、占用、挖掘道路，跨越道路架设、铺设管线以及大型机械进出机场须提前与发包人协商，征得发包人和机场公安局交警队同意，并采取防护措施和设置明显警示标志方可实施。</w:t>
      </w:r>
    </w:p>
    <w:p>
      <w:pPr>
        <w:spacing w:line="360" w:lineRule="exact"/>
        <w:ind w:firstLine="482" w:firstLineChars="200"/>
        <w:rPr>
          <w:rFonts w:asciiTheme="minorEastAsia" w:hAnsiTheme="minorEastAsia" w:cstheme="minorEastAsia"/>
          <w:b/>
          <w:sz w:val="24"/>
          <w:szCs w:val="24"/>
        </w:rPr>
      </w:pPr>
      <w:r>
        <w:rPr>
          <w:rFonts w:hint="eastAsia" w:asciiTheme="minorEastAsia" w:hAnsiTheme="minorEastAsia" w:cstheme="minorEastAsia"/>
          <w:b/>
          <w:sz w:val="24"/>
          <w:szCs w:val="24"/>
        </w:rPr>
        <w:t>四、违约责任</w:t>
      </w:r>
    </w:p>
    <w:p>
      <w:pPr>
        <w:spacing w:line="360" w:lineRule="exact"/>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50、本《安全文明施工协议书》是工程施工合同的重要组成部分，承包人必须严格遵守和履行，如有违反，发包人可以追究承包人责任；承包人违约情况严重，或是社会影响恶劣，又或是造成发包人或他方重大损失，发包人可解除施工合同且不须向承包人承担任何补偿、赔偿的责任。</w:t>
      </w:r>
    </w:p>
    <w:p>
      <w:pPr>
        <w:spacing w:line="360" w:lineRule="exact"/>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51、严禁因承包人行为导致发生飞行事故征侯，违者扣合同总款的</w:t>
      </w:r>
      <w:r>
        <w:rPr>
          <w:rFonts w:hint="eastAsia" w:asciiTheme="minorEastAsia" w:hAnsiTheme="minorEastAsia" w:cstheme="minorEastAsia"/>
          <w:sz w:val="24"/>
          <w:szCs w:val="24"/>
          <w:u w:val="single"/>
        </w:rPr>
        <w:t>20%</w:t>
      </w:r>
      <w:r>
        <w:rPr>
          <w:rFonts w:hint="eastAsia" w:asciiTheme="minorEastAsia" w:hAnsiTheme="minorEastAsia" w:cstheme="minorEastAsia"/>
          <w:sz w:val="24"/>
          <w:szCs w:val="24"/>
        </w:rPr>
        <w:t>，如发生飞行事故扣合同总款</w:t>
      </w:r>
      <w:r>
        <w:rPr>
          <w:rFonts w:hint="eastAsia" w:asciiTheme="minorEastAsia" w:hAnsiTheme="minorEastAsia" w:cstheme="minorEastAsia"/>
          <w:sz w:val="24"/>
          <w:szCs w:val="24"/>
          <w:u w:val="single"/>
        </w:rPr>
        <w:t>50％</w:t>
      </w:r>
      <w:r>
        <w:rPr>
          <w:rFonts w:hint="eastAsia" w:asciiTheme="minorEastAsia" w:hAnsiTheme="minorEastAsia" w:cstheme="minorEastAsia"/>
          <w:sz w:val="24"/>
          <w:szCs w:val="24"/>
        </w:rPr>
        <w:t>，并追究法律责任。</w:t>
      </w:r>
    </w:p>
    <w:p>
      <w:pPr>
        <w:spacing w:line="360" w:lineRule="exact"/>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五、本协议书附于</w:t>
      </w:r>
      <w:r>
        <w:rPr>
          <w:rFonts w:hint="eastAsia" w:asciiTheme="minorEastAsia" w:hAnsiTheme="minorEastAsia" w:cstheme="minorEastAsia"/>
          <w:sz w:val="24"/>
          <w:szCs w:val="24"/>
          <w:u w:val="single"/>
        </w:rPr>
        <w:t>《杭州萧山国际机场6号道口改造项目施工合同》</w:t>
      </w:r>
      <w:r>
        <w:rPr>
          <w:rFonts w:hint="eastAsia" w:asciiTheme="minorEastAsia" w:hAnsiTheme="minorEastAsia" w:cstheme="minorEastAsia"/>
          <w:sz w:val="24"/>
          <w:szCs w:val="24"/>
        </w:rPr>
        <w:t>后，由甲乙双方共同盖章后生效。</w:t>
      </w:r>
    </w:p>
    <w:p>
      <w:pPr>
        <w:adjustRightInd w:val="0"/>
        <w:snapToGrid w:val="0"/>
        <w:spacing w:line="360" w:lineRule="exact"/>
        <w:rPr>
          <w:rFonts w:asciiTheme="minorEastAsia" w:hAnsiTheme="minorEastAsia" w:cstheme="minorEastAsia"/>
          <w:b/>
          <w:bCs/>
          <w:sz w:val="24"/>
          <w:szCs w:val="24"/>
        </w:rPr>
      </w:pPr>
      <w:r>
        <w:rPr>
          <w:rFonts w:hint="eastAsia" w:asciiTheme="minorEastAsia" w:hAnsiTheme="minorEastAsia" w:cstheme="minorEastAsia"/>
          <w:b/>
          <w:bCs/>
          <w:sz w:val="24"/>
          <w:szCs w:val="24"/>
        </w:rPr>
        <w:t>五、附则：</w:t>
      </w:r>
    </w:p>
    <w:p>
      <w:pPr>
        <w:adjustRightInd w:val="0"/>
        <w:snapToGrid w:val="0"/>
        <w:spacing w:line="360" w:lineRule="exact"/>
        <w:rPr>
          <w:rFonts w:asciiTheme="minorEastAsia" w:hAnsiTheme="minorEastAsia" w:cstheme="minorEastAsia"/>
          <w:sz w:val="24"/>
          <w:szCs w:val="24"/>
        </w:rPr>
      </w:pPr>
      <w:r>
        <w:rPr>
          <w:rFonts w:hint="eastAsia" w:asciiTheme="minorEastAsia" w:hAnsiTheme="minorEastAsia" w:cstheme="minorEastAsia"/>
          <w:sz w:val="24"/>
          <w:szCs w:val="24"/>
        </w:rPr>
        <w:t>（一）由于承包人行为违反国家法律、法规和杭州萧山国际机场有限公司有关规章制度和责任书规定内容，发包人有权对承包人进行处罚。承包人触犯法律的，依法追究有关责任人的法律责任。</w:t>
      </w:r>
    </w:p>
    <w:p>
      <w:pPr>
        <w:adjustRightInd w:val="0"/>
        <w:snapToGrid w:val="0"/>
        <w:spacing w:line="360" w:lineRule="exact"/>
        <w:rPr>
          <w:rFonts w:asciiTheme="minorEastAsia" w:hAnsiTheme="minorEastAsia" w:cstheme="minorEastAsia"/>
          <w:sz w:val="24"/>
          <w:szCs w:val="24"/>
        </w:rPr>
      </w:pPr>
      <w:r>
        <w:rPr>
          <w:rFonts w:hint="eastAsia" w:asciiTheme="minorEastAsia" w:hAnsiTheme="minorEastAsia" w:cstheme="minorEastAsia"/>
          <w:sz w:val="24"/>
          <w:szCs w:val="24"/>
        </w:rPr>
        <w:t>（二）本责任书解释权归发包人。</w:t>
      </w:r>
    </w:p>
    <w:p>
      <w:pPr>
        <w:adjustRightInd w:val="0"/>
        <w:snapToGrid w:val="0"/>
        <w:spacing w:line="360" w:lineRule="exact"/>
        <w:rPr>
          <w:rFonts w:asciiTheme="minorEastAsia" w:hAnsiTheme="minorEastAsia" w:cstheme="minorEastAsia"/>
          <w:sz w:val="24"/>
          <w:szCs w:val="24"/>
        </w:rPr>
      </w:pPr>
      <w:r>
        <w:rPr>
          <w:rFonts w:hint="eastAsia" w:asciiTheme="minorEastAsia" w:hAnsiTheme="minorEastAsia" w:cstheme="minorEastAsia"/>
          <w:sz w:val="24"/>
          <w:szCs w:val="24"/>
        </w:rPr>
        <w:t>（三）本责任书由甲乙双方共同盖章后生效。</w:t>
      </w:r>
    </w:p>
    <w:p>
      <w:pPr>
        <w:adjustRightInd w:val="0"/>
        <w:snapToGrid w:val="0"/>
        <w:spacing w:line="360" w:lineRule="exact"/>
        <w:rPr>
          <w:rFonts w:asciiTheme="minorEastAsia" w:hAnsiTheme="minorEastAsia" w:cstheme="minorEastAsia"/>
          <w:bCs/>
          <w:sz w:val="24"/>
          <w:szCs w:val="24"/>
        </w:rPr>
      </w:pPr>
      <w:r>
        <w:rPr>
          <w:rFonts w:hint="eastAsia" w:asciiTheme="minorEastAsia" w:hAnsiTheme="minorEastAsia" w:cstheme="minorEastAsia"/>
          <w:bCs/>
          <w:sz w:val="24"/>
          <w:szCs w:val="24"/>
        </w:rPr>
        <w:t xml:space="preserve">发包人：                                          承包人： </w:t>
      </w:r>
    </w:p>
    <w:p>
      <w:pPr>
        <w:spacing w:line="360" w:lineRule="exact"/>
        <w:rPr>
          <w:rFonts w:asciiTheme="minorEastAsia" w:hAnsiTheme="minorEastAsia" w:cstheme="minorEastAsia"/>
          <w:sz w:val="24"/>
          <w:szCs w:val="24"/>
        </w:rPr>
      </w:pPr>
      <w:r>
        <w:rPr>
          <w:rFonts w:hint="eastAsia" w:asciiTheme="minorEastAsia" w:hAnsiTheme="minorEastAsia" w:cstheme="minorEastAsia"/>
          <w:bCs/>
          <w:sz w:val="24"/>
          <w:szCs w:val="24"/>
        </w:rPr>
        <w:t xml:space="preserve"> </w:t>
      </w:r>
      <w:r>
        <w:rPr>
          <w:rFonts w:hint="eastAsia" w:asciiTheme="minorEastAsia" w:hAnsiTheme="minorEastAsia" w:cstheme="minorEastAsia"/>
          <w:b/>
          <w:sz w:val="24"/>
          <w:szCs w:val="24"/>
        </w:rPr>
        <w:t xml:space="preserve"> </w:t>
      </w:r>
    </w:p>
    <w:p>
      <w:pPr>
        <w:pageBreakBefore/>
        <w:jc w:val="left"/>
        <w:rPr>
          <w:rFonts w:ascii="宋体" w:hAnsi="宋体" w:cs="宋体"/>
          <w:sz w:val="22"/>
        </w:rPr>
      </w:pPr>
      <w:r>
        <w:rPr>
          <w:rFonts w:hint="eastAsia" w:ascii="宋体" w:hAnsi="宋体" w:cs="宋体"/>
          <w:sz w:val="22"/>
        </w:rPr>
        <w:t>附件三：</w:t>
      </w:r>
    </w:p>
    <w:p>
      <w:pPr>
        <w:jc w:val="center"/>
        <w:rPr>
          <w:rFonts w:ascii="宋体" w:hAnsi="宋体" w:eastAsia="宋体" w:cs="宋体"/>
          <w:b/>
          <w:bCs/>
          <w:sz w:val="22"/>
        </w:rPr>
      </w:pPr>
      <w:r>
        <w:rPr>
          <w:rFonts w:hint="eastAsia" w:ascii="宋体" w:hAnsi="宋体" w:eastAsia="宋体" w:cs="宋体"/>
          <w:b/>
          <w:bCs/>
          <w:sz w:val="22"/>
        </w:rPr>
        <w:t>疫情防控责任书</w:t>
      </w:r>
    </w:p>
    <w:p>
      <w:pPr>
        <w:rPr>
          <w:rFonts w:ascii="宋体" w:hAnsi="宋体" w:eastAsia="宋体" w:cs="宋体"/>
          <w:sz w:val="22"/>
        </w:rPr>
      </w:pPr>
    </w:p>
    <w:p>
      <w:pPr>
        <w:spacing w:line="360" w:lineRule="exact"/>
        <w:ind w:firstLine="440" w:firstLineChars="200"/>
        <w:rPr>
          <w:rFonts w:ascii="宋体" w:hAnsi="宋体" w:eastAsia="宋体" w:cs="宋体"/>
          <w:sz w:val="22"/>
        </w:rPr>
      </w:pPr>
      <w:r>
        <w:rPr>
          <w:rFonts w:hint="eastAsia" w:ascii="宋体" w:hAnsi="宋体" w:eastAsia="宋体" w:cs="宋体"/>
          <w:sz w:val="22"/>
        </w:rPr>
        <w:t>为落实民航疫情防控工作要求，全面落实责任制，提升疫情防控水平，建立健全长效机制，做好疫情防控管控工作，增强对重点场所、重点环节、重点人员防控措施的把控，杭州萧山国际机场有限公司（以下简称“机场公司”）与【】（以下简称“  公司”）于【】签订《   合同》就【】签订疫情防控责任书，具体如下：</w:t>
      </w:r>
    </w:p>
    <w:p>
      <w:pPr>
        <w:spacing w:line="360" w:lineRule="exact"/>
        <w:ind w:firstLine="440" w:firstLineChars="200"/>
        <w:rPr>
          <w:rFonts w:ascii="宋体" w:hAnsi="宋体" w:eastAsia="宋体" w:cs="宋体"/>
          <w:sz w:val="22"/>
        </w:rPr>
      </w:pPr>
      <w:r>
        <w:rPr>
          <w:rFonts w:hint="eastAsia" w:ascii="宋体" w:hAnsi="宋体" w:eastAsia="宋体" w:cs="宋体"/>
          <w:sz w:val="22"/>
        </w:rPr>
        <w:t>【】公司按照以下条款严格管理，【】公司的法定代表人为疫情防控承担者，承担疫情防控责任。机场公司所属【】部门有权对乙方管理情况进行监督。</w:t>
      </w:r>
    </w:p>
    <w:p>
      <w:pPr>
        <w:spacing w:line="360" w:lineRule="exact"/>
        <w:ind w:firstLine="440" w:firstLineChars="200"/>
        <w:rPr>
          <w:rFonts w:ascii="宋体" w:hAnsi="宋体" w:eastAsia="宋体" w:cs="宋体"/>
          <w:sz w:val="22"/>
        </w:rPr>
      </w:pPr>
      <w:r>
        <w:rPr>
          <w:rFonts w:hint="eastAsia" w:ascii="宋体" w:hAnsi="宋体" w:eastAsia="宋体" w:cs="宋体"/>
          <w:sz w:val="22"/>
        </w:rPr>
        <w:t>一、【】公司负责监督员工在岗防护情况，做到防护到位。</w:t>
      </w:r>
    </w:p>
    <w:p>
      <w:pPr>
        <w:spacing w:line="360" w:lineRule="exact"/>
        <w:ind w:firstLine="440" w:firstLineChars="200"/>
        <w:rPr>
          <w:rFonts w:ascii="宋体" w:hAnsi="宋体" w:eastAsia="宋体" w:cs="宋体"/>
          <w:sz w:val="22"/>
        </w:rPr>
      </w:pPr>
      <w:r>
        <w:rPr>
          <w:rFonts w:hint="eastAsia" w:ascii="宋体" w:hAnsi="宋体" w:eastAsia="宋体" w:cs="宋体"/>
          <w:sz w:val="22"/>
        </w:rPr>
        <w:t>二、【】公司要求员工严禁接触涉疫区域内的高危人员或物品，避免因管理不当导致的安全风险。</w:t>
      </w:r>
    </w:p>
    <w:p>
      <w:pPr>
        <w:spacing w:line="360" w:lineRule="exact"/>
        <w:ind w:firstLine="440" w:firstLineChars="200"/>
        <w:rPr>
          <w:rFonts w:ascii="宋体" w:hAnsi="宋体" w:eastAsia="宋体" w:cs="宋体"/>
          <w:sz w:val="22"/>
        </w:rPr>
      </w:pPr>
      <w:r>
        <w:rPr>
          <w:rFonts w:hint="eastAsia" w:ascii="宋体" w:hAnsi="宋体" w:eastAsia="宋体" w:cs="宋体"/>
          <w:sz w:val="22"/>
        </w:rPr>
        <w:t>三、【】公司员工做到适宜接种全员接种疫苗，新进员工需接种疫苗后上岗。并做好员工疫苗接种的管控工作，避免因员工未接种疫苗导致的安全风险。</w:t>
      </w:r>
    </w:p>
    <w:p>
      <w:pPr>
        <w:spacing w:line="360" w:lineRule="exact"/>
        <w:ind w:firstLine="440" w:firstLineChars="200"/>
        <w:rPr>
          <w:rFonts w:ascii="宋体" w:hAnsi="宋体" w:eastAsia="宋体" w:cs="宋体"/>
          <w:sz w:val="22"/>
        </w:rPr>
      </w:pPr>
      <w:r>
        <w:rPr>
          <w:rFonts w:hint="eastAsia" w:ascii="宋体" w:hAnsi="宋体" w:eastAsia="宋体" w:cs="宋体"/>
          <w:sz w:val="22"/>
        </w:rPr>
        <w:t>四、【】公司需根据机场公司要求，及时安排员工开展核酸检测工作，核酸检测做到“应检尽检”。</w:t>
      </w:r>
    </w:p>
    <w:p>
      <w:pPr>
        <w:spacing w:line="360" w:lineRule="exact"/>
        <w:ind w:firstLine="440" w:firstLineChars="200"/>
        <w:rPr>
          <w:rFonts w:ascii="宋体" w:hAnsi="宋体" w:eastAsia="宋体" w:cs="宋体"/>
          <w:sz w:val="22"/>
        </w:rPr>
      </w:pPr>
      <w:r>
        <w:rPr>
          <w:rFonts w:hint="eastAsia" w:ascii="宋体" w:hAnsi="宋体" w:eastAsia="宋体" w:cs="宋体"/>
          <w:sz w:val="22"/>
        </w:rPr>
        <w:t>五、【】公司需做到培训到位及防控要求传达到位，定期对员工开展疫情防控培训，培训内容包括但不限于个人防护要求及近期国内疫情情况通报等，及时传达公司防控相关要求。</w:t>
      </w:r>
    </w:p>
    <w:p>
      <w:pPr>
        <w:spacing w:line="360" w:lineRule="exact"/>
        <w:ind w:firstLine="440" w:firstLineChars="200"/>
        <w:rPr>
          <w:rFonts w:ascii="宋体" w:hAnsi="宋体" w:eastAsia="宋体" w:cs="宋体"/>
          <w:sz w:val="22"/>
        </w:rPr>
      </w:pPr>
      <w:r>
        <w:rPr>
          <w:rFonts w:hint="eastAsia" w:ascii="宋体" w:hAnsi="宋体" w:eastAsia="宋体" w:cs="宋体"/>
          <w:sz w:val="22"/>
        </w:rPr>
        <w:t>六、【】公司需落实上下班体温测量、健康码查验等日常监测机制，建立健康档案。对人员流动（出入省、市、新入职）进行登记管理，对来往疫区职工和密切接触者，采取措施暂停其返岗，做好人员信息登记工作，并配合卫健部门对密切接触者排查进行隔离管理。</w:t>
      </w:r>
    </w:p>
    <w:p>
      <w:pPr>
        <w:spacing w:line="360" w:lineRule="exact"/>
        <w:ind w:firstLine="440" w:firstLineChars="200"/>
        <w:rPr>
          <w:rFonts w:ascii="宋体" w:hAnsi="宋体" w:eastAsia="宋体" w:cs="宋体"/>
          <w:sz w:val="22"/>
        </w:rPr>
      </w:pPr>
      <w:r>
        <w:rPr>
          <w:rFonts w:hint="eastAsia" w:ascii="宋体" w:hAnsi="宋体" w:eastAsia="宋体" w:cs="宋体"/>
          <w:sz w:val="22"/>
        </w:rPr>
        <w:t>七、【】公司需做好员工身体状况动态监控，掌握职工健康状况，制定应急预案，如遇发热、咳嗽等症状者要求主动报告，并做好防护及送医措施。</w:t>
      </w:r>
    </w:p>
    <w:p>
      <w:pPr>
        <w:spacing w:line="360" w:lineRule="exact"/>
        <w:ind w:firstLine="440" w:firstLineChars="200"/>
        <w:rPr>
          <w:rFonts w:ascii="宋体" w:hAnsi="宋体" w:eastAsia="宋体" w:cs="宋体"/>
          <w:sz w:val="22"/>
        </w:rPr>
      </w:pPr>
      <w:r>
        <w:rPr>
          <w:rFonts w:hint="eastAsia" w:ascii="宋体" w:hAnsi="宋体" w:eastAsia="宋体" w:cs="宋体"/>
          <w:sz w:val="22"/>
        </w:rPr>
        <w:t>八、【】公司需做好做好洗手液、口罩、温度计、75%酒精、含氯消毒液等药械物资准备。</w:t>
      </w:r>
    </w:p>
    <w:p>
      <w:pPr>
        <w:spacing w:line="360" w:lineRule="exact"/>
        <w:ind w:firstLine="440" w:firstLineChars="200"/>
        <w:jc w:val="left"/>
        <w:rPr>
          <w:rFonts w:ascii="宋体" w:hAnsi="宋体" w:eastAsia="宋体" w:cs="宋体"/>
          <w:color w:val="000000"/>
          <w:sz w:val="22"/>
        </w:rPr>
      </w:pPr>
      <w:r>
        <w:rPr>
          <w:rFonts w:hint="eastAsia" w:ascii="宋体" w:hAnsi="宋体" w:eastAsia="宋体" w:cs="宋体"/>
          <w:color w:val="000000"/>
          <w:sz w:val="22"/>
        </w:rPr>
        <w:t>九、若因</w:t>
      </w:r>
      <w:r>
        <w:rPr>
          <w:rFonts w:hint="eastAsia" w:ascii="宋体" w:hAnsi="宋体" w:eastAsia="宋体" w:cs="宋体"/>
          <w:sz w:val="22"/>
        </w:rPr>
        <w:t>【】公司及其员工</w:t>
      </w:r>
      <w:r>
        <w:rPr>
          <w:rFonts w:hint="eastAsia" w:ascii="宋体" w:hAnsi="宋体" w:eastAsia="宋体" w:cs="宋体"/>
          <w:color w:val="000000"/>
          <w:sz w:val="22"/>
        </w:rPr>
        <w:t>原因导致新型冠状肺炎疫情传播，则</w:t>
      </w:r>
      <w:r>
        <w:rPr>
          <w:rFonts w:hint="eastAsia" w:ascii="宋体" w:hAnsi="宋体" w:eastAsia="宋体" w:cs="宋体"/>
          <w:sz w:val="22"/>
        </w:rPr>
        <w:t>【】公司</w:t>
      </w:r>
      <w:r>
        <w:rPr>
          <w:rFonts w:hint="eastAsia" w:ascii="宋体" w:hAnsi="宋体" w:eastAsia="宋体" w:cs="宋体"/>
          <w:color w:val="000000"/>
          <w:sz w:val="22"/>
        </w:rPr>
        <w:t>应承担由此产生的疫情防控费用包括但不限于防疫措施费、防疫检测费、救助费等。若因该等事件，对机场公司造成影响，则机场公司有权要求</w:t>
      </w:r>
      <w:r>
        <w:rPr>
          <w:rFonts w:hint="eastAsia" w:ascii="宋体" w:hAnsi="宋体" w:eastAsia="宋体" w:cs="宋体"/>
          <w:sz w:val="22"/>
        </w:rPr>
        <w:t>【】公司</w:t>
      </w:r>
      <w:r>
        <w:rPr>
          <w:rFonts w:hint="eastAsia" w:ascii="宋体" w:hAnsi="宋体" w:eastAsia="宋体" w:cs="宋体"/>
          <w:color w:val="000000"/>
          <w:sz w:val="22"/>
        </w:rPr>
        <w:t>承担由此产生的实际损失，且机场公司有权解除合同。</w:t>
      </w:r>
    </w:p>
    <w:p>
      <w:pPr>
        <w:spacing w:line="360" w:lineRule="exact"/>
        <w:rPr>
          <w:rFonts w:ascii="宋体" w:hAnsi="宋体" w:eastAsia="宋体" w:cs="宋体"/>
          <w:sz w:val="22"/>
        </w:rPr>
      </w:pPr>
    </w:p>
    <w:p>
      <w:pPr>
        <w:spacing w:line="360" w:lineRule="exact"/>
        <w:rPr>
          <w:rFonts w:ascii="宋体" w:hAnsi="宋体" w:eastAsia="宋体" w:cs="宋体"/>
          <w:sz w:val="22"/>
        </w:rPr>
      </w:pPr>
    </w:p>
    <w:p>
      <w:pPr>
        <w:spacing w:line="360" w:lineRule="exact"/>
        <w:ind w:right="-193" w:rightChars="-92"/>
        <w:rPr>
          <w:rFonts w:ascii="宋体" w:hAnsi="宋体" w:eastAsia="宋体" w:cs="宋体"/>
          <w:color w:val="000000"/>
          <w:sz w:val="22"/>
        </w:rPr>
      </w:pPr>
    </w:p>
    <w:p>
      <w:pPr>
        <w:spacing w:line="360" w:lineRule="exact"/>
        <w:ind w:right="-193" w:rightChars="-92"/>
        <w:rPr>
          <w:rFonts w:ascii="宋体" w:hAnsi="宋体" w:eastAsia="宋体" w:cs="宋体"/>
          <w:color w:val="000000"/>
          <w:sz w:val="22"/>
        </w:rPr>
      </w:pPr>
      <w:r>
        <w:rPr>
          <w:rFonts w:hint="eastAsia" w:ascii="宋体" w:hAnsi="宋体" w:eastAsia="宋体" w:cs="宋体"/>
          <w:color w:val="000000"/>
          <w:sz w:val="22"/>
        </w:rPr>
        <w:t xml:space="preserve">                     承诺人：</w:t>
      </w:r>
    </w:p>
    <w:p>
      <w:pPr>
        <w:spacing w:line="360" w:lineRule="exact"/>
        <w:ind w:right="-193" w:rightChars="-92"/>
        <w:rPr>
          <w:rFonts w:ascii="宋体" w:hAnsi="宋体" w:eastAsia="宋体" w:cs="宋体"/>
          <w:color w:val="000000"/>
          <w:sz w:val="22"/>
        </w:rPr>
      </w:pPr>
      <w:r>
        <w:rPr>
          <w:rFonts w:hint="eastAsia" w:ascii="宋体" w:hAnsi="宋体" w:eastAsia="宋体" w:cs="宋体"/>
          <w:color w:val="000000"/>
          <w:sz w:val="22"/>
        </w:rPr>
        <w:t xml:space="preserve">                    （盖章）</w:t>
      </w:r>
    </w:p>
    <w:p>
      <w:pPr>
        <w:spacing w:line="360" w:lineRule="exact"/>
        <w:rPr>
          <w:rFonts w:ascii="宋体" w:hAnsi="宋体" w:eastAsia="宋体" w:cs="宋体"/>
          <w:color w:val="000000"/>
          <w:sz w:val="22"/>
        </w:rPr>
      </w:pPr>
      <w:r>
        <w:rPr>
          <w:rFonts w:hint="eastAsia" w:ascii="宋体" w:hAnsi="宋体" w:eastAsia="宋体" w:cs="宋体"/>
          <w:color w:val="000000"/>
          <w:sz w:val="22"/>
        </w:rPr>
        <w:t xml:space="preserve">                 </w:t>
      </w:r>
    </w:p>
    <w:p>
      <w:pPr>
        <w:spacing w:line="360" w:lineRule="exact"/>
        <w:rPr>
          <w:rFonts w:ascii="宋体" w:hAnsi="宋体" w:eastAsia="宋体" w:cs="宋体"/>
          <w:color w:val="000000"/>
          <w:sz w:val="22"/>
        </w:rPr>
      </w:pPr>
    </w:p>
    <w:p>
      <w:pPr>
        <w:spacing w:line="360" w:lineRule="exact"/>
        <w:rPr>
          <w:rFonts w:ascii="宋体" w:hAnsi="宋体" w:eastAsia="宋体" w:cs="宋体"/>
          <w:color w:val="000000"/>
          <w:sz w:val="22"/>
        </w:rPr>
      </w:pPr>
    </w:p>
    <w:p>
      <w:pPr>
        <w:spacing w:line="360" w:lineRule="exact"/>
        <w:rPr>
          <w:rFonts w:ascii="宋体" w:hAnsi="宋体" w:eastAsia="宋体" w:cs="宋体"/>
          <w:color w:val="000000"/>
          <w:sz w:val="22"/>
        </w:rPr>
      </w:pPr>
    </w:p>
    <w:p>
      <w:pPr>
        <w:spacing w:line="360" w:lineRule="exact"/>
        <w:rPr>
          <w:rFonts w:ascii="宋体" w:hAnsi="宋体" w:eastAsia="宋体" w:cs="宋体"/>
          <w:color w:val="000000"/>
          <w:sz w:val="22"/>
        </w:rPr>
      </w:pPr>
    </w:p>
    <w:p>
      <w:pPr>
        <w:spacing w:line="360" w:lineRule="exact"/>
        <w:rPr>
          <w:rFonts w:ascii="宋体" w:hAnsi="宋体" w:eastAsia="宋体" w:cs="宋体"/>
          <w:color w:val="000000"/>
          <w:sz w:val="22"/>
        </w:rPr>
      </w:pPr>
    </w:p>
    <w:p>
      <w:pPr>
        <w:spacing w:line="360" w:lineRule="exact"/>
        <w:rPr>
          <w:rFonts w:ascii="宋体" w:hAnsi="宋体" w:eastAsia="宋体" w:cs="宋体"/>
          <w:color w:val="000000"/>
          <w:sz w:val="22"/>
        </w:rPr>
      </w:pPr>
    </w:p>
    <w:p>
      <w:pPr>
        <w:spacing w:line="360" w:lineRule="exact"/>
        <w:rPr>
          <w:rFonts w:ascii="宋体" w:hAnsi="宋体" w:eastAsia="宋体" w:cs="宋体"/>
          <w:color w:val="000000"/>
          <w:sz w:val="22"/>
        </w:rPr>
      </w:pPr>
    </w:p>
    <w:p>
      <w:pPr>
        <w:spacing w:line="360" w:lineRule="exact"/>
        <w:rPr>
          <w:rFonts w:ascii="宋体" w:hAnsi="宋体" w:eastAsia="宋体" w:cs="宋体"/>
          <w:color w:val="000000"/>
          <w:sz w:val="22"/>
        </w:rPr>
      </w:pPr>
    </w:p>
    <w:p>
      <w:pPr>
        <w:spacing w:line="360" w:lineRule="exact"/>
        <w:rPr>
          <w:rFonts w:ascii="宋体" w:hAnsi="宋体" w:eastAsia="宋体" w:cs="宋体"/>
          <w:color w:val="000000"/>
          <w:sz w:val="22"/>
        </w:rPr>
      </w:pPr>
    </w:p>
    <w:p>
      <w:pPr>
        <w:spacing w:line="360" w:lineRule="exact"/>
        <w:rPr>
          <w:rFonts w:ascii="宋体" w:hAnsi="宋体" w:eastAsia="宋体" w:cs="宋体"/>
          <w:color w:val="000000"/>
          <w:sz w:val="22"/>
        </w:rPr>
      </w:pPr>
    </w:p>
    <w:p>
      <w:pPr>
        <w:pStyle w:val="9"/>
        <w:pageBreakBefore/>
      </w:pPr>
      <w:bookmarkStart w:id="21" w:name="_Toc27673"/>
      <w:r>
        <w:rPr>
          <w:rFonts w:hint="eastAsia"/>
        </w:rPr>
        <w:t>第四章  工程量清单</w:t>
      </w:r>
      <w:bookmarkEnd w:id="17"/>
      <w:bookmarkEnd w:id="21"/>
    </w:p>
    <w:tbl>
      <w:tblPr>
        <w:tblStyle w:val="12"/>
        <w:tblW w:w="7211" w:type="dxa"/>
        <w:jc w:val="center"/>
        <w:tblInd w:w="1229"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454"/>
        <w:gridCol w:w="2740"/>
        <w:gridCol w:w="1042"/>
        <w:gridCol w:w="1635"/>
        <w:gridCol w:w="13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035" w:hRule="atLeast"/>
          <w:jc w:val="center"/>
        </w:trPr>
        <w:tc>
          <w:tcPr>
            <w:tcW w:w="7211" w:type="dxa"/>
            <w:gridSpan w:val="5"/>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sz w:val="40"/>
                <w:szCs w:val="40"/>
                <w:u w:val="none"/>
              </w:rPr>
            </w:pPr>
            <w:bookmarkStart w:id="22" w:name="_Toc9507"/>
            <w:bookmarkStart w:id="23" w:name="_Toc275274581"/>
            <w:bookmarkStart w:id="24" w:name="_Toc448097409"/>
            <w:r>
              <w:rPr>
                <w:rFonts w:hint="eastAsia" w:ascii="宋体" w:hAnsi="宋体" w:eastAsia="宋体" w:cs="宋体"/>
                <w:b/>
                <w:i w:val="0"/>
                <w:color w:val="000000"/>
                <w:kern w:val="0"/>
                <w:sz w:val="40"/>
                <w:szCs w:val="40"/>
                <w:u w:val="none"/>
                <w:lang w:val="en-US" w:eastAsia="zh-CN" w:bidi="ar"/>
              </w:rPr>
              <w:t>AOC安检道口改造参考工程量清单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jc w:val="center"/>
        </w:trPr>
        <w:tc>
          <w:tcPr>
            <w:tcW w:w="454" w:type="dxa"/>
            <w:tcBorders>
              <w:top w:val="single" w:color="000000" w:sz="4" w:space="0"/>
              <w:lef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序号</w:t>
            </w:r>
          </w:p>
        </w:tc>
        <w:tc>
          <w:tcPr>
            <w:tcW w:w="2740" w:type="dxa"/>
            <w:tcBorders>
              <w:top w:val="single" w:color="000000" w:sz="4" w:space="0"/>
              <w:lef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名称及说明</w:t>
            </w:r>
          </w:p>
        </w:tc>
        <w:tc>
          <w:tcPr>
            <w:tcW w:w="1042" w:type="dxa"/>
            <w:tcBorders>
              <w:top w:val="single" w:color="000000" w:sz="4" w:space="0"/>
              <w:lef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单位</w:t>
            </w:r>
          </w:p>
        </w:tc>
        <w:tc>
          <w:tcPr>
            <w:tcW w:w="1635" w:type="dxa"/>
            <w:tcBorders>
              <w:top w:val="single" w:color="000000" w:sz="4" w:space="0"/>
              <w:lef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工程数量</w:t>
            </w:r>
          </w:p>
        </w:tc>
        <w:tc>
          <w:tcPr>
            <w:tcW w:w="1340"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7211"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安检室出口地面整修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454" w:type="dxa"/>
            <w:tcBorders>
              <w:lef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740" w:type="dxa"/>
            <w:tcBorders>
              <w:lef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原有砼侧石拆除</w:t>
            </w:r>
          </w:p>
        </w:tc>
        <w:tc>
          <w:tcPr>
            <w:tcW w:w="1042" w:type="dxa"/>
            <w:tcBorders>
              <w:lef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p>
        </w:tc>
        <w:tc>
          <w:tcPr>
            <w:tcW w:w="1635" w:type="dxa"/>
            <w:tcBorders>
              <w:lef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5.000</w:t>
            </w:r>
          </w:p>
        </w:tc>
        <w:tc>
          <w:tcPr>
            <w:tcW w:w="1340" w:type="dxa"/>
            <w:tcBorders>
              <w:left w:val="single" w:color="000000" w:sz="4" w:space="0"/>
              <w:bottom w:val="single" w:color="000000" w:sz="4" w:space="0"/>
              <w:right w:val="single" w:color="000000" w:sz="4" w:space="0"/>
            </w:tcBorders>
            <w:shd w:val="clear" w:color="auto" w:fill="auto"/>
            <w:vAlign w:val="bottom"/>
          </w:tcPr>
          <w:p>
            <w:pPr>
              <w:rPr>
                <w:rFonts w:hint="eastAsia" w:ascii="Arial" w:hAnsi="Arial" w:cs="Arial"/>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454" w:type="dxa"/>
            <w:tcBorders>
              <w:top w:val="single" w:color="000000" w:sz="4" w:space="0"/>
              <w:lef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2740" w:type="dxa"/>
            <w:tcBorders>
              <w:top w:val="single" w:color="000000" w:sz="4" w:space="0"/>
              <w:lef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新安装花岗岩侧石</w:t>
            </w:r>
          </w:p>
        </w:tc>
        <w:tc>
          <w:tcPr>
            <w:tcW w:w="1042" w:type="dxa"/>
            <w:tcBorders>
              <w:top w:val="single" w:color="000000" w:sz="4" w:space="0"/>
              <w:lef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p>
        </w:tc>
        <w:tc>
          <w:tcPr>
            <w:tcW w:w="1635" w:type="dxa"/>
            <w:tcBorders>
              <w:top w:val="single" w:color="000000" w:sz="4" w:space="0"/>
              <w:lef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8.000</w:t>
            </w:r>
          </w:p>
        </w:tc>
        <w:tc>
          <w:tcPr>
            <w:tcW w:w="1340"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default" w:ascii="Arial" w:hAnsi="Arial" w:cs="Arial"/>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jc w:val="center"/>
        </w:trPr>
        <w:tc>
          <w:tcPr>
            <w:tcW w:w="454" w:type="dxa"/>
            <w:tcBorders>
              <w:top w:val="single" w:color="000000" w:sz="4" w:space="0"/>
              <w:lef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c>
          <w:tcPr>
            <w:tcW w:w="2740" w:type="dxa"/>
            <w:tcBorders>
              <w:top w:val="single" w:color="000000" w:sz="4" w:space="0"/>
              <w:lef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雨水井加高与新做路面平整0.4*0.4米（含粉刷等）</w:t>
            </w:r>
          </w:p>
        </w:tc>
        <w:tc>
          <w:tcPr>
            <w:tcW w:w="1042" w:type="dxa"/>
            <w:tcBorders>
              <w:top w:val="single" w:color="000000" w:sz="4" w:space="0"/>
              <w:lef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个</w:t>
            </w:r>
          </w:p>
        </w:tc>
        <w:tc>
          <w:tcPr>
            <w:tcW w:w="1635" w:type="dxa"/>
            <w:tcBorders>
              <w:top w:val="single" w:color="000000" w:sz="4" w:space="0"/>
              <w:lef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1.000</w:t>
            </w:r>
          </w:p>
        </w:tc>
        <w:tc>
          <w:tcPr>
            <w:tcW w:w="1340"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default" w:ascii="Arial" w:hAnsi="Arial" w:cs="Arial"/>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454" w:type="dxa"/>
            <w:tcBorders>
              <w:top w:val="single" w:color="000000" w:sz="4" w:space="0"/>
              <w:lef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w:t>
            </w:r>
          </w:p>
        </w:tc>
        <w:tc>
          <w:tcPr>
            <w:tcW w:w="2740" w:type="dxa"/>
            <w:tcBorders>
              <w:top w:val="single" w:color="000000" w:sz="4" w:space="0"/>
              <w:lef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更换重型塑钢盖板0.4*0.4米</w:t>
            </w:r>
          </w:p>
        </w:tc>
        <w:tc>
          <w:tcPr>
            <w:tcW w:w="1042" w:type="dxa"/>
            <w:tcBorders>
              <w:top w:val="single" w:color="000000" w:sz="4" w:space="0"/>
              <w:lef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套</w:t>
            </w:r>
          </w:p>
        </w:tc>
        <w:tc>
          <w:tcPr>
            <w:tcW w:w="1635" w:type="dxa"/>
            <w:tcBorders>
              <w:top w:val="single" w:color="000000" w:sz="4" w:space="0"/>
              <w:lef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1.000</w:t>
            </w:r>
          </w:p>
        </w:tc>
        <w:tc>
          <w:tcPr>
            <w:tcW w:w="1340"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default" w:ascii="Arial" w:hAnsi="Arial" w:cs="Arial"/>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jc w:val="center"/>
        </w:trPr>
        <w:tc>
          <w:tcPr>
            <w:tcW w:w="454" w:type="dxa"/>
            <w:tcBorders>
              <w:top w:val="single" w:color="000000" w:sz="4" w:space="0"/>
              <w:lef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p>
        </w:tc>
        <w:tc>
          <w:tcPr>
            <w:tcW w:w="2740" w:type="dxa"/>
            <w:tcBorders>
              <w:top w:val="single" w:color="000000" w:sz="4" w:space="0"/>
              <w:lef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水泥混凝土路面  道路混凝土~厚度15(cm)^非泵送商品混凝土 C30</w:t>
            </w:r>
          </w:p>
        </w:tc>
        <w:tc>
          <w:tcPr>
            <w:tcW w:w="1042" w:type="dxa"/>
            <w:tcBorders>
              <w:top w:val="single" w:color="000000" w:sz="4" w:space="0"/>
              <w:lef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m2</w:t>
            </w:r>
          </w:p>
        </w:tc>
        <w:tc>
          <w:tcPr>
            <w:tcW w:w="1635" w:type="dxa"/>
            <w:tcBorders>
              <w:top w:val="single" w:color="000000" w:sz="4" w:space="0"/>
              <w:lef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14.000</w:t>
            </w:r>
          </w:p>
        </w:tc>
        <w:tc>
          <w:tcPr>
            <w:tcW w:w="1340"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default" w:ascii="Arial" w:hAnsi="Arial" w:cs="Arial"/>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454" w:type="dxa"/>
            <w:tcBorders>
              <w:top w:val="single" w:color="000000" w:sz="4" w:space="0"/>
              <w:lef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w:t>
            </w:r>
          </w:p>
        </w:tc>
        <w:tc>
          <w:tcPr>
            <w:tcW w:w="2740" w:type="dxa"/>
            <w:tcBorders>
              <w:top w:val="single" w:color="000000" w:sz="4" w:space="0"/>
              <w:lef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碎石底层  人机配合~厚5(cm)</w:t>
            </w:r>
          </w:p>
        </w:tc>
        <w:tc>
          <w:tcPr>
            <w:tcW w:w="1042" w:type="dxa"/>
            <w:tcBorders>
              <w:top w:val="single" w:color="000000" w:sz="4" w:space="0"/>
              <w:lef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m2</w:t>
            </w:r>
          </w:p>
        </w:tc>
        <w:tc>
          <w:tcPr>
            <w:tcW w:w="1635" w:type="dxa"/>
            <w:tcBorders>
              <w:top w:val="single" w:color="000000" w:sz="4" w:space="0"/>
              <w:lef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14.000</w:t>
            </w:r>
          </w:p>
        </w:tc>
        <w:tc>
          <w:tcPr>
            <w:tcW w:w="1340"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default" w:ascii="Arial" w:hAnsi="Arial" w:cs="Arial"/>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jc w:val="center"/>
        </w:trPr>
        <w:tc>
          <w:tcPr>
            <w:tcW w:w="454" w:type="dxa"/>
            <w:tcBorders>
              <w:top w:val="single" w:color="000000" w:sz="4" w:space="0"/>
              <w:lef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w:t>
            </w:r>
          </w:p>
        </w:tc>
        <w:tc>
          <w:tcPr>
            <w:tcW w:w="2740" w:type="dxa"/>
            <w:tcBorders>
              <w:top w:val="single" w:color="000000" w:sz="4" w:space="0"/>
              <w:lef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1.8CM火烧岩板面层安砌  （300*600）</w:t>
            </w:r>
          </w:p>
        </w:tc>
        <w:tc>
          <w:tcPr>
            <w:tcW w:w="1042" w:type="dxa"/>
            <w:tcBorders>
              <w:top w:val="single" w:color="000000" w:sz="4" w:space="0"/>
              <w:lef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m2</w:t>
            </w:r>
          </w:p>
        </w:tc>
        <w:tc>
          <w:tcPr>
            <w:tcW w:w="1635" w:type="dxa"/>
            <w:tcBorders>
              <w:top w:val="single" w:color="000000" w:sz="4" w:space="0"/>
              <w:lef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24.000</w:t>
            </w:r>
          </w:p>
        </w:tc>
        <w:tc>
          <w:tcPr>
            <w:tcW w:w="1340"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default" w:ascii="Arial" w:hAnsi="Arial" w:cs="Arial"/>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jc w:val="center"/>
        </w:trPr>
        <w:tc>
          <w:tcPr>
            <w:tcW w:w="454" w:type="dxa"/>
            <w:tcBorders>
              <w:top w:val="single" w:color="000000" w:sz="4" w:space="0"/>
              <w:lef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w:t>
            </w:r>
          </w:p>
        </w:tc>
        <w:tc>
          <w:tcPr>
            <w:tcW w:w="2740" w:type="dxa"/>
            <w:tcBorders>
              <w:top w:val="single" w:color="000000" w:sz="4" w:space="0"/>
              <w:lef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直径100PVC排水管敷设（含开挖及复位）</w:t>
            </w:r>
          </w:p>
        </w:tc>
        <w:tc>
          <w:tcPr>
            <w:tcW w:w="1042" w:type="dxa"/>
            <w:tcBorders>
              <w:top w:val="single" w:color="000000" w:sz="4" w:space="0"/>
              <w:lef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p>
        </w:tc>
        <w:tc>
          <w:tcPr>
            <w:tcW w:w="1635" w:type="dxa"/>
            <w:tcBorders>
              <w:top w:val="single" w:color="000000" w:sz="4" w:space="0"/>
              <w:lef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3.000</w:t>
            </w:r>
          </w:p>
        </w:tc>
        <w:tc>
          <w:tcPr>
            <w:tcW w:w="1340"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default" w:ascii="Arial" w:hAnsi="Arial" w:cs="Arial"/>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jc w:val="center"/>
        </w:trPr>
        <w:tc>
          <w:tcPr>
            <w:tcW w:w="454" w:type="dxa"/>
            <w:tcBorders>
              <w:top w:val="single" w:color="000000" w:sz="4" w:space="0"/>
              <w:lef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w:t>
            </w:r>
          </w:p>
        </w:tc>
        <w:tc>
          <w:tcPr>
            <w:tcW w:w="2740" w:type="dxa"/>
            <w:tcBorders>
              <w:top w:val="single" w:color="000000" w:sz="4" w:space="0"/>
              <w:lef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窨井加高与新做路面平整700MM（含粉刷等）</w:t>
            </w:r>
          </w:p>
        </w:tc>
        <w:tc>
          <w:tcPr>
            <w:tcW w:w="1042" w:type="dxa"/>
            <w:tcBorders>
              <w:top w:val="single" w:color="000000" w:sz="4" w:space="0"/>
              <w:lef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个</w:t>
            </w:r>
          </w:p>
        </w:tc>
        <w:tc>
          <w:tcPr>
            <w:tcW w:w="1635" w:type="dxa"/>
            <w:tcBorders>
              <w:top w:val="single" w:color="000000" w:sz="4" w:space="0"/>
              <w:lef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1.000</w:t>
            </w:r>
          </w:p>
        </w:tc>
        <w:tc>
          <w:tcPr>
            <w:tcW w:w="1340"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default" w:ascii="Arial" w:hAnsi="Arial" w:cs="Arial"/>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454" w:type="dxa"/>
            <w:tcBorders>
              <w:top w:val="single" w:color="000000" w:sz="4" w:space="0"/>
              <w:lef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c>
          <w:tcPr>
            <w:tcW w:w="2740" w:type="dxa"/>
            <w:tcBorders>
              <w:top w:val="single" w:color="000000" w:sz="4" w:space="0"/>
              <w:lef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更换重型塑钢盖板700</w:t>
            </w:r>
          </w:p>
        </w:tc>
        <w:tc>
          <w:tcPr>
            <w:tcW w:w="1042" w:type="dxa"/>
            <w:tcBorders>
              <w:top w:val="single" w:color="000000" w:sz="4" w:space="0"/>
              <w:lef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套</w:t>
            </w:r>
          </w:p>
        </w:tc>
        <w:tc>
          <w:tcPr>
            <w:tcW w:w="1635" w:type="dxa"/>
            <w:tcBorders>
              <w:top w:val="single" w:color="000000" w:sz="4" w:space="0"/>
              <w:lef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1.000</w:t>
            </w:r>
          </w:p>
        </w:tc>
        <w:tc>
          <w:tcPr>
            <w:tcW w:w="1340"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default" w:ascii="Arial" w:hAnsi="Arial" w:cs="Arial"/>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7211" w:type="dxa"/>
            <w:gridSpan w:val="5"/>
            <w:tcBorders>
              <w:top w:val="single" w:color="000000" w:sz="4" w:space="0"/>
              <w:left w:val="single" w:color="000000" w:sz="4" w:space="0"/>
              <w:right w:val="single" w:color="000000" w:sz="4" w:space="0"/>
            </w:tcBorders>
            <w:shd w:val="clear" w:color="auto" w:fill="FFFFFF"/>
            <w:vAlign w:val="center"/>
          </w:tcPr>
          <w:p>
            <w:pPr>
              <w:jc w:val="center"/>
              <w:rPr>
                <w:rFonts w:hint="default" w:ascii="Arial" w:hAnsi="Arial" w:cs="Arial"/>
                <w:i w:val="0"/>
                <w:color w:val="000000"/>
                <w:sz w:val="20"/>
                <w:szCs w:val="20"/>
                <w:u w:val="none"/>
              </w:rPr>
            </w:pPr>
            <w:r>
              <w:rPr>
                <w:rFonts w:hint="eastAsia" w:ascii="宋体" w:hAnsi="宋体" w:eastAsia="宋体" w:cs="宋体"/>
                <w:i w:val="0"/>
                <w:color w:val="000000"/>
                <w:kern w:val="0"/>
                <w:sz w:val="18"/>
                <w:szCs w:val="18"/>
                <w:u w:val="none"/>
                <w:lang w:val="en-US" w:eastAsia="zh-CN" w:bidi="ar"/>
              </w:rPr>
              <w:t>AOC道口行人出口道路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454" w:type="dxa"/>
            <w:tcBorders>
              <w:top w:val="single" w:color="000000" w:sz="4" w:space="0"/>
              <w:lef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w:t>
            </w:r>
          </w:p>
        </w:tc>
        <w:tc>
          <w:tcPr>
            <w:tcW w:w="2740" w:type="dxa"/>
            <w:tcBorders>
              <w:top w:val="single" w:color="000000" w:sz="4" w:space="0"/>
              <w:lef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挖土方（深30CM）</w:t>
            </w:r>
          </w:p>
        </w:tc>
        <w:tc>
          <w:tcPr>
            <w:tcW w:w="1042" w:type="dxa"/>
            <w:tcBorders>
              <w:top w:val="single" w:color="000000" w:sz="4" w:space="0"/>
              <w:lef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m3</w:t>
            </w:r>
          </w:p>
        </w:tc>
        <w:tc>
          <w:tcPr>
            <w:tcW w:w="1635" w:type="dxa"/>
            <w:tcBorders>
              <w:top w:val="single" w:color="000000" w:sz="4" w:space="0"/>
              <w:lef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17.370</w:t>
            </w:r>
          </w:p>
        </w:tc>
        <w:tc>
          <w:tcPr>
            <w:tcW w:w="1340"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default" w:ascii="Arial" w:hAnsi="Arial" w:cs="Arial"/>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jc w:val="center"/>
        </w:trPr>
        <w:tc>
          <w:tcPr>
            <w:tcW w:w="454" w:type="dxa"/>
            <w:tcBorders>
              <w:top w:val="single" w:color="000000" w:sz="4" w:space="0"/>
              <w:lef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w:t>
            </w:r>
          </w:p>
        </w:tc>
        <w:tc>
          <w:tcPr>
            <w:tcW w:w="2740" w:type="dxa"/>
            <w:tcBorders>
              <w:top w:val="single" w:color="000000" w:sz="4" w:space="0"/>
              <w:lef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水泥混凝土路面  道路混凝土~厚度15(cm)^非泵送商品混凝土 C30</w:t>
            </w:r>
          </w:p>
        </w:tc>
        <w:tc>
          <w:tcPr>
            <w:tcW w:w="1042" w:type="dxa"/>
            <w:tcBorders>
              <w:top w:val="single" w:color="000000" w:sz="4" w:space="0"/>
              <w:lef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m2</w:t>
            </w:r>
          </w:p>
        </w:tc>
        <w:tc>
          <w:tcPr>
            <w:tcW w:w="1635" w:type="dxa"/>
            <w:tcBorders>
              <w:top w:val="single" w:color="000000" w:sz="4" w:space="0"/>
              <w:lef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57.900</w:t>
            </w:r>
          </w:p>
        </w:tc>
        <w:tc>
          <w:tcPr>
            <w:tcW w:w="1340"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default" w:ascii="Arial" w:hAnsi="Arial" w:cs="Arial"/>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454" w:type="dxa"/>
            <w:tcBorders>
              <w:top w:val="single" w:color="000000" w:sz="4" w:space="0"/>
              <w:lef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w:t>
            </w:r>
          </w:p>
        </w:tc>
        <w:tc>
          <w:tcPr>
            <w:tcW w:w="2740" w:type="dxa"/>
            <w:tcBorders>
              <w:top w:val="single" w:color="000000" w:sz="4" w:space="0"/>
              <w:lef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碎石底层  人机配合~厚5(cm)</w:t>
            </w:r>
          </w:p>
        </w:tc>
        <w:tc>
          <w:tcPr>
            <w:tcW w:w="1042" w:type="dxa"/>
            <w:tcBorders>
              <w:top w:val="single" w:color="000000" w:sz="4" w:space="0"/>
              <w:lef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m2</w:t>
            </w:r>
          </w:p>
        </w:tc>
        <w:tc>
          <w:tcPr>
            <w:tcW w:w="1635" w:type="dxa"/>
            <w:tcBorders>
              <w:top w:val="single" w:color="000000" w:sz="4" w:space="0"/>
              <w:lef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57.900</w:t>
            </w:r>
          </w:p>
        </w:tc>
        <w:tc>
          <w:tcPr>
            <w:tcW w:w="1340"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default" w:ascii="Arial" w:hAnsi="Arial" w:cs="Arial"/>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jc w:val="center"/>
        </w:trPr>
        <w:tc>
          <w:tcPr>
            <w:tcW w:w="454" w:type="dxa"/>
            <w:tcBorders>
              <w:top w:val="single" w:color="000000" w:sz="4" w:space="0"/>
              <w:lef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14</w:t>
            </w:r>
          </w:p>
        </w:tc>
        <w:tc>
          <w:tcPr>
            <w:tcW w:w="2740" w:type="dxa"/>
            <w:tcBorders>
              <w:top w:val="single" w:color="000000" w:sz="4" w:space="0"/>
              <w:lef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1.8CM火烧岩板面层安砌  （300*600）</w:t>
            </w:r>
          </w:p>
        </w:tc>
        <w:tc>
          <w:tcPr>
            <w:tcW w:w="1042" w:type="dxa"/>
            <w:tcBorders>
              <w:top w:val="single" w:color="000000" w:sz="4" w:space="0"/>
              <w:lef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m2</w:t>
            </w:r>
          </w:p>
        </w:tc>
        <w:tc>
          <w:tcPr>
            <w:tcW w:w="1635" w:type="dxa"/>
            <w:tcBorders>
              <w:top w:val="single" w:color="000000" w:sz="4" w:space="0"/>
              <w:lef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57.900</w:t>
            </w:r>
          </w:p>
        </w:tc>
        <w:tc>
          <w:tcPr>
            <w:tcW w:w="1340"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default" w:ascii="Arial" w:hAnsi="Arial" w:cs="Arial"/>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454" w:type="dxa"/>
            <w:tcBorders>
              <w:top w:val="single" w:color="000000" w:sz="4" w:space="0"/>
              <w:lef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w:t>
            </w:r>
          </w:p>
        </w:tc>
        <w:tc>
          <w:tcPr>
            <w:tcW w:w="2740" w:type="dxa"/>
            <w:tcBorders>
              <w:top w:val="single" w:color="000000" w:sz="4" w:space="0"/>
              <w:lef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绿色围网斜撑拆装</w:t>
            </w:r>
          </w:p>
        </w:tc>
        <w:tc>
          <w:tcPr>
            <w:tcW w:w="1042" w:type="dxa"/>
            <w:tcBorders>
              <w:top w:val="single" w:color="000000" w:sz="4" w:space="0"/>
              <w:lef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根</w:t>
            </w:r>
          </w:p>
        </w:tc>
        <w:tc>
          <w:tcPr>
            <w:tcW w:w="1635" w:type="dxa"/>
            <w:tcBorders>
              <w:top w:val="single" w:color="000000" w:sz="4" w:space="0"/>
              <w:lef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3.000</w:t>
            </w:r>
          </w:p>
        </w:tc>
        <w:tc>
          <w:tcPr>
            <w:tcW w:w="1340"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default" w:ascii="Arial" w:hAnsi="Arial" w:cs="Arial"/>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75" w:hRule="atLeast"/>
          <w:jc w:val="center"/>
        </w:trPr>
        <w:tc>
          <w:tcPr>
            <w:tcW w:w="454" w:type="dxa"/>
            <w:tcBorders>
              <w:top w:val="single" w:color="000000" w:sz="4" w:space="0"/>
              <w:left w:val="single" w:color="000000" w:sz="4" w:space="0"/>
              <w:bottom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16</w:t>
            </w:r>
          </w:p>
        </w:tc>
        <w:tc>
          <w:tcPr>
            <w:tcW w:w="2740" w:type="dxa"/>
            <w:tcBorders>
              <w:top w:val="single" w:color="000000" w:sz="4" w:space="0"/>
              <w:left w:val="single" w:color="000000" w:sz="4" w:space="0"/>
              <w:bottom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新安装绿色围网（2、围网不含倒刺部分高度2700mm，斧形刺刀圈直径600mm，单片宽度2000mm。</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3、围网立柱采用 Φ76*3.0电焊钢管,上下网片采用Φ5冷拔钢丝，网眼间距50*100。</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4、围界采用整体先镀锌厚渡塑的防腐形式,第一层热镀锌所采用的锌应符合GB470-83中规定的特一号或一号锌,镀锌量为:网片120G/M平方,紧固  件为350G/M平方,立柱横梁等为270G/M平方.第二层非金属渡层采取聚乙烯,厚度为0.4-0.8MM。镀塑前应对工件进行整体酸洗磷化处理。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5、围网具体样式及技术要求详见围网大样图。砼基础详见图纸。报价中应包含基础挖土、砼基础浇筑、预埋固定及围网连接件。）</w:t>
            </w:r>
          </w:p>
        </w:tc>
        <w:tc>
          <w:tcPr>
            <w:tcW w:w="1042" w:type="dxa"/>
            <w:tcBorders>
              <w:top w:val="single" w:color="000000" w:sz="4" w:space="0"/>
              <w:left w:val="single" w:color="000000" w:sz="4" w:space="0"/>
              <w:bottom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m2</w:t>
            </w:r>
          </w:p>
        </w:tc>
        <w:tc>
          <w:tcPr>
            <w:tcW w:w="1635" w:type="dxa"/>
            <w:tcBorders>
              <w:top w:val="single" w:color="000000" w:sz="4" w:space="0"/>
              <w:left w:val="single" w:color="000000" w:sz="4" w:space="0"/>
              <w:bottom w:val="single" w:color="auto"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75.000</w:t>
            </w:r>
          </w:p>
        </w:tc>
        <w:tc>
          <w:tcPr>
            <w:tcW w:w="1340"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default" w:ascii="Arial" w:hAnsi="Arial" w:cs="Arial"/>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jc w:val="center"/>
        </w:trPr>
        <w:tc>
          <w:tcPr>
            <w:tcW w:w="454"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17</w:t>
            </w:r>
          </w:p>
        </w:tc>
        <w:tc>
          <w:tcPr>
            <w:tcW w:w="274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围网开门洞1*2.1米（不锈钢方管门框）</w:t>
            </w:r>
          </w:p>
        </w:tc>
        <w:tc>
          <w:tcPr>
            <w:tcW w:w="1042"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个</w:t>
            </w:r>
          </w:p>
        </w:tc>
        <w:tc>
          <w:tcPr>
            <w:tcW w:w="163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1.000</w:t>
            </w:r>
          </w:p>
        </w:tc>
        <w:tc>
          <w:tcPr>
            <w:tcW w:w="1340" w:type="dxa"/>
            <w:tcBorders>
              <w:top w:val="single" w:color="000000" w:sz="4" w:space="0"/>
              <w:left w:val="single" w:color="auto" w:sz="4" w:space="0"/>
              <w:bottom w:val="single" w:color="000000" w:sz="4" w:space="0"/>
              <w:right w:val="single" w:color="000000" w:sz="4" w:space="0"/>
            </w:tcBorders>
            <w:shd w:val="clear" w:color="auto" w:fill="auto"/>
            <w:vAlign w:val="bottom"/>
          </w:tcPr>
          <w:p>
            <w:pPr>
              <w:rPr>
                <w:rFonts w:hint="default" w:ascii="Arial" w:hAnsi="Arial" w:cs="Arial"/>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jc w:val="center"/>
        </w:trPr>
        <w:tc>
          <w:tcPr>
            <w:tcW w:w="454" w:type="dxa"/>
            <w:tcBorders>
              <w:top w:val="single" w:color="auto" w:sz="4" w:space="0"/>
              <w:lef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18</w:t>
            </w:r>
          </w:p>
        </w:tc>
        <w:tc>
          <w:tcPr>
            <w:tcW w:w="2740" w:type="dxa"/>
            <w:tcBorders>
              <w:top w:val="single" w:color="auto" w:sz="4" w:space="0"/>
              <w:lef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围网开门洞做不锈钢成品门1*2.1米（不锈钢方管门框，单向开闭，自动闭合上锁）</w:t>
            </w:r>
          </w:p>
        </w:tc>
        <w:tc>
          <w:tcPr>
            <w:tcW w:w="1042" w:type="dxa"/>
            <w:tcBorders>
              <w:top w:val="single" w:color="auto" w:sz="4" w:space="0"/>
              <w:lef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个</w:t>
            </w:r>
          </w:p>
        </w:tc>
        <w:tc>
          <w:tcPr>
            <w:tcW w:w="1635" w:type="dxa"/>
            <w:tcBorders>
              <w:top w:val="single" w:color="auto" w:sz="4" w:space="0"/>
              <w:lef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1.000</w:t>
            </w:r>
          </w:p>
        </w:tc>
        <w:tc>
          <w:tcPr>
            <w:tcW w:w="1340"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default" w:ascii="Arial" w:hAnsi="Arial" w:cs="Arial"/>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jc w:val="center"/>
        </w:trPr>
        <w:tc>
          <w:tcPr>
            <w:tcW w:w="454" w:type="dxa"/>
            <w:tcBorders>
              <w:top w:val="single" w:color="000000" w:sz="4" w:space="0"/>
              <w:lef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19</w:t>
            </w:r>
          </w:p>
        </w:tc>
        <w:tc>
          <w:tcPr>
            <w:tcW w:w="2740" w:type="dxa"/>
            <w:tcBorders>
              <w:top w:val="single" w:color="000000" w:sz="4" w:space="0"/>
              <w:lef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围网开门洞及新安装不锈钢转闸门1.45*1.45*2.2</w:t>
            </w:r>
          </w:p>
        </w:tc>
        <w:tc>
          <w:tcPr>
            <w:tcW w:w="1042" w:type="dxa"/>
            <w:tcBorders>
              <w:top w:val="single" w:color="000000" w:sz="4" w:space="0"/>
              <w:lef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套</w:t>
            </w:r>
          </w:p>
        </w:tc>
        <w:tc>
          <w:tcPr>
            <w:tcW w:w="1635" w:type="dxa"/>
            <w:tcBorders>
              <w:top w:val="single" w:color="000000" w:sz="4" w:space="0"/>
              <w:lef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2.000</w:t>
            </w:r>
          </w:p>
        </w:tc>
        <w:tc>
          <w:tcPr>
            <w:tcW w:w="1340"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default" w:ascii="Arial" w:hAnsi="Arial" w:cs="Arial"/>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454" w:type="dxa"/>
            <w:tcBorders>
              <w:top w:val="single" w:color="000000" w:sz="4" w:space="0"/>
              <w:lef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w:t>
            </w:r>
          </w:p>
        </w:tc>
        <w:tc>
          <w:tcPr>
            <w:tcW w:w="2740" w:type="dxa"/>
            <w:tcBorders>
              <w:top w:val="single" w:color="000000" w:sz="4" w:space="0"/>
              <w:lef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地面刷黄黑反光漆</w:t>
            </w:r>
          </w:p>
        </w:tc>
        <w:tc>
          <w:tcPr>
            <w:tcW w:w="1042" w:type="dxa"/>
            <w:tcBorders>
              <w:top w:val="single" w:color="000000" w:sz="4" w:space="0"/>
              <w:lef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m2</w:t>
            </w:r>
          </w:p>
        </w:tc>
        <w:tc>
          <w:tcPr>
            <w:tcW w:w="1635" w:type="dxa"/>
            <w:tcBorders>
              <w:top w:val="single" w:color="000000" w:sz="4" w:space="0"/>
              <w:lef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2.000</w:t>
            </w:r>
          </w:p>
        </w:tc>
        <w:tc>
          <w:tcPr>
            <w:tcW w:w="1340"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default" w:ascii="Arial" w:hAnsi="Arial" w:cs="Arial"/>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454" w:type="dxa"/>
            <w:tcBorders>
              <w:top w:val="single" w:color="000000" w:sz="4" w:space="0"/>
              <w:lef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w:t>
            </w:r>
          </w:p>
        </w:tc>
        <w:tc>
          <w:tcPr>
            <w:tcW w:w="2740" w:type="dxa"/>
            <w:tcBorders>
              <w:top w:val="single" w:color="000000" w:sz="4" w:space="0"/>
              <w:lef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原有砼侧石拆除</w:t>
            </w:r>
          </w:p>
        </w:tc>
        <w:tc>
          <w:tcPr>
            <w:tcW w:w="1042" w:type="dxa"/>
            <w:tcBorders>
              <w:top w:val="single" w:color="000000" w:sz="4" w:space="0"/>
              <w:lef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p>
        </w:tc>
        <w:tc>
          <w:tcPr>
            <w:tcW w:w="1635" w:type="dxa"/>
            <w:tcBorders>
              <w:top w:val="single" w:color="000000" w:sz="4" w:space="0"/>
              <w:lef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4.000</w:t>
            </w:r>
          </w:p>
        </w:tc>
        <w:tc>
          <w:tcPr>
            <w:tcW w:w="1340"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default" w:ascii="Arial" w:hAnsi="Arial" w:cs="Arial"/>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454" w:type="dxa"/>
            <w:tcBorders>
              <w:top w:val="single" w:color="000000" w:sz="4" w:space="0"/>
              <w:lef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22</w:t>
            </w:r>
          </w:p>
        </w:tc>
        <w:tc>
          <w:tcPr>
            <w:tcW w:w="2740" w:type="dxa"/>
            <w:tcBorders>
              <w:top w:val="single" w:color="000000" w:sz="4" w:space="0"/>
              <w:lef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新安装花岗岩侧石</w:t>
            </w:r>
          </w:p>
        </w:tc>
        <w:tc>
          <w:tcPr>
            <w:tcW w:w="1042" w:type="dxa"/>
            <w:tcBorders>
              <w:top w:val="single" w:color="000000" w:sz="4" w:space="0"/>
              <w:lef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p>
        </w:tc>
        <w:tc>
          <w:tcPr>
            <w:tcW w:w="1635" w:type="dxa"/>
            <w:tcBorders>
              <w:top w:val="single" w:color="000000" w:sz="4" w:space="0"/>
              <w:lef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46.000</w:t>
            </w:r>
          </w:p>
        </w:tc>
        <w:tc>
          <w:tcPr>
            <w:tcW w:w="1340" w:type="dxa"/>
            <w:tcBorders>
              <w:top w:val="single" w:color="000000" w:sz="4" w:space="0"/>
              <w:left w:val="single" w:color="000000" w:sz="4" w:space="0"/>
              <w:right w:val="single" w:color="000000" w:sz="4" w:space="0"/>
            </w:tcBorders>
            <w:shd w:val="clear" w:color="auto" w:fill="auto"/>
            <w:vAlign w:val="bottom"/>
          </w:tcPr>
          <w:p>
            <w:pPr>
              <w:rPr>
                <w:rFonts w:hint="default" w:ascii="Arial" w:hAnsi="Arial" w:cs="Arial"/>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7211"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AOC安检道口安检室进口区域及岗亭迁移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jc w:val="center"/>
        </w:trPr>
        <w:tc>
          <w:tcPr>
            <w:tcW w:w="454" w:type="dxa"/>
            <w:tcBorders>
              <w:lef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23</w:t>
            </w:r>
          </w:p>
        </w:tc>
        <w:tc>
          <w:tcPr>
            <w:tcW w:w="2740" w:type="dxa"/>
            <w:tcBorders>
              <w:lef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窨井降低与新做路面平整700MM（含粉刷等）</w:t>
            </w:r>
          </w:p>
        </w:tc>
        <w:tc>
          <w:tcPr>
            <w:tcW w:w="1042" w:type="dxa"/>
            <w:tcBorders>
              <w:lef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个</w:t>
            </w:r>
          </w:p>
        </w:tc>
        <w:tc>
          <w:tcPr>
            <w:tcW w:w="1635" w:type="dxa"/>
            <w:tcBorders>
              <w:lef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1.000</w:t>
            </w:r>
          </w:p>
        </w:tc>
        <w:tc>
          <w:tcPr>
            <w:tcW w:w="1340" w:type="dxa"/>
            <w:tcBorders>
              <w:left w:val="single" w:color="000000" w:sz="4" w:space="0"/>
              <w:bottom w:val="single" w:color="000000" w:sz="4" w:space="0"/>
              <w:right w:val="single" w:color="000000" w:sz="4" w:space="0"/>
            </w:tcBorders>
            <w:shd w:val="clear" w:color="auto" w:fill="auto"/>
            <w:vAlign w:val="bottom"/>
          </w:tcPr>
          <w:p>
            <w:pPr>
              <w:rPr>
                <w:rFonts w:hint="default" w:ascii="Arial" w:hAnsi="Arial" w:cs="Arial"/>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454" w:type="dxa"/>
            <w:tcBorders>
              <w:top w:val="single" w:color="000000" w:sz="4" w:space="0"/>
              <w:lef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24</w:t>
            </w:r>
          </w:p>
        </w:tc>
        <w:tc>
          <w:tcPr>
            <w:tcW w:w="2740" w:type="dxa"/>
            <w:tcBorders>
              <w:top w:val="single" w:color="000000" w:sz="4" w:space="0"/>
              <w:lef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更换重型塑钢盖板700</w:t>
            </w:r>
          </w:p>
        </w:tc>
        <w:tc>
          <w:tcPr>
            <w:tcW w:w="1042" w:type="dxa"/>
            <w:tcBorders>
              <w:top w:val="single" w:color="000000" w:sz="4" w:space="0"/>
              <w:lef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套</w:t>
            </w:r>
          </w:p>
        </w:tc>
        <w:tc>
          <w:tcPr>
            <w:tcW w:w="1635" w:type="dxa"/>
            <w:tcBorders>
              <w:top w:val="single" w:color="000000" w:sz="4" w:space="0"/>
              <w:lef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1.000</w:t>
            </w:r>
          </w:p>
        </w:tc>
        <w:tc>
          <w:tcPr>
            <w:tcW w:w="1340"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default" w:ascii="Arial" w:hAnsi="Arial" w:cs="Arial"/>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jc w:val="center"/>
        </w:trPr>
        <w:tc>
          <w:tcPr>
            <w:tcW w:w="454" w:type="dxa"/>
            <w:tcBorders>
              <w:top w:val="single" w:color="000000" w:sz="4" w:space="0"/>
              <w:lef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25</w:t>
            </w:r>
          </w:p>
        </w:tc>
        <w:tc>
          <w:tcPr>
            <w:tcW w:w="2740" w:type="dxa"/>
            <w:tcBorders>
              <w:top w:val="single" w:color="000000" w:sz="4" w:space="0"/>
              <w:lef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隔墙轻钢龙骨基层 中距竖400mm横1500mm以内</w:t>
            </w:r>
          </w:p>
        </w:tc>
        <w:tc>
          <w:tcPr>
            <w:tcW w:w="1042" w:type="dxa"/>
            <w:tcBorders>
              <w:top w:val="single" w:color="000000" w:sz="4" w:space="0"/>
              <w:lef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m2</w:t>
            </w:r>
          </w:p>
        </w:tc>
        <w:tc>
          <w:tcPr>
            <w:tcW w:w="1635" w:type="dxa"/>
            <w:tcBorders>
              <w:top w:val="single" w:color="000000" w:sz="4" w:space="0"/>
              <w:lef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4.200</w:t>
            </w:r>
          </w:p>
        </w:tc>
        <w:tc>
          <w:tcPr>
            <w:tcW w:w="1340"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default" w:ascii="Arial" w:hAnsi="Arial" w:cs="Arial"/>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454" w:type="dxa"/>
            <w:tcBorders>
              <w:top w:val="single" w:color="000000" w:sz="4" w:space="0"/>
              <w:lef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26</w:t>
            </w:r>
          </w:p>
        </w:tc>
        <w:tc>
          <w:tcPr>
            <w:tcW w:w="2740" w:type="dxa"/>
            <w:tcBorders>
              <w:top w:val="single" w:color="000000" w:sz="4" w:space="0"/>
              <w:lef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A级阻燃板</w:t>
            </w:r>
          </w:p>
        </w:tc>
        <w:tc>
          <w:tcPr>
            <w:tcW w:w="1042" w:type="dxa"/>
            <w:tcBorders>
              <w:top w:val="single" w:color="000000" w:sz="4" w:space="0"/>
              <w:lef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m2</w:t>
            </w:r>
          </w:p>
        </w:tc>
        <w:tc>
          <w:tcPr>
            <w:tcW w:w="1635" w:type="dxa"/>
            <w:tcBorders>
              <w:top w:val="single" w:color="000000" w:sz="4" w:space="0"/>
              <w:lef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2.100</w:t>
            </w:r>
          </w:p>
        </w:tc>
        <w:tc>
          <w:tcPr>
            <w:tcW w:w="1340"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default" w:ascii="Arial" w:hAnsi="Arial" w:cs="Arial"/>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454" w:type="dxa"/>
            <w:tcBorders>
              <w:top w:val="single" w:color="000000" w:sz="4" w:space="0"/>
              <w:lef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27</w:t>
            </w:r>
          </w:p>
        </w:tc>
        <w:tc>
          <w:tcPr>
            <w:tcW w:w="2740" w:type="dxa"/>
            <w:tcBorders>
              <w:top w:val="single" w:color="000000" w:sz="4" w:space="0"/>
              <w:lef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墙面石膏板基层</w:t>
            </w:r>
          </w:p>
        </w:tc>
        <w:tc>
          <w:tcPr>
            <w:tcW w:w="1042" w:type="dxa"/>
            <w:tcBorders>
              <w:top w:val="single" w:color="000000" w:sz="4" w:space="0"/>
              <w:lef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m2</w:t>
            </w:r>
          </w:p>
        </w:tc>
        <w:tc>
          <w:tcPr>
            <w:tcW w:w="1635" w:type="dxa"/>
            <w:tcBorders>
              <w:top w:val="single" w:color="000000" w:sz="4" w:space="0"/>
              <w:lef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4.200</w:t>
            </w:r>
          </w:p>
        </w:tc>
        <w:tc>
          <w:tcPr>
            <w:tcW w:w="1340"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default" w:ascii="Arial" w:hAnsi="Arial" w:cs="Arial"/>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jc w:val="center"/>
        </w:trPr>
        <w:tc>
          <w:tcPr>
            <w:tcW w:w="454" w:type="dxa"/>
            <w:tcBorders>
              <w:top w:val="single" w:color="000000" w:sz="4" w:space="0"/>
              <w:lef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28</w:t>
            </w:r>
          </w:p>
        </w:tc>
        <w:tc>
          <w:tcPr>
            <w:tcW w:w="2740" w:type="dxa"/>
            <w:tcBorders>
              <w:top w:val="single" w:color="000000" w:sz="4" w:space="0"/>
              <w:lef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石膏板或者其他基层板面批刮腻子（满刮两遍）</w:t>
            </w:r>
          </w:p>
        </w:tc>
        <w:tc>
          <w:tcPr>
            <w:tcW w:w="1042" w:type="dxa"/>
            <w:tcBorders>
              <w:top w:val="single" w:color="000000" w:sz="4" w:space="0"/>
              <w:lef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m2</w:t>
            </w:r>
          </w:p>
        </w:tc>
        <w:tc>
          <w:tcPr>
            <w:tcW w:w="1635" w:type="dxa"/>
            <w:tcBorders>
              <w:top w:val="single" w:color="000000" w:sz="4" w:space="0"/>
              <w:lef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4.200</w:t>
            </w:r>
          </w:p>
        </w:tc>
        <w:tc>
          <w:tcPr>
            <w:tcW w:w="1340"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default" w:ascii="Arial" w:hAnsi="Arial" w:cs="Arial"/>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454" w:type="dxa"/>
            <w:tcBorders>
              <w:top w:val="single" w:color="000000" w:sz="4" w:space="0"/>
              <w:lef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29</w:t>
            </w:r>
          </w:p>
        </w:tc>
        <w:tc>
          <w:tcPr>
            <w:tcW w:w="2740" w:type="dxa"/>
            <w:tcBorders>
              <w:top w:val="single" w:color="000000" w:sz="4" w:space="0"/>
              <w:lef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墙面刷涂料 ~二遍</w:t>
            </w:r>
          </w:p>
        </w:tc>
        <w:tc>
          <w:tcPr>
            <w:tcW w:w="1042" w:type="dxa"/>
            <w:tcBorders>
              <w:top w:val="single" w:color="000000" w:sz="4" w:space="0"/>
              <w:lef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m2</w:t>
            </w:r>
          </w:p>
        </w:tc>
        <w:tc>
          <w:tcPr>
            <w:tcW w:w="1635" w:type="dxa"/>
            <w:tcBorders>
              <w:top w:val="single" w:color="000000" w:sz="4" w:space="0"/>
              <w:lef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3.570</w:t>
            </w:r>
          </w:p>
        </w:tc>
        <w:tc>
          <w:tcPr>
            <w:tcW w:w="1340"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default" w:ascii="Arial" w:hAnsi="Arial" w:cs="Arial"/>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454" w:type="dxa"/>
            <w:tcBorders>
              <w:top w:val="single" w:color="000000" w:sz="4" w:space="0"/>
              <w:lef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w:t>
            </w:r>
          </w:p>
        </w:tc>
        <w:tc>
          <w:tcPr>
            <w:tcW w:w="2740" w:type="dxa"/>
            <w:tcBorders>
              <w:top w:val="single" w:color="000000" w:sz="4" w:space="0"/>
              <w:lef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地砖踢脚线 干混砂浆铺贴</w:t>
            </w:r>
          </w:p>
        </w:tc>
        <w:tc>
          <w:tcPr>
            <w:tcW w:w="1042" w:type="dxa"/>
            <w:tcBorders>
              <w:top w:val="single" w:color="000000" w:sz="4" w:space="0"/>
              <w:lef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m2</w:t>
            </w:r>
          </w:p>
        </w:tc>
        <w:tc>
          <w:tcPr>
            <w:tcW w:w="1635" w:type="dxa"/>
            <w:tcBorders>
              <w:top w:val="single" w:color="000000" w:sz="4" w:space="0"/>
              <w:lef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0.630</w:t>
            </w:r>
          </w:p>
        </w:tc>
        <w:tc>
          <w:tcPr>
            <w:tcW w:w="1340"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default" w:ascii="Arial" w:hAnsi="Arial" w:cs="Arial"/>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454" w:type="dxa"/>
            <w:tcBorders>
              <w:top w:val="single" w:color="000000" w:sz="4" w:space="0"/>
              <w:lef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w:t>
            </w:r>
          </w:p>
        </w:tc>
        <w:tc>
          <w:tcPr>
            <w:tcW w:w="2740" w:type="dxa"/>
            <w:tcBorders>
              <w:top w:val="single" w:color="000000" w:sz="4" w:space="0"/>
              <w:lef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原有玻璃门拆除</w:t>
            </w:r>
          </w:p>
        </w:tc>
        <w:tc>
          <w:tcPr>
            <w:tcW w:w="1042" w:type="dxa"/>
            <w:tcBorders>
              <w:top w:val="single" w:color="000000" w:sz="4" w:space="0"/>
              <w:lef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m2</w:t>
            </w:r>
          </w:p>
        </w:tc>
        <w:tc>
          <w:tcPr>
            <w:tcW w:w="1635" w:type="dxa"/>
            <w:tcBorders>
              <w:top w:val="single" w:color="000000" w:sz="4" w:space="0"/>
              <w:lef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2.100</w:t>
            </w:r>
          </w:p>
        </w:tc>
        <w:tc>
          <w:tcPr>
            <w:tcW w:w="1340"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default" w:ascii="Arial" w:hAnsi="Arial" w:cs="Arial"/>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jc w:val="center"/>
        </w:trPr>
        <w:tc>
          <w:tcPr>
            <w:tcW w:w="454" w:type="dxa"/>
            <w:tcBorders>
              <w:top w:val="single" w:color="000000" w:sz="4" w:space="0"/>
              <w:lef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32</w:t>
            </w:r>
          </w:p>
        </w:tc>
        <w:tc>
          <w:tcPr>
            <w:tcW w:w="2740" w:type="dxa"/>
            <w:tcBorders>
              <w:top w:val="single" w:color="000000" w:sz="4" w:space="0"/>
              <w:lef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原有墙面开门洞（含过梁安装及门洞周边修补）</w:t>
            </w:r>
          </w:p>
        </w:tc>
        <w:tc>
          <w:tcPr>
            <w:tcW w:w="1042" w:type="dxa"/>
            <w:tcBorders>
              <w:top w:val="single" w:color="000000" w:sz="4" w:space="0"/>
              <w:lef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m2</w:t>
            </w:r>
          </w:p>
        </w:tc>
        <w:tc>
          <w:tcPr>
            <w:tcW w:w="1635" w:type="dxa"/>
            <w:tcBorders>
              <w:top w:val="single" w:color="000000" w:sz="4" w:space="0"/>
              <w:lef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5.880</w:t>
            </w:r>
          </w:p>
        </w:tc>
        <w:tc>
          <w:tcPr>
            <w:tcW w:w="1340"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default" w:ascii="Arial" w:hAnsi="Arial" w:cs="Arial"/>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jc w:val="center"/>
        </w:trPr>
        <w:tc>
          <w:tcPr>
            <w:tcW w:w="454" w:type="dxa"/>
            <w:tcBorders>
              <w:top w:val="single" w:color="000000" w:sz="4" w:space="0"/>
              <w:lef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33</w:t>
            </w:r>
          </w:p>
        </w:tc>
        <w:tc>
          <w:tcPr>
            <w:tcW w:w="2740" w:type="dxa"/>
            <w:tcBorders>
              <w:top w:val="single" w:color="000000" w:sz="4" w:space="0"/>
              <w:lef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新安装甲级防盗双开门（含门框及配件等，1.4*2.1米）</w:t>
            </w:r>
          </w:p>
        </w:tc>
        <w:tc>
          <w:tcPr>
            <w:tcW w:w="1042" w:type="dxa"/>
            <w:tcBorders>
              <w:top w:val="single" w:color="000000" w:sz="4" w:space="0"/>
              <w:lef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樘</w:t>
            </w:r>
          </w:p>
        </w:tc>
        <w:tc>
          <w:tcPr>
            <w:tcW w:w="1635" w:type="dxa"/>
            <w:tcBorders>
              <w:top w:val="single" w:color="000000" w:sz="4" w:space="0"/>
              <w:lef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1.000</w:t>
            </w:r>
          </w:p>
        </w:tc>
        <w:tc>
          <w:tcPr>
            <w:tcW w:w="1340"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default" w:ascii="Arial" w:hAnsi="Arial" w:cs="Arial"/>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454" w:type="dxa"/>
            <w:tcBorders>
              <w:top w:val="single" w:color="000000" w:sz="4" w:space="0"/>
              <w:lef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34</w:t>
            </w:r>
          </w:p>
        </w:tc>
        <w:tc>
          <w:tcPr>
            <w:tcW w:w="2740" w:type="dxa"/>
            <w:tcBorders>
              <w:top w:val="single" w:color="000000" w:sz="4" w:space="0"/>
              <w:lef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拆除原有砖墙及窗户</w:t>
            </w:r>
          </w:p>
        </w:tc>
        <w:tc>
          <w:tcPr>
            <w:tcW w:w="1042" w:type="dxa"/>
            <w:tcBorders>
              <w:top w:val="single" w:color="000000" w:sz="4" w:space="0"/>
              <w:lef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m2</w:t>
            </w:r>
          </w:p>
        </w:tc>
        <w:tc>
          <w:tcPr>
            <w:tcW w:w="1635" w:type="dxa"/>
            <w:tcBorders>
              <w:top w:val="single" w:color="000000" w:sz="4" w:space="0"/>
              <w:lef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3.850</w:t>
            </w:r>
          </w:p>
        </w:tc>
        <w:tc>
          <w:tcPr>
            <w:tcW w:w="1340"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default" w:ascii="Arial" w:hAnsi="Arial" w:cs="Arial"/>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454" w:type="dxa"/>
            <w:tcBorders>
              <w:top w:val="single" w:color="000000" w:sz="4" w:space="0"/>
              <w:lef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35</w:t>
            </w:r>
          </w:p>
        </w:tc>
        <w:tc>
          <w:tcPr>
            <w:tcW w:w="2740" w:type="dxa"/>
            <w:tcBorders>
              <w:top w:val="single" w:color="000000" w:sz="4" w:space="0"/>
              <w:lef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新砌砖墙（含内外粉刷等）</w:t>
            </w:r>
          </w:p>
        </w:tc>
        <w:tc>
          <w:tcPr>
            <w:tcW w:w="1042" w:type="dxa"/>
            <w:tcBorders>
              <w:top w:val="single" w:color="000000" w:sz="4" w:space="0"/>
              <w:lef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m3</w:t>
            </w:r>
          </w:p>
        </w:tc>
        <w:tc>
          <w:tcPr>
            <w:tcW w:w="1635" w:type="dxa"/>
            <w:tcBorders>
              <w:top w:val="single" w:color="000000" w:sz="4" w:space="0"/>
              <w:lef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0.264</w:t>
            </w:r>
          </w:p>
        </w:tc>
        <w:tc>
          <w:tcPr>
            <w:tcW w:w="1340"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default" w:ascii="Arial" w:hAnsi="Arial" w:cs="Arial"/>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jc w:val="center"/>
        </w:trPr>
        <w:tc>
          <w:tcPr>
            <w:tcW w:w="454" w:type="dxa"/>
            <w:tcBorders>
              <w:top w:val="single" w:color="000000" w:sz="4" w:space="0"/>
              <w:lef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36</w:t>
            </w:r>
          </w:p>
        </w:tc>
        <w:tc>
          <w:tcPr>
            <w:tcW w:w="2740" w:type="dxa"/>
            <w:tcBorders>
              <w:top w:val="single" w:color="000000" w:sz="4" w:space="0"/>
              <w:lef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新安装铝合金有框8MM钢化玻璃平开门（0.9*2.1米，含配件等）</w:t>
            </w:r>
          </w:p>
        </w:tc>
        <w:tc>
          <w:tcPr>
            <w:tcW w:w="1042" w:type="dxa"/>
            <w:tcBorders>
              <w:top w:val="single" w:color="000000" w:sz="4" w:space="0"/>
              <w:lef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樘</w:t>
            </w:r>
          </w:p>
        </w:tc>
        <w:tc>
          <w:tcPr>
            <w:tcW w:w="1635" w:type="dxa"/>
            <w:tcBorders>
              <w:top w:val="single" w:color="000000" w:sz="4" w:space="0"/>
              <w:lef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1.000</w:t>
            </w:r>
          </w:p>
        </w:tc>
        <w:tc>
          <w:tcPr>
            <w:tcW w:w="1340"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default" w:ascii="Arial" w:hAnsi="Arial" w:cs="Arial"/>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454" w:type="dxa"/>
            <w:tcBorders>
              <w:top w:val="single" w:color="000000" w:sz="4" w:space="0"/>
              <w:lef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37</w:t>
            </w:r>
          </w:p>
        </w:tc>
        <w:tc>
          <w:tcPr>
            <w:tcW w:w="2740" w:type="dxa"/>
            <w:tcBorders>
              <w:top w:val="single" w:color="000000" w:sz="4" w:space="0"/>
              <w:lef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原有岗亭移位</w:t>
            </w:r>
          </w:p>
        </w:tc>
        <w:tc>
          <w:tcPr>
            <w:tcW w:w="1042" w:type="dxa"/>
            <w:tcBorders>
              <w:top w:val="single" w:color="000000" w:sz="4" w:space="0"/>
              <w:lef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个</w:t>
            </w:r>
          </w:p>
        </w:tc>
        <w:tc>
          <w:tcPr>
            <w:tcW w:w="1635" w:type="dxa"/>
            <w:tcBorders>
              <w:top w:val="single" w:color="000000" w:sz="4" w:space="0"/>
              <w:lef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1.000</w:t>
            </w:r>
          </w:p>
        </w:tc>
        <w:tc>
          <w:tcPr>
            <w:tcW w:w="1340"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default" w:ascii="Arial" w:hAnsi="Arial" w:cs="Arial"/>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jc w:val="center"/>
        </w:trPr>
        <w:tc>
          <w:tcPr>
            <w:tcW w:w="454" w:type="dxa"/>
            <w:tcBorders>
              <w:top w:val="single" w:color="000000" w:sz="4" w:space="0"/>
              <w:lef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38</w:t>
            </w:r>
          </w:p>
        </w:tc>
        <w:tc>
          <w:tcPr>
            <w:tcW w:w="2740" w:type="dxa"/>
            <w:tcBorders>
              <w:top w:val="single" w:color="000000" w:sz="4" w:space="0"/>
              <w:lef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岗亭电源线拆装及新安装穿线管、电源线等</w:t>
            </w:r>
          </w:p>
        </w:tc>
        <w:tc>
          <w:tcPr>
            <w:tcW w:w="1042" w:type="dxa"/>
            <w:tcBorders>
              <w:top w:val="single" w:color="000000" w:sz="4" w:space="0"/>
              <w:lef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w:t>
            </w:r>
          </w:p>
        </w:tc>
        <w:tc>
          <w:tcPr>
            <w:tcW w:w="1635" w:type="dxa"/>
            <w:tcBorders>
              <w:top w:val="single" w:color="000000" w:sz="4" w:space="0"/>
              <w:lef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1.000</w:t>
            </w:r>
          </w:p>
        </w:tc>
        <w:tc>
          <w:tcPr>
            <w:tcW w:w="1340"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default" w:ascii="Arial" w:hAnsi="Arial" w:cs="Arial"/>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454" w:type="dxa"/>
            <w:tcBorders>
              <w:top w:val="single" w:color="000000" w:sz="4" w:space="0"/>
              <w:lef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39</w:t>
            </w:r>
          </w:p>
        </w:tc>
        <w:tc>
          <w:tcPr>
            <w:tcW w:w="2740" w:type="dxa"/>
            <w:tcBorders>
              <w:top w:val="single" w:color="000000" w:sz="4" w:space="0"/>
              <w:lef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拆除原有绿色围网</w:t>
            </w:r>
          </w:p>
        </w:tc>
        <w:tc>
          <w:tcPr>
            <w:tcW w:w="1042" w:type="dxa"/>
            <w:tcBorders>
              <w:top w:val="single" w:color="000000" w:sz="4" w:space="0"/>
              <w:lef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p>
        </w:tc>
        <w:tc>
          <w:tcPr>
            <w:tcW w:w="1635" w:type="dxa"/>
            <w:tcBorders>
              <w:top w:val="single" w:color="000000" w:sz="4" w:space="0"/>
              <w:lef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4.000</w:t>
            </w:r>
          </w:p>
        </w:tc>
        <w:tc>
          <w:tcPr>
            <w:tcW w:w="1340"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default" w:ascii="Arial" w:hAnsi="Arial" w:cs="Arial"/>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050" w:hRule="atLeast"/>
          <w:jc w:val="center"/>
        </w:trPr>
        <w:tc>
          <w:tcPr>
            <w:tcW w:w="454" w:type="dxa"/>
            <w:tcBorders>
              <w:top w:val="single" w:color="000000" w:sz="4" w:space="0"/>
              <w:lef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40</w:t>
            </w:r>
          </w:p>
        </w:tc>
        <w:tc>
          <w:tcPr>
            <w:tcW w:w="2740" w:type="dxa"/>
            <w:tcBorders>
              <w:top w:val="single" w:color="000000" w:sz="4" w:space="0"/>
              <w:lef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新安装绿色围网（2、围网不含倒刺部分高度2700mm，斧形刺刀圈直径600mm，单片宽度2000mm。</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3、围网立柱采用 Φ76*3.0电焊钢管,上下网片采用Φ5冷拔钢丝，网眼间距50*100。</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4、围界采用整体先镀锌厚渡塑的防腐形式,第一层热镀锌所采用的锌应符合GB470-83中规定的特一号或一号锌,镀锌量为:网片120G/M平方,紧固  件为350G/M平方,立柱横梁等为270G/M平方.第二层非金属渡层采取聚乙烯,厚度为0.4-0.8MM。镀塑前应对工件进行整体酸洗磷化处理。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5、围网具体样式及技术要求详见围网大样图。报价中应包含基础预埋固定及围网连接件。）</w:t>
            </w:r>
          </w:p>
        </w:tc>
        <w:tc>
          <w:tcPr>
            <w:tcW w:w="1042" w:type="dxa"/>
            <w:tcBorders>
              <w:top w:val="single" w:color="000000" w:sz="4" w:space="0"/>
              <w:lef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m2</w:t>
            </w:r>
          </w:p>
        </w:tc>
        <w:tc>
          <w:tcPr>
            <w:tcW w:w="1635" w:type="dxa"/>
            <w:tcBorders>
              <w:top w:val="single" w:color="000000" w:sz="4" w:space="0"/>
              <w:lef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50.000</w:t>
            </w:r>
          </w:p>
        </w:tc>
        <w:tc>
          <w:tcPr>
            <w:tcW w:w="1340"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default" w:ascii="Arial" w:hAnsi="Arial" w:cs="Arial"/>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454" w:type="dxa"/>
            <w:tcBorders>
              <w:top w:val="single" w:color="000000" w:sz="4" w:space="0"/>
              <w:left w:val="single" w:color="000000" w:sz="4" w:space="0"/>
              <w:bottom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41</w:t>
            </w:r>
          </w:p>
        </w:tc>
        <w:tc>
          <w:tcPr>
            <w:tcW w:w="2740" w:type="dxa"/>
            <w:tcBorders>
              <w:top w:val="single" w:color="000000" w:sz="4" w:space="0"/>
              <w:left w:val="single" w:color="000000" w:sz="4" w:space="0"/>
              <w:bottom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挖土方（深30CM）</w:t>
            </w:r>
          </w:p>
        </w:tc>
        <w:tc>
          <w:tcPr>
            <w:tcW w:w="1042" w:type="dxa"/>
            <w:tcBorders>
              <w:top w:val="single" w:color="000000" w:sz="4" w:space="0"/>
              <w:left w:val="single" w:color="000000" w:sz="4" w:space="0"/>
              <w:bottom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m3</w:t>
            </w:r>
          </w:p>
        </w:tc>
        <w:tc>
          <w:tcPr>
            <w:tcW w:w="1635" w:type="dxa"/>
            <w:tcBorders>
              <w:top w:val="single" w:color="000000" w:sz="4" w:space="0"/>
              <w:left w:val="single" w:color="000000" w:sz="4" w:space="0"/>
              <w:bottom w:val="single" w:color="auto"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12.000</w:t>
            </w:r>
          </w:p>
        </w:tc>
        <w:tc>
          <w:tcPr>
            <w:tcW w:w="1340"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default" w:ascii="Arial" w:hAnsi="Arial" w:cs="Arial"/>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jc w:val="center"/>
        </w:trPr>
        <w:tc>
          <w:tcPr>
            <w:tcW w:w="454"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42</w:t>
            </w:r>
          </w:p>
        </w:tc>
        <w:tc>
          <w:tcPr>
            <w:tcW w:w="274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水泥混凝土路面  道路混凝土~厚度15(cm)^非泵送商品混凝土 C30</w:t>
            </w:r>
          </w:p>
        </w:tc>
        <w:tc>
          <w:tcPr>
            <w:tcW w:w="1042"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m2</w:t>
            </w:r>
          </w:p>
        </w:tc>
        <w:tc>
          <w:tcPr>
            <w:tcW w:w="163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60.000</w:t>
            </w:r>
          </w:p>
        </w:tc>
        <w:tc>
          <w:tcPr>
            <w:tcW w:w="1340" w:type="dxa"/>
            <w:tcBorders>
              <w:top w:val="single" w:color="000000" w:sz="4" w:space="0"/>
              <w:left w:val="single" w:color="auto" w:sz="4" w:space="0"/>
              <w:bottom w:val="single" w:color="000000" w:sz="4" w:space="0"/>
              <w:right w:val="single" w:color="000000" w:sz="4" w:space="0"/>
            </w:tcBorders>
            <w:shd w:val="clear" w:color="auto" w:fill="auto"/>
            <w:vAlign w:val="bottom"/>
          </w:tcPr>
          <w:p>
            <w:pPr>
              <w:rPr>
                <w:rFonts w:hint="default" w:ascii="Arial" w:hAnsi="Arial" w:cs="Arial"/>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454" w:type="dxa"/>
            <w:tcBorders>
              <w:top w:val="single" w:color="auto" w:sz="4" w:space="0"/>
              <w:lef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43</w:t>
            </w:r>
          </w:p>
        </w:tc>
        <w:tc>
          <w:tcPr>
            <w:tcW w:w="2740" w:type="dxa"/>
            <w:tcBorders>
              <w:top w:val="single" w:color="auto" w:sz="4" w:space="0"/>
              <w:lef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碎石底层  人机配合~厚5(cm)</w:t>
            </w:r>
          </w:p>
        </w:tc>
        <w:tc>
          <w:tcPr>
            <w:tcW w:w="1042" w:type="dxa"/>
            <w:tcBorders>
              <w:top w:val="single" w:color="auto" w:sz="4" w:space="0"/>
              <w:lef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m2</w:t>
            </w:r>
          </w:p>
        </w:tc>
        <w:tc>
          <w:tcPr>
            <w:tcW w:w="1635" w:type="dxa"/>
            <w:tcBorders>
              <w:top w:val="single" w:color="auto" w:sz="4" w:space="0"/>
              <w:lef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60.000</w:t>
            </w:r>
          </w:p>
        </w:tc>
        <w:tc>
          <w:tcPr>
            <w:tcW w:w="1340"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default" w:ascii="Arial" w:hAnsi="Arial" w:cs="Arial"/>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jc w:val="center"/>
        </w:trPr>
        <w:tc>
          <w:tcPr>
            <w:tcW w:w="454" w:type="dxa"/>
            <w:tcBorders>
              <w:top w:val="single" w:color="000000" w:sz="4" w:space="0"/>
              <w:lef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44</w:t>
            </w:r>
          </w:p>
        </w:tc>
        <w:tc>
          <w:tcPr>
            <w:tcW w:w="2740" w:type="dxa"/>
            <w:tcBorders>
              <w:top w:val="single" w:color="000000" w:sz="4" w:space="0"/>
              <w:lef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1.8CM火烧岩板面层安砌  （300*600）</w:t>
            </w:r>
          </w:p>
        </w:tc>
        <w:tc>
          <w:tcPr>
            <w:tcW w:w="1042" w:type="dxa"/>
            <w:tcBorders>
              <w:top w:val="single" w:color="000000" w:sz="4" w:space="0"/>
              <w:lef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m2</w:t>
            </w:r>
          </w:p>
        </w:tc>
        <w:tc>
          <w:tcPr>
            <w:tcW w:w="1635" w:type="dxa"/>
            <w:tcBorders>
              <w:top w:val="single" w:color="000000" w:sz="4" w:space="0"/>
              <w:lef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60.000</w:t>
            </w:r>
          </w:p>
        </w:tc>
        <w:tc>
          <w:tcPr>
            <w:tcW w:w="1340"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default" w:ascii="Arial" w:hAnsi="Arial" w:cs="Arial"/>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454" w:type="dxa"/>
            <w:tcBorders>
              <w:top w:val="single" w:color="000000" w:sz="4" w:space="0"/>
              <w:lef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45</w:t>
            </w:r>
          </w:p>
        </w:tc>
        <w:tc>
          <w:tcPr>
            <w:tcW w:w="2740" w:type="dxa"/>
            <w:tcBorders>
              <w:top w:val="single" w:color="000000" w:sz="4" w:space="0"/>
              <w:lef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原有路灯拆除</w:t>
            </w:r>
          </w:p>
        </w:tc>
        <w:tc>
          <w:tcPr>
            <w:tcW w:w="1042" w:type="dxa"/>
            <w:tcBorders>
              <w:top w:val="single" w:color="000000" w:sz="4" w:space="0"/>
              <w:lef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个</w:t>
            </w:r>
          </w:p>
        </w:tc>
        <w:tc>
          <w:tcPr>
            <w:tcW w:w="1635" w:type="dxa"/>
            <w:tcBorders>
              <w:top w:val="single" w:color="000000" w:sz="4" w:space="0"/>
              <w:lef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1.000</w:t>
            </w:r>
          </w:p>
        </w:tc>
        <w:tc>
          <w:tcPr>
            <w:tcW w:w="1340"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default" w:ascii="Arial" w:hAnsi="Arial" w:cs="Arial"/>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454" w:type="dxa"/>
            <w:tcBorders>
              <w:top w:val="single" w:color="000000" w:sz="4" w:space="0"/>
              <w:lef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46</w:t>
            </w:r>
          </w:p>
        </w:tc>
        <w:tc>
          <w:tcPr>
            <w:tcW w:w="2740" w:type="dxa"/>
            <w:tcBorders>
              <w:top w:val="single" w:color="000000" w:sz="4" w:space="0"/>
              <w:lef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新安装花岗岩侧石</w:t>
            </w:r>
          </w:p>
        </w:tc>
        <w:tc>
          <w:tcPr>
            <w:tcW w:w="1042" w:type="dxa"/>
            <w:tcBorders>
              <w:top w:val="single" w:color="000000" w:sz="4" w:space="0"/>
              <w:lef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p>
        </w:tc>
        <w:tc>
          <w:tcPr>
            <w:tcW w:w="1635" w:type="dxa"/>
            <w:tcBorders>
              <w:top w:val="single" w:color="000000" w:sz="4" w:space="0"/>
              <w:lef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13.000</w:t>
            </w:r>
          </w:p>
        </w:tc>
        <w:tc>
          <w:tcPr>
            <w:tcW w:w="1340"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default" w:ascii="Arial" w:hAnsi="Arial" w:cs="Arial"/>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454" w:type="dxa"/>
            <w:tcBorders>
              <w:top w:val="single" w:color="000000" w:sz="4" w:space="0"/>
              <w:lef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47</w:t>
            </w:r>
          </w:p>
        </w:tc>
        <w:tc>
          <w:tcPr>
            <w:tcW w:w="2740" w:type="dxa"/>
            <w:tcBorders>
              <w:top w:val="single" w:color="000000" w:sz="4" w:space="0"/>
              <w:lef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空调移位（含铜管加长等配件）</w:t>
            </w:r>
          </w:p>
        </w:tc>
        <w:tc>
          <w:tcPr>
            <w:tcW w:w="1042" w:type="dxa"/>
            <w:tcBorders>
              <w:top w:val="single" w:color="000000" w:sz="4" w:space="0"/>
              <w:lef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个</w:t>
            </w:r>
          </w:p>
        </w:tc>
        <w:tc>
          <w:tcPr>
            <w:tcW w:w="1635" w:type="dxa"/>
            <w:tcBorders>
              <w:top w:val="single" w:color="000000" w:sz="4" w:space="0"/>
              <w:lef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2.000</w:t>
            </w:r>
          </w:p>
        </w:tc>
        <w:tc>
          <w:tcPr>
            <w:tcW w:w="1340"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default" w:ascii="Arial" w:hAnsi="Arial" w:cs="Arial"/>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jc w:val="center"/>
        </w:trPr>
        <w:tc>
          <w:tcPr>
            <w:tcW w:w="454" w:type="dxa"/>
            <w:tcBorders>
              <w:top w:val="single" w:color="000000" w:sz="4" w:space="0"/>
              <w:lef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48</w:t>
            </w:r>
          </w:p>
        </w:tc>
        <w:tc>
          <w:tcPr>
            <w:tcW w:w="2740" w:type="dxa"/>
            <w:tcBorders>
              <w:top w:val="single" w:color="000000" w:sz="4" w:space="0"/>
              <w:lef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室外防水监控安装（含管线及电源接入等）</w:t>
            </w:r>
          </w:p>
        </w:tc>
        <w:tc>
          <w:tcPr>
            <w:tcW w:w="1042" w:type="dxa"/>
            <w:tcBorders>
              <w:top w:val="single" w:color="000000" w:sz="4" w:space="0"/>
              <w:lef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个</w:t>
            </w:r>
          </w:p>
        </w:tc>
        <w:tc>
          <w:tcPr>
            <w:tcW w:w="1635" w:type="dxa"/>
            <w:tcBorders>
              <w:top w:val="single" w:color="000000" w:sz="4" w:space="0"/>
              <w:lef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2.000</w:t>
            </w:r>
          </w:p>
        </w:tc>
        <w:tc>
          <w:tcPr>
            <w:tcW w:w="1340" w:type="dxa"/>
            <w:tcBorders>
              <w:top w:val="single" w:color="000000" w:sz="4" w:space="0"/>
              <w:left w:val="single" w:color="000000" w:sz="4" w:space="0"/>
              <w:right w:val="single" w:color="000000" w:sz="4" w:space="0"/>
            </w:tcBorders>
            <w:shd w:val="clear" w:color="auto" w:fill="auto"/>
            <w:vAlign w:val="bottom"/>
          </w:tcPr>
          <w:p>
            <w:pPr>
              <w:rPr>
                <w:rFonts w:hint="default" w:ascii="Arial" w:hAnsi="Arial" w:cs="Arial"/>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7211"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其它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454" w:type="dxa"/>
            <w:tcBorders>
              <w:lef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49</w:t>
            </w:r>
          </w:p>
        </w:tc>
        <w:tc>
          <w:tcPr>
            <w:tcW w:w="2740" w:type="dxa"/>
            <w:tcBorders>
              <w:lef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材料搬运及垃圾清理外运</w:t>
            </w:r>
          </w:p>
        </w:tc>
        <w:tc>
          <w:tcPr>
            <w:tcW w:w="1042" w:type="dxa"/>
            <w:tcBorders>
              <w:lef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w:t>
            </w:r>
          </w:p>
        </w:tc>
        <w:tc>
          <w:tcPr>
            <w:tcW w:w="1635" w:type="dxa"/>
            <w:tcBorders>
              <w:lef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1.000</w:t>
            </w:r>
          </w:p>
        </w:tc>
        <w:tc>
          <w:tcPr>
            <w:tcW w:w="1340" w:type="dxa"/>
            <w:tcBorders>
              <w:left w:val="single" w:color="000000" w:sz="4" w:space="0"/>
              <w:bottom w:val="single" w:color="000000" w:sz="4" w:space="0"/>
              <w:right w:val="single" w:color="000000" w:sz="4" w:space="0"/>
            </w:tcBorders>
            <w:shd w:val="clear" w:color="auto" w:fill="auto"/>
            <w:vAlign w:val="bottom"/>
          </w:tcPr>
          <w:p>
            <w:pPr>
              <w:rPr>
                <w:rFonts w:hint="default" w:ascii="Arial" w:hAnsi="Arial" w:cs="Arial"/>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454" w:type="dxa"/>
            <w:tcBorders>
              <w:top w:val="single" w:color="000000" w:sz="4" w:space="0"/>
              <w:lef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50</w:t>
            </w:r>
          </w:p>
        </w:tc>
        <w:tc>
          <w:tcPr>
            <w:tcW w:w="2740" w:type="dxa"/>
            <w:tcBorders>
              <w:top w:val="single" w:color="000000" w:sz="4" w:space="0"/>
              <w:lef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登高辅助费</w:t>
            </w:r>
          </w:p>
        </w:tc>
        <w:tc>
          <w:tcPr>
            <w:tcW w:w="1042" w:type="dxa"/>
            <w:tcBorders>
              <w:top w:val="single" w:color="000000" w:sz="4" w:space="0"/>
              <w:lef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w:t>
            </w:r>
          </w:p>
        </w:tc>
        <w:tc>
          <w:tcPr>
            <w:tcW w:w="1635" w:type="dxa"/>
            <w:tcBorders>
              <w:top w:val="single" w:color="000000" w:sz="4" w:space="0"/>
              <w:lef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1.000</w:t>
            </w:r>
          </w:p>
        </w:tc>
        <w:tc>
          <w:tcPr>
            <w:tcW w:w="1340"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default" w:ascii="Arial" w:hAnsi="Arial" w:cs="Arial"/>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350" w:hRule="atLeast"/>
          <w:jc w:val="center"/>
        </w:trPr>
        <w:tc>
          <w:tcPr>
            <w:tcW w:w="454" w:type="dxa"/>
            <w:tcBorders>
              <w:top w:val="single" w:color="000000" w:sz="4" w:space="0"/>
              <w:left w:val="single" w:color="000000" w:sz="4" w:space="0"/>
              <w:bottom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51</w:t>
            </w:r>
          </w:p>
        </w:tc>
        <w:tc>
          <w:tcPr>
            <w:tcW w:w="2740" w:type="dxa"/>
            <w:tcBorders>
              <w:top w:val="single" w:color="000000" w:sz="4" w:space="0"/>
              <w:left w:val="single" w:color="000000" w:sz="4" w:space="0"/>
              <w:bottom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施工安全监管费 （投标需考虑聘请专业保安（保安费用400-600元/人/8小时），负责门卫、巡逻、施工现场看护、隔离区围界看护等工作，人数每8小时不得少于1人，并配备相应的保卫措施）</w:t>
            </w:r>
          </w:p>
        </w:tc>
        <w:tc>
          <w:tcPr>
            <w:tcW w:w="1042" w:type="dxa"/>
            <w:tcBorders>
              <w:top w:val="single" w:color="000000" w:sz="4" w:space="0"/>
              <w:left w:val="single" w:color="000000" w:sz="4" w:space="0"/>
              <w:bottom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元</w:t>
            </w:r>
          </w:p>
        </w:tc>
        <w:tc>
          <w:tcPr>
            <w:tcW w:w="1635" w:type="dxa"/>
            <w:tcBorders>
              <w:top w:val="single" w:color="000000" w:sz="4" w:space="0"/>
              <w:left w:val="single" w:color="000000" w:sz="4" w:space="0"/>
              <w:bottom w:val="single" w:color="auto"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4000.000</w:t>
            </w:r>
          </w:p>
        </w:tc>
        <w:tc>
          <w:tcPr>
            <w:tcW w:w="1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暂列金额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350" w:hRule="atLeast"/>
          <w:jc w:val="center"/>
        </w:trPr>
        <w:tc>
          <w:tcPr>
            <w:tcW w:w="454"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52</w:t>
            </w:r>
          </w:p>
        </w:tc>
        <w:tc>
          <w:tcPr>
            <w:tcW w:w="274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隔离区施工措施费 （因隔离区内的的施工，投标人须采用相应施工措施，包括施工导致的夜间加班、工效降低、证件办理等需产生的费用必须充分考虑，费用包含在投标报价中）</w:t>
            </w:r>
          </w:p>
        </w:tc>
        <w:tc>
          <w:tcPr>
            <w:tcW w:w="1042"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w:t>
            </w:r>
          </w:p>
        </w:tc>
        <w:tc>
          <w:tcPr>
            <w:tcW w:w="163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1.000</w:t>
            </w:r>
          </w:p>
        </w:tc>
        <w:tc>
          <w:tcPr>
            <w:tcW w:w="1340" w:type="dxa"/>
            <w:tcBorders>
              <w:top w:val="single" w:color="000000" w:sz="4" w:space="0"/>
              <w:left w:val="single" w:color="auto" w:sz="4" w:space="0"/>
              <w:bottom w:val="single" w:color="000000" w:sz="4" w:space="0"/>
              <w:right w:val="single" w:color="000000" w:sz="4" w:space="0"/>
            </w:tcBorders>
            <w:shd w:val="clear" w:color="auto" w:fill="auto"/>
            <w:vAlign w:val="bottom"/>
          </w:tcPr>
          <w:p>
            <w:pPr>
              <w:rPr>
                <w:rFonts w:hint="default" w:ascii="Arial" w:hAnsi="Arial" w:cs="Arial"/>
                <w:i w:val="0"/>
                <w:color w:val="000000"/>
                <w:sz w:val="20"/>
                <w:szCs w:val="20"/>
                <w:u w:val="none"/>
              </w:rPr>
            </w:pPr>
          </w:p>
        </w:tc>
      </w:tr>
    </w:tbl>
    <w:p>
      <w:pPr>
        <w:pStyle w:val="9"/>
        <w:jc w:val="center"/>
        <w:rPr>
          <w:rFonts w:hint="eastAsia"/>
        </w:rPr>
      </w:pPr>
    </w:p>
    <w:p>
      <w:pPr>
        <w:pStyle w:val="9"/>
        <w:jc w:val="center"/>
        <w:rPr>
          <w:rFonts w:hint="eastAsia"/>
        </w:rPr>
      </w:pPr>
    </w:p>
    <w:p>
      <w:pPr>
        <w:pStyle w:val="9"/>
        <w:jc w:val="center"/>
        <w:rPr>
          <w:rFonts w:hint="eastAsia"/>
        </w:rPr>
      </w:pPr>
    </w:p>
    <w:p>
      <w:pPr>
        <w:pStyle w:val="9"/>
        <w:jc w:val="center"/>
        <w:rPr>
          <w:rFonts w:hint="eastAsia"/>
        </w:rPr>
      </w:pPr>
    </w:p>
    <w:p>
      <w:pPr>
        <w:pStyle w:val="9"/>
        <w:keepNext/>
        <w:keepLines w:val="0"/>
        <w:pageBreakBefore/>
        <w:widowControl w:val="0"/>
        <w:kinsoku/>
        <w:wordWrap/>
        <w:overflowPunct/>
        <w:topLinePunct w:val="0"/>
        <w:autoSpaceDE/>
        <w:autoSpaceDN/>
        <w:bidi w:val="0"/>
        <w:adjustRightInd/>
        <w:snapToGrid/>
        <w:spacing w:before="60" w:after="60" w:line="240" w:lineRule="auto"/>
        <w:ind w:left="0" w:leftChars="0" w:right="0" w:rightChars="0" w:firstLine="0" w:firstLineChars="0"/>
        <w:jc w:val="center"/>
        <w:textAlignment w:val="auto"/>
        <w:outlineLvl w:val="0"/>
      </w:pPr>
      <w:r>
        <w:rPr>
          <w:rFonts w:hint="eastAsia"/>
        </w:rPr>
        <w:t>第</w:t>
      </w:r>
      <w:r>
        <w:rPr>
          <w:rFonts w:hint="eastAsia"/>
          <w:lang w:val="en-US" w:eastAsia="zh-CN"/>
        </w:rPr>
        <w:t>五</w:t>
      </w:r>
      <w:r>
        <w:rPr>
          <w:rFonts w:hint="eastAsia"/>
        </w:rPr>
        <w:t xml:space="preserve">章  </w:t>
      </w:r>
      <w:r>
        <w:rPr>
          <w:rFonts w:hint="eastAsia"/>
          <w:lang w:val="en-US" w:eastAsia="zh-CN"/>
        </w:rPr>
        <w:t>图纸</w:t>
      </w:r>
      <w:r>
        <w:rPr>
          <w:rFonts w:hint="eastAsia"/>
        </w:rPr>
        <w:t>（详见附件）</w:t>
      </w:r>
    </w:p>
    <w:p>
      <w:pPr>
        <w:widowControl/>
        <w:jc w:val="left"/>
      </w:pP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640" w:firstLineChars="200"/>
        <w:jc w:val="left"/>
        <w:textAlignment w:val="auto"/>
        <w:outlineLvl w:val="9"/>
        <w:rPr>
          <w:rFonts w:hint="eastAsia" w:ascii="Cambria" w:hAnsi="Cambria" w:eastAsia="黑体" w:cs="Times New Roman"/>
          <w:b/>
          <w:bCs/>
          <w:kern w:val="0"/>
          <w:sz w:val="32"/>
          <w:szCs w:val="32"/>
          <w:lang w:val="en-US" w:eastAsia="zh-CN"/>
        </w:rPr>
      </w:pPr>
      <w:r>
        <w:rPr>
          <w:rFonts w:hint="eastAsia" w:ascii="Cambria" w:hAnsi="Cambria" w:eastAsia="黑体" w:cs="Times New Roman"/>
          <w:b/>
          <w:bCs/>
          <w:kern w:val="0"/>
          <w:sz w:val="32"/>
          <w:szCs w:val="32"/>
          <w:lang w:val="en-US" w:eastAsia="zh-CN"/>
        </w:rPr>
        <w:t>附件一：围网大样图</w:t>
      </w:r>
    </w:p>
    <w:p>
      <w:pPr>
        <w:pStyle w:val="9"/>
        <w:jc w:val="center"/>
        <w:rPr>
          <w:rFonts w:hint="eastAsia"/>
        </w:rPr>
      </w:pPr>
    </w:p>
    <w:bookmarkEnd w:id="22"/>
    <w:p>
      <w:pPr>
        <w:pStyle w:val="9"/>
        <w:jc w:val="both"/>
      </w:pPr>
    </w:p>
    <w:p>
      <w:pPr>
        <w:pStyle w:val="9"/>
        <w:keepNext/>
        <w:pageBreakBefore/>
      </w:pPr>
      <w:bookmarkStart w:id="25" w:name="_Toc17683"/>
      <w:r>
        <w:rPr>
          <w:rFonts w:hint="eastAsia"/>
        </w:rPr>
        <w:t>第</w:t>
      </w:r>
      <w:r>
        <w:rPr>
          <w:rFonts w:hint="eastAsia"/>
          <w:lang w:val="en-US" w:eastAsia="zh-CN"/>
        </w:rPr>
        <w:t>六</w:t>
      </w:r>
      <w:r>
        <w:rPr>
          <w:rFonts w:hint="eastAsia"/>
        </w:rPr>
        <w:t>章</w:t>
      </w:r>
      <w:r>
        <w:t xml:space="preserve"> </w:t>
      </w:r>
      <w:r>
        <w:rPr>
          <w:rFonts w:hint="eastAsia"/>
        </w:rPr>
        <w:t>技术标准及要求</w:t>
      </w:r>
      <w:bookmarkEnd w:id="25"/>
    </w:p>
    <w:p>
      <w:pPr>
        <w:adjustRightInd w:val="0"/>
        <w:snapToGrid w:val="0"/>
        <w:spacing w:line="360" w:lineRule="exact"/>
        <w:ind w:firstLine="440" w:firstLineChars="200"/>
        <w:rPr>
          <w:rFonts w:ascii="宋体" w:hAnsi="宋体" w:cs="宋体"/>
          <w:sz w:val="22"/>
        </w:rPr>
      </w:pPr>
      <w:r>
        <w:rPr>
          <w:rFonts w:hint="eastAsia" w:ascii="宋体" w:hAnsi="宋体" w:cs="宋体"/>
          <w:sz w:val="22"/>
        </w:rPr>
        <w:t>一、总体要求</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招标范围：主要工作内容具体详见工程量清单</w:t>
      </w:r>
      <w:r>
        <w:rPr>
          <w:rFonts w:hint="eastAsia" w:ascii="宋体" w:hAnsi="宋体" w:cs="宋体"/>
          <w:sz w:val="22"/>
          <w:lang w:val="en-US" w:eastAsia="zh-CN"/>
        </w:rPr>
        <w:t>及图纸</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施工前应做好施工技术方案或施工组织设计，并经批准后进行施工。施工前应按设计要求进行定位放线，并对测量基线，水准基点等进行复核。施工中必须作好施工记录，并及时处理好施工中出现的问题。严格做好施工场地及周边的文明施工和环境保护工作。做好与施工现场各专业施工队伍的配合工作。</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1.1 依据技术文件要求，本工程项目的施工必须达到以下现行中华人民共和国及省、市、行业的一切有关法规、规范的要求，如下述标准及规范要求有出入则以较严格者为准。</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1.1.1适用法律、法规名称：</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中华人民共和国建筑法</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中华人民共和国民法典</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中华人民共和国招标投标法</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建设工程质量管理条例（国务院279号令）</w:t>
      </w:r>
    </w:p>
    <w:p>
      <w:pPr>
        <w:adjustRightInd w:val="0"/>
        <w:snapToGrid w:val="0"/>
        <w:spacing w:line="360" w:lineRule="exact"/>
        <w:ind w:firstLine="440" w:firstLineChars="200"/>
        <w:rPr>
          <w:rFonts w:ascii="宋体" w:hAnsi="宋体" w:cs="宋体"/>
          <w:sz w:val="22"/>
        </w:rPr>
      </w:pPr>
      <w:bookmarkStart w:id="26" w:name="_Toc66769198"/>
      <w:r>
        <w:rPr>
          <w:rFonts w:hint="eastAsia" w:ascii="宋体" w:hAnsi="宋体" w:cs="宋体"/>
          <w:sz w:val="22"/>
        </w:rPr>
        <w:t>二、材料要求</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2.1工程材料选择</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（1）设备材料选择 </w:t>
      </w:r>
    </w:p>
    <w:p>
      <w:pPr>
        <w:widowControl/>
        <w:tabs>
          <w:tab w:val="left" w:pos="720"/>
        </w:tabs>
        <w:snapToGrid w:val="0"/>
        <w:spacing w:line="360" w:lineRule="exact"/>
        <w:rPr>
          <w:rFonts w:ascii="宋体" w:hAnsi="宋体" w:cs="宋体"/>
          <w:sz w:val="22"/>
          <w:lang w:val="zh-CN"/>
        </w:rPr>
      </w:pPr>
      <w:r>
        <w:rPr>
          <w:rFonts w:hint="eastAsia" w:ascii="宋体" w:hAnsi="宋体" w:cs="宋体"/>
          <w:sz w:val="22"/>
        </w:rPr>
        <w:t xml:space="preserve">     </w:t>
      </w:r>
      <w:r>
        <w:rPr>
          <w:rFonts w:hint="eastAsia" w:ascii="宋体" w:hAnsi="宋体" w:cs="宋体"/>
          <w:sz w:val="22"/>
          <w:lang w:val="zh-CN"/>
        </w:rPr>
        <w:t>1)招标人有材料品牌要求的，投标人应按招标文件推荐品牌要求填报，所有未根据要求而未填报或漏填报品牌的投标文件在中标后，招标人有权在推荐品牌中指定任一品牌作为施工使用品牌且中标人不得有异议，价格不变；投标人在投标文件中若提供了招标人推荐品牌外的产品，应同时提供相当于招标人推荐品牌产品的证明材料。</w:t>
      </w:r>
    </w:p>
    <w:p>
      <w:pPr>
        <w:widowControl/>
        <w:tabs>
          <w:tab w:val="left" w:pos="720"/>
        </w:tabs>
        <w:snapToGrid w:val="0"/>
        <w:spacing w:line="360" w:lineRule="exact"/>
        <w:ind w:firstLine="444"/>
        <w:rPr>
          <w:rFonts w:ascii="宋体" w:hAnsi="宋体" w:cs="宋体"/>
          <w:sz w:val="22"/>
          <w:lang w:val="zh-CN"/>
        </w:rPr>
      </w:pPr>
      <w:r>
        <w:rPr>
          <w:rFonts w:hint="eastAsia" w:ascii="宋体" w:hAnsi="宋体" w:cs="宋体"/>
          <w:sz w:val="22"/>
          <w:lang w:val="zh-CN"/>
        </w:rPr>
        <w:t>2)招标人推荐的品牌详见“</w:t>
      </w:r>
      <w:r>
        <w:rPr>
          <w:rFonts w:hint="eastAsia" w:ascii="宋体" w:hAnsi="宋体" w:cs="宋体"/>
          <w:sz w:val="22"/>
        </w:rPr>
        <w:t>主要材料设备推荐品牌一览表</w:t>
      </w:r>
      <w:r>
        <w:rPr>
          <w:rFonts w:hint="eastAsia" w:ascii="宋体" w:hAnsi="宋体" w:cs="宋体"/>
          <w:sz w:val="22"/>
          <w:lang w:val="zh-CN"/>
        </w:rPr>
        <w:t>”中内容。</w:t>
      </w:r>
    </w:p>
    <w:p>
      <w:pPr>
        <w:widowControl/>
        <w:tabs>
          <w:tab w:val="left" w:pos="720"/>
        </w:tabs>
        <w:snapToGrid w:val="0"/>
        <w:spacing w:line="360" w:lineRule="exact"/>
        <w:ind w:firstLine="444"/>
        <w:jc w:val="center"/>
        <w:rPr>
          <w:rFonts w:ascii="宋体" w:hAnsi="宋体" w:cs="宋体"/>
          <w:b/>
          <w:color w:val="auto"/>
          <w:sz w:val="22"/>
        </w:rPr>
      </w:pPr>
      <w:r>
        <w:rPr>
          <w:rFonts w:hint="eastAsia" w:ascii="宋体" w:hAnsi="宋体" w:cs="宋体"/>
          <w:b/>
          <w:color w:val="auto"/>
          <w:sz w:val="22"/>
        </w:rPr>
        <w:t>主要材料设备推荐品牌一览表</w:t>
      </w:r>
    </w:p>
    <w:tbl>
      <w:tblPr>
        <w:tblStyle w:val="12"/>
        <w:tblW w:w="867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3"/>
        <w:gridCol w:w="2783"/>
        <w:gridCol w:w="48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jc w:val="center"/>
        </w:trPr>
        <w:tc>
          <w:tcPr>
            <w:tcW w:w="1063" w:type="dxa"/>
            <w:vAlign w:val="center"/>
          </w:tcPr>
          <w:p>
            <w:pPr>
              <w:widowControl/>
              <w:tabs>
                <w:tab w:val="left" w:pos="720"/>
              </w:tabs>
              <w:snapToGrid w:val="0"/>
              <w:jc w:val="center"/>
              <w:rPr>
                <w:rFonts w:ascii="宋体" w:hAnsi="宋体" w:cs="宋体"/>
                <w:color w:val="auto"/>
                <w:sz w:val="22"/>
              </w:rPr>
            </w:pPr>
            <w:r>
              <w:rPr>
                <w:rFonts w:hint="eastAsia" w:ascii="宋体" w:hAnsi="宋体" w:cs="宋体"/>
                <w:color w:val="auto"/>
                <w:sz w:val="22"/>
              </w:rPr>
              <w:t>序号</w:t>
            </w:r>
          </w:p>
        </w:tc>
        <w:tc>
          <w:tcPr>
            <w:tcW w:w="2783" w:type="dxa"/>
            <w:vAlign w:val="center"/>
          </w:tcPr>
          <w:p>
            <w:pPr>
              <w:snapToGrid w:val="0"/>
              <w:jc w:val="center"/>
              <w:rPr>
                <w:rFonts w:ascii="宋体" w:hAnsi="宋体" w:cs="宋体"/>
                <w:color w:val="auto"/>
                <w:sz w:val="22"/>
              </w:rPr>
            </w:pPr>
            <w:r>
              <w:rPr>
                <w:rFonts w:hint="eastAsia" w:ascii="宋体" w:hAnsi="宋体" w:cs="宋体"/>
                <w:color w:val="auto"/>
                <w:sz w:val="22"/>
              </w:rPr>
              <w:t>材料</w:t>
            </w:r>
          </w:p>
        </w:tc>
        <w:tc>
          <w:tcPr>
            <w:tcW w:w="4829" w:type="dxa"/>
            <w:vAlign w:val="center"/>
          </w:tcPr>
          <w:p>
            <w:pPr>
              <w:snapToGrid w:val="0"/>
              <w:jc w:val="center"/>
              <w:rPr>
                <w:rFonts w:ascii="宋体" w:hAnsi="宋体" w:cs="宋体"/>
                <w:color w:val="auto"/>
                <w:sz w:val="22"/>
              </w:rPr>
            </w:pPr>
            <w:r>
              <w:rPr>
                <w:rFonts w:hint="eastAsia" w:ascii="宋体" w:hAnsi="宋体" w:cs="宋体"/>
                <w:color w:val="auto"/>
                <w:sz w:val="22"/>
              </w:rPr>
              <w:t>品牌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jc w:val="center"/>
        </w:trPr>
        <w:tc>
          <w:tcPr>
            <w:tcW w:w="1063" w:type="dxa"/>
            <w:vAlign w:val="center"/>
          </w:tcPr>
          <w:p>
            <w:pPr>
              <w:snapToGrid w:val="0"/>
              <w:jc w:val="center"/>
              <w:rPr>
                <w:rFonts w:cs="宋体" w:asciiTheme="minorEastAsia" w:hAnsiTheme="minorEastAsia"/>
                <w:color w:val="auto"/>
                <w:sz w:val="22"/>
              </w:rPr>
            </w:pPr>
            <w:r>
              <w:rPr>
                <w:rFonts w:hint="eastAsia" w:asciiTheme="minorEastAsia" w:hAnsiTheme="minorEastAsia"/>
                <w:color w:val="auto"/>
              </w:rPr>
              <w:t>1</w:t>
            </w:r>
          </w:p>
        </w:tc>
        <w:tc>
          <w:tcPr>
            <w:tcW w:w="2783" w:type="dxa"/>
            <w:vAlign w:val="center"/>
          </w:tcPr>
          <w:p>
            <w:pPr>
              <w:snapToGrid w:val="0"/>
              <w:jc w:val="center"/>
              <w:rPr>
                <w:rFonts w:cs="宋体" w:asciiTheme="minorEastAsia" w:hAnsiTheme="minorEastAsia"/>
                <w:bCs/>
                <w:color w:val="auto"/>
                <w:sz w:val="22"/>
              </w:rPr>
            </w:pPr>
            <w:r>
              <w:rPr>
                <w:rFonts w:hint="eastAsia" w:asciiTheme="minorEastAsia" w:hAnsiTheme="minorEastAsia"/>
                <w:color w:val="auto"/>
              </w:rPr>
              <w:t>电力电缆</w:t>
            </w:r>
          </w:p>
        </w:tc>
        <w:tc>
          <w:tcPr>
            <w:tcW w:w="4829" w:type="dxa"/>
            <w:vAlign w:val="center"/>
          </w:tcPr>
          <w:p>
            <w:pPr>
              <w:snapToGrid w:val="0"/>
              <w:jc w:val="center"/>
              <w:rPr>
                <w:rFonts w:cs="宋体" w:asciiTheme="minorEastAsia" w:hAnsiTheme="minorEastAsia"/>
                <w:bCs/>
                <w:color w:val="auto"/>
                <w:sz w:val="22"/>
              </w:rPr>
            </w:pPr>
            <w:r>
              <w:rPr>
                <w:rFonts w:hint="eastAsia" w:asciiTheme="minorEastAsia" w:hAnsiTheme="minorEastAsia"/>
                <w:color w:val="auto"/>
              </w:rPr>
              <w:t>远东电缆、中大元通、浙江万马或“相当于”品牌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jc w:val="center"/>
        </w:trPr>
        <w:tc>
          <w:tcPr>
            <w:tcW w:w="1063" w:type="dxa"/>
            <w:vAlign w:val="center"/>
          </w:tcPr>
          <w:p>
            <w:pPr>
              <w:snapToGrid w:val="0"/>
              <w:jc w:val="center"/>
              <w:rPr>
                <w:rFonts w:hint="eastAsia" w:cs="宋体" w:asciiTheme="minorEastAsia" w:hAnsiTheme="minorEastAsia"/>
                <w:color w:val="auto"/>
                <w:sz w:val="22"/>
              </w:rPr>
            </w:pPr>
            <w:r>
              <w:rPr>
                <w:rFonts w:hint="eastAsia" w:asciiTheme="minorEastAsia" w:hAnsiTheme="minorEastAsia"/>
                <w:color w:val="auto"/>
              </w:rPr>
              <w:t>2</w:t>
            </w:r>
          </w:p>
        </w:tc>
        <w:tc>
          <w:tcPr>
            <w:tcW w:w="2783" w:type="dxa"/>
            <w:vAlign w:val="center"/>
          </w:tcPr>
          <w:p>
            <w:pPr>
              <w:snapToGrid w:val="0"/>
              <w:jc w:val="center"/>
              <w:rPr>
                <w:rFonts w:hint="eastAsia" w:cs="宋体" w:asciiTheme="minorEastAsia" w:hAnsiTheme="minorEastAsia"/>
                <w:bCs/>
                <w:color w:val="auto"/>
                <w:sz w:val="22"/>
              </w:rPr>
            </w:pPr>
            <w:r>
              <w:rPr>
                <w:rFonts w:hint="eastAsia" w:asciiTheme="minorEastAsia" w:hAnsiTheme="minorEastAsia"/>
                <w:color w:val="auto"/>
              </w:rPr>
              <w:t>乳胶漆</w:t>
            </w:r>
          </w:p>
        </w:tc>
        <w:tc>
          <w:tcPr>
            <w:tcW w:w="4829" w:type="dxa"/>
            <w:vAlign w:val="center"/>
          </w:tcPr>
          <w:p>
            <w:pPr>
              <w:snapToGrid w:val="0"/>
              <w:jc w:val="center"/>
              <w:rPr>
                <w:rFonts w:hint="eastAsia" w:cs="宋体" w:asciiTheme="minorEastAsia" w:hAnsiTheme="minorEastAsia"/>
                <w:bCs/>
                <w:color w:val="auto"/>
                <w:sz w:val="22"/>
              </w:rPr>
            </w:pPr>
            <w:r>
              <w:rPr>
                <w:rFonts w:hint="eastAsia" w:asciiTheme="minorEastAsia" w:hAnsiTheme="minorEastAsia"/>
                <w:color w:val="auto"/>
              </w:rPr>
              <w:t>多乐士、立邦、SKK或“相当于”品牌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jc w:val="center"/>
        </w:trPr>
        <w:tc>
          <w:tcPr>
            <w:tcW w:w="1063" w:type="dxa"/>
            <w:vAlign w:val="center"/>
          </w:tcPr>
          <w:p>
            <w:pPr>
              <w:snapToGrid w:val="0"/>
              <w:jc w:val="center"/>
              <w:rPr>
                <w:rFonts w:hint="eastAsia" w:cs="宋体" w:asciiTheme="minorEastAsia" w:hAnsiTheme="minorEastAsia"/>
                <w:color w:val="auto"/>
                <w:sz w:val="22"/>
              </w:rPr>
            </w:pPr>
            <w:r>
              <w:rPr>
                <w:rFonts w:hint="eastAsia" w:cs="宋体" w:asciiTheme="minorEastAsia" w:hAnsiTheme="minorEastAsia"/>
                <w:color w:val="auto"/>
                <w:sz w:val="22"/>
                <w:lang w:val="en-US" w:eastAsia="zh-CN"/>
              </w:rPr>
              <w:t>3</w:t>
            </w:r>
          </w:p>
        </w:tc>
        <w:tc>
          <w:tcPr>
            <w:tcW w:w="2783" w:type="dxa"/>
            <w:vAlign w:val="center"/>
          </w:tcPr>
          <w:p>
            <w:pPr>
              <w:snapToGrid w:val="0"/>
              <w:jc w:val="center"/>
              <w:rPr>
                <w:rFonts w:hint="eastAsia" w:asciiTheme="minorEastAsia" w:hAnsiTheme="minorEastAsia"/>
                <w:color w:val="auto"/>
              </w:rPr>
            </w:pPr>
            <w:r>
              <w:rPr>
                <w:rFonts w:hint="eastAsia" w:asciiTheme="minorEastAsia" w:hAnsiTheme="minorEastAsia"/>
                <w:color w:val="auto"/>
                <w:lang w:val="en-US" w:eastAsia="zh-CN"/>
              </w:rPr>
              <w:t>室外防水监控</w:t>
            </w:r>
          </w:p>
        </w:tc>
        <w:tc>
          <w:tcPr>
            <w:tcW w:w="4829" w:type="dxa"/>
            <w:vAlign w:val="center"/>
          </w:tcPr>
          <w:p>
            <w:pPr>
              <w:snapToGrid w:val="0"/>
              <w:jc w:val="center"/>
              <w:rPr>
                <w:rFonts w:hint="eastAsia" w:cs="宋体" w:asciiTheme="minorEastAsia" w:hAnsiTheme="minorEastAsia"/>
                <w:bCs/>
                <w:color w:val="auto"/>
                <w:sz w:val="22"/>
              </w:rPr>
            </w:pPr>
            <w:r>
              <w:rPr>
                <w:rFonts w:hint="eastAsia" w:cs="宋体" w:asciiTheme="minorEastAsia" w:hAnsiTheme="minorEastAsia"/>
                <w:bCs/>
                <w:color w:val="auto"/>
                <w:sz w:val="22"/>
                <w:lang w:val="en-US" w:eastAsia="zh-CN"/>
              </w:rPr>
              <w:t>大华、海康威视、萤石</w:t>
            </w:r>
            <w:r>
              <w:rPr>
                <w:rFonts w:hint="eastAsia" w:cs="宋体" w:asciiTheme="minorEastAsia" w:hAnsiTheme="minorEastAsia"/>
                <w:bCs/>
                <w:color w:val="auto"/>
                <w:sz w:val="22"/>
              </w:rPr>
              <w:t>或“相当于”品牌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jc w:val="center"/>
        </w:trPr>
        <w:tc>
          <w:tcPr>
            <w:tcW w:w="1063" w:type="dxa"/>
            <w:vAlign w:val="center"/>
          </w:tcPr>
          <w:p>
            <w:pPr>
              <w:snapToGrid w:val="0"/>
              <w:jc w:val="center"/>
              <w:rPr>
                <w:rFonts w:hint="eastAsia" w:cs="宋体" w:asciiTheme="minorEastAsia" w:hAnsiTheme="minorEastAsia"/>
                <w:color w:val="auto"/>
                <w:sz w:val="22"/>
                <w:lang w:val="en-US" w:eastAsia="zh-CN"/>
              </w:rPr>
            </w:pPr>
            <w:r>
              <w:rPr>
                <w:rFonts w:hint="eastAsia" w:cs="宋体" w:asciiTheme="minorEastAsia" w:hAnsiTheme="minorEastAsia"/>
                <w:color w:val="auto"/>
                <w:sz w:val="22"/>
                <w:lang w:val="en-US" w:eastAsia="zh-CN"/>
              </w:rPr>
              <w:t>4</w:t>
            </w:r>
          </w:p>
        </w:tc>
        <w:tc>
          <w:tcPr>
            <w:tcW w:w="2783" w:type="dxa"/>
            <w:vAlign w:val="center"/>
          </w:tcPr>
          <w:p>
            <w:pPr>
              <w:snapToGrid w:val="0"/>
              <w:jc w:val="center"/>
              <w:rPr>
                <w:rFonts w:hint="eastAsia" w:asciiTheme="minorEastAsia" w:hAnsiTheme="minorEastAsia"/>
                <w:color w:val="auto"/>
                <w:lang w:val="en-US" w:eastAsia="zh-CN"/>
              </w:rPr>
            </w:pPr>
            <w:r>
              <w:rPr>
                <w:rFonts w:hint="eastAsia" w:asciiTheme="minorEastAsia" w:hAnsiTheme="minorEastAsia"/>
                <w:color w:val="auto"/>
                <w:lang w:val="en-US" w:eastAsia="zh-CN"/>
              </w:rPr>
              <w:t>甲级防盗双开门</w:t>
            </w:r>
          </w:p>
        </w:tc>
        <w:tc>
          <w:tcPr>
            <w:tcW w:w="4829" w:type="dxa"/>
            <w:vAlign w:val="center"/>
          </w:tcPr>
          <w:p>
            <w:pPr>
              <w:snapToGrid w:val="0"/>
              <w:jc w:val="center"/>
              <w:rPr>
                <w:rFonts w:hint="eastAsia" w:cs="宋体" w:asciiTheme="minorEastAsia" w:hAnsiTheme="minorEastAsia"/>
                <w:bCs/>
                <w:color w:val="auto"/>
                <w:sz w:val="22"/>
                <w:lang w:val="en-US" w:eastAsia="zh-CN"/>
              </w:rPr>
            </w:pPr>
            <w:r>
              <w:rPr>
                <w:rFonts w:hint="eastAsia" w:cs="宋体" w:asciiTheme="minorEastAsia" w:hAnsiTheme="minorEastAsia"/>
                <w:bCs/>
                <w:color w:val="auto"/>
                <w:sz w:val="22"/>
                <w:lang w:val="en-US" w:eastAsia="zh-CN"/>
              </w:rPr>
              <w:t>锐亿、君格、哈勃或“相当于”品牌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jc w:val="center"/>
        </w:trPr>
        <w:tc>
          <w:tcPr>
            <w:tcW w:w="1063" w:type="dxa"/>
            <w:vAlign w:val="center"/>
          </w:tcPr>
          <w:p>
            <w:pPr>
              <w:snapToGrid w:val="0"/>
              <w:jc w:val="center"/>
              <w:rPr>
                <w:rFonts w:hint="eastAsia" w:cs="宋体" w:asciiTheme="minorEastAsia" w:hAnsiTheme="minorEastAsia"/>
                <w:color w:val="auto"/>
                <w:sz w:val="22"/>
                <w:lang w:val="en-US" w:eastAsia="zh-CN"/>
              </w:rPr>
            </w:pPr>
            <w:r>
              <w:rPr>
                <w:rFonts w:hint="eastAsia" w:cs="宋体" w:asciiTheme="minorEastAsia" w:hAnsiTheme="minorEastAsia"/>
                <w:color w:val="auto"/>
                <w:sz w:val="22"/>
                <w:lang w:val="en-US" w:eastAsia="zh-CN"/>
              </w:rPr>
              <w:t>5</w:t>
            </w:r>
          </w:p>
        </w:tc>
        <w:tc>
          <w:tcPr>
            <w:tcW w:w="2783" w:type="dxa"/>
            <w:vAlign w:val="center"/>
          </w:tcPr>
          <w:p>
            <w:pPr>
              <w:snapToGrid w:val="0"/>
              <w:jc w:val="center"/>
              <w:rPr>
                <w:rFonts w:hint="eastAsia" w:asciiTheme="minorEastAsia" w:hAnsiTheme="minorEastAsia"/>
                <w:color w:val="auto"/>
                <w:lang w:val="en-US" w:eastAsia="zh-CN"/>
              </w:rPr>
            </w:pPr>
            <w:r>
              <w:rPr>
                <w:rFonts w:hint="eastAsia" w:asciiTheme="minorEastAsia" w:hAnsiTheme="minorEastAsia"/>
                <w:color w:val="auto"/>
                <w:lang w:val="en-US" w:eastAsia="zh-CN"/>
              </w:rPr>
              <w:t>PVC排水管</w:t>
            </w:r>
          </w:p>
        </w:tc>
        <w:tc>
          <w:tcPr>
            <w:tcW w:w="4829" w:type="dxa"/>
            <w:vAlign w:val="center"/>
          </w:tcPr>
          <w:p>
            <w:pPr>
              <w:snapToGrid w:val="0"/>
              <w:jc w:val="center"/>
              <w:rPr>
                <w:rFonts w:hint="eastAsia" w:cs="宋体" w:asciiTheme="minorEastAsia" w:hAnsiTheme="minorEastAsia"/>
                <w:bCs/>
                <w:color w:val="auto"/>
                <w:sz w:val="22"/>
                <w:lang w:val="en-US" w:eastAsia="zh-CN"/>
              </w:rPr>
            </w:pPr>
            <w:r>
              <w:rPr>
                <w:rFonts w:hint="eastAsia" w:cs="宋体" w:asciiTheme="minorEastAsia" w:hAnsiTheme="minorEastAsia"/>
                <w:bCs/>
                <w:color w:val="auto"/>
                <w:sz w:val="22"/>
                <w:lang w:val="en-US" w:eastAsia="zh-CN"/>
              </w:rPr>
              <w:t>中财、公元、伟星或“相当于”品牌</w:t>
            </w:r>
          </w:p>
        </w:tc>
      </w:tr>
    </w:tbl>
    <w:p>
      <w:pPr>
        <w:widowControl/>
        <w:tabs>
          <w:tab w:val="left" w:pos="720"/>
        </w:tabs>
        <w:snapToGrid w:val="0"/>
        <w:spacing w:line="360" w:lineRule="exact"/>
        <w:ind w:firstLine="442" w:firstLineChars="200"/>
        <w:rPr>
          <w:rFonts w:ascii="宋体" w:hAnsi="宋体" w:cs="宋体"/>
          <w:b/>
          <w:sz w:val="22"/>
        </w:rPr>
      </w:pPr>
    </w:p>
    <w:p>
      <w:pPr>
        <w:widowControl/>
        <w:tabs>
          <w:tab w:val="left" w:pos="720"/>
        </w:tabs>
        <w:snapToGrid w:val="0"/>
        <w:spacing w:line="360" w:lineRule="exact"/>
        <w:ind w:firstLine="442" w:firstLineChars="200"/>
        <w:rPr>
          <w:rFonts w:ascii="宋体" w:hAnsi="宋体" w:cs="宋体"/>
          <w:sz w:val="22"/>
        </w:rPr>
      </w:pPr>
      <w:r>
        <w:rPr>
          <w:rFonts w:hint="eastAsia" w:ascii="宋体" w:hAnsi="宋体" w:cs="宋体"/>
          <w:b/>
          <w:sz w:val="22"/>
        </w:rPr>
        <w:t>3)所用各类设备材料须经发包人认可后方可使用。</w:t>
      </w:r>
      <w:r>
        <w:rPr>
          <w:rFonts w:hint="eastAsia" w:ascii="宋体" w:hAnsi="宋体" w:cs="宋体"/>
          <w:sz w:val="22"/>
        </w:rPr>
        <w:t>投标单位主要设备材料品牌漏填或少填的，中标后由发包人在推荐品牌中选定，且报价不作调整。</w:t>
      </w:r>
    </w:p>
    <w:p>
      <w:pPr>
        <w:snapToGrid w:val="0"/>
        <w:spacing w:line="360" w:lineRule="exact"/>
        <w:rPr>
          <w:rFonts w:ascii="宋体" w:hAnsi="宋体" w:cs="宋体"/>
          <w:sz w:val="22"/>
        </w:rPr>
      </w:pPr>
      <w:r>
        <w:rPr>
          <w:rFonts w:hint="eastAsia" w:ascii="宋体" w:hAnsi="宋体" w:cs="宋体"/>
          <w:sz w:val="22"/>
        </w:rPr>
        <w:t xml:space="preserve">    4）所用各类设备材料都应符合设计和国家规定的相关技术规范标准要求。 </w:t>
      </w:r>
    </w:p>
    <w:p>
      <w:pPr>
        <w:snapToGrid w:val="0"/>
        <w:spacing w:line="360" w:lineRule="exact"/>
        <w:rPr>
          <w:rFonts w:ascii="宋体" w:hAnsi="宋体" w:cs="宋体"/>
          <w:sz w:val="22"/>
        </w:rPr>
      </w:pPr>
      <w:r>
        <w:rPr>
          <w:rFonts w:hint="eastAsia" w:ascii="宋体" w:hAnsi="宋体" w:cs="宋体"/>
          <w:sz w:val="22"/>
        </w:rPr>
        <w:t xml:space="preserve">    5）所用各类设备材料均有质量合格证书。</w:t>
      </w:r>
    </w:p>
    <w:p>
      <w:pPr>
        <w:widowControl/>
        <w:tabs>
          <w:tab w:val="left" w:pos="720"/>
        </w:tabs>
        <w:snapToGrid w:val="0"/>
        <w:spacing w:line="360" w:lineRule="exact"/>
        <w:ind w:firstLine="440" w:firstLineChars="200"/>
        <w:rPr>
          <w:rFonts w:ascii="宋体" w:hAnsi="宋体" w:cs="宋体"/>
          <w:sz w:val="22"/>
        </w:rPr>
      </w:pPr>
      <w:r>
        <w:rPr>
          <w:rFonts w:hint="eastAsia" w:ascii="宋体" w:hAnsi="宋体" w:cs="宋体"/>
          <w:sz w:val="22"/>
        </w:rPr>
        <w:t>6）承包人在选定品牌或制造商时应充分考虑供货等风险，若承包人选定品牌或制造商在实施时无法供货或无法正常供货，将由发包人在推荐品牌或制造商中予以指定。</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（2）设备材料的质量保证 </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1）在施工期间内，承包人对有缺陷的部位必须无偿地给予修正，并承担一切由此引起的对发包人或第三者的直接损失，除非该缺陷是由于人为破坏或合同规定的不可抗因素造成的损坏。 </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2）承包人应对所选用的设备材料的技术满足度和质量负全部责任，其责任不因该品牌是否为发包人推荐减轻或更改。当承包人选定的产品质量达不到设计要求和招标文件要求的技术指标时，发包人保留更换的权利，且中标价不予调整。</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3）未列入以上品牌推荐表的其它材料和设备，投标人在投标报价时应选择国内优质成熟的产品，施工时需得到发包人的认可，如承包人选定的产品不能满足以上要求，发包人保留更换的权利，且中标价不予调整。</w:t>
      </w:r>
    </w:p>
    <w:p>
      <w:pPr>
        <w:adjustRightInd w:val="0"/>
        <w:snapToGrid w:val="0"/>
        <w:spacing w:line="360" w:lineRule="exact"/>
        <w:ind w:firstLine="442" w:firstLineChars="200"/>
        <w:rPr>
          <w:rFonts w:hint="eastAsia" w:ascii="宋体" w:hAnsi="宋体" w:cs="宋体"/>
          <w:b/>
          <w:bCs/>
          <w:sz w:val="22"/>
        </w:rPr>
      </w:pPr>
      <w:r>
        <w:rPr>
          <w:rFonts w:hint="eastAsia" w:ascii="宋体" w:hAnsi="宋体" w:cs="宋体"/>
          <w:b/>
          <w:bCs/>
          <w:sz w:val="22"/>
        </w:rPr>
        <w:t>（3）施工过程中如涉及需拆除原有材料设备（除需利旧的材料设备外），由承包人自行处理，其残值及处置相关费用，由投标人综合考虑，包含在投标报价中。</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三、施工</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3.1一般要求</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承包人必须按照工程量清单及技术规范进行施工，严格按照批准的施工技术方案和施工组织设计进行施工，力争做到“一流的施工管理，一流的工程质量”；同时施工组织实施须遵守机场相关规定要求。</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3.2施工准备</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承包人应在开工前依施工现场情况合理制定施工技术方案和施工组织设计，在服从发包人的安排和总进度计划要求情况下制定施工方案，并按发包人批准的施工方案组织施工。</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3.3施工质量</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3.3.1工程施工质量控制</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（1）为了保证工程施工质量，投标单位必须建立完善的全面质量管理体系（GB/T1900），对工程施工生产进行全过程、全方位的质量监督、检查与控制。</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（2）施工阶段质量控制包括事前的各项施工准备工作质量控制，施工过程中的质量控制，以及各单项工程及整个工程项目完工后对建筑施工及安装产品质量的事后控制。</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（3）依据国家及政府有关部门颁布的有关质量管理的法律、法规、标准等，严格控制施工工序质量以及检验和评定工程项目质量。</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3.3.2现场质量监督</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（1）承包人在施工过程中，必须无条件地接受发包人的检查和监督，并执行发包人发出的指令，确保工程质量符合设计要求及相关规范、标准的规定。</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（2）工程中使用的材料均应符合相应技术要求，并符合发包人的指示要求，或在现场进行检验。</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3）没有发包人的批准，隐蔽工程的任何部分均不得覆盖或使之无法查看。承包人应保证发包人有充分的时间，对隐蔽工程进行检查和测量。无论何时，当工程的任何部分已经做好检查准备时，承包人应通知发包人进行检查。</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（4）发包人有权随时对下述事项发出指示：</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1）在指示规定的时间内，将发包人确认不合格的任何材料从现场运走。</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2）在指示规定的时间内，承包人必须将不合格的任何工程拆除并重新施工。</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（5）如果承包人在指示规定的时间内未执行上述指示时，则发包人有权雇用他人执行该项指示，所发生的有关费用由承包人负担。</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（6）根据发包人的指示，承包人应按发包人认为必要的时间和方式暂停工程或其他任何部分的工作，在暂时停工期间，承包人应对工程进行必要的保护和安全保障。</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3.3.3施工偏差要求</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承包人需就一切有关之材料和整体结构，必须满足相应的技术标准及规范的规定。若产生施工偏差，承包人必须无条件返工，直至达到相应的技术标准及规范的规定，费用由承包人承担。</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3.4检验和验收</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发包人有权在本工程施工过程中，进行随时地检查、检验和监督，为合同规定提供的材料进行性能试验。检验工作如果超出了承包人的能力，承包人应安排到第三方（指除发包人、承包人以外的另一方）进行，该第三方必须有检验条件和相应资质。检验工作的任何变化都应征得发包人的书面确认。如果某些试验项目在其他场所进行，</w:t>
      </w:r>
      <w:r>
        <w:rPr>
          <w:rFonts w:hint="eastAsia" w:ascii="宋体" w:hAnsi="宋体" w:cs="宋体"/>
          <w:b/>
          <w:bCs/>
          <w:sz w:val="22"/>
        </w:rPr>
        <w:t>承包人应替发包人办理进入现场的手续和亲自陪同。</w:t>
      </w:r>
    </w:p>
    <w:p>
      <w:pPr>
        <w:adjustRightInd w:val="0"/>
        <w:snapToGrid w:val="0"/>
        <w:spacing w:line="360" w:lineRule="exact"/>
        <w:ind w:firstLine="442" w:firstLineChars="200"/>
        <w:rPr>
          <w:rFonts w:ascii="宋体" w:hAnsi="宋体" w:cs="宋体"/>
          <w:b/>
          <w:bCs/>
          <w:sz w:val="22"/>
        </w:rPr>
      </w:pPr>
      <w:r>
        <w:rPr>
          <w:rFonts w:hint="eastAsia" w:ascii="宋体" w:hAnsi="宋体" w:cs="宋体"/>
          <w:b/>
          <w:bCs/>
          <w:sz w:val="22"/>
        </w:rPr>
        <w:t>3.5施工管理要求</w:t>
      </w:r>
    </w:p>
    <w:p>
      <w:pPr>
        <w:adjustRightInd w:val="0"/>
        <w:snapToGrid w:val="0"/>
        <w:spacing w:line="360" w:lineRule="exact"/>
        <w:ind w:firstLine="442" w:firstLineChars="200"/>
        <w:rPr>
          <w:rFonts w:ascii="宋体" w:hAnsi="宋体" w:cs="宋体"/>
          <w:b/>
          <w:bCs/>
          <w:sz w:val="22"/>
        </w:rPr>
      </w:pPr>
      <w:r>
        <w:rPr>
          <w:rFonts w:hint="eastAsia" w:ascii="宋体" w:hAnsi="宋体" w:cs="宋体"/>
          <w:b/>
          <w:bCs/>
          <w:sz w:val="22"/>
        </w:rPr>
        <w:t>3.5.1承包人必须服从发包人对于本工程进度、质量、安全施工等要求。</w:t>
      </w:r>
    </w:p>
    <w:p>
      <w:pPr>
        <w:adjustRightInd w:val="0"/>
        <w:snapToGrid w:val="0"/>
        <w:spacing w:line="360" w:lineRule="exact"/>
        <w:ind w:firstLine="442" w:firstLineChars="200"/>
        <w:rPr>
          <w:rFonts w:ascii="宋体" w:hAnsi="宋体" w:cs="宋体"/>
          <w:b/>
          <w:sz w:val="22"/>
        </w:rPr>
      </w:pPr>
      <w:r>
        <w:rPr>
          <w:rFonts w:hint="eastAsia" w:ascii="宋体" w:hAnsi="宋体" w:cs="宋体"/>
          <w:b/>
          <w:sz w:val="22"/>
        </w:rPr>
        <w:t>3.5.2本工程发包范围内的工程项目，一律不得分包。一经发现立即取消承包资格，作违约处理，并承担由此引起的一切经济损失。</w:t>
      </w:r>
    </w:p>
    <w:p>
      <w:pPr>
        <w:adjustRightInd w:val="0"/>
        <w:snapToGrid w:val="0"/>
        <w:spacing w:line="360" w:lineRule="exact"/>
        <w:ind w:firstLine="442" w:firstLineChars="200"/>
        <w:rPr>
          <w:rFonts w:ascii="宋体" w:hAnsi="宋体" w:cs="宋体"/>
          <w:b/>
          <w:bCs/>
          <w:sz w:val="22"/>
        </w:rPr>
      </w:pPr>
      <w:r>
        <w:rPr>
          <w:rFonts w:hint="eastAsia" w:ascii="宋体" w:hAnsi="宋体" w:cs="宋体"/>
          <w:b/>
          <w:bCs/>
          <w:sz w:val="22"/>
        </w:rPr>
        <w:t>3.5.3承包人应严格按施工技术方案组织施工，并无条件地接受发包人对施工质量的监督和管理。</w:t>
      </w:r>
    </w:p>
    <w:p>
      <w:pPr>
        <w:adjustRightInd w:val="0"/>
        <w:snapToGrid w:val="0"/>
        <w:spacing w:line="360" w:lineRule="exact"/>
        <w:ind w:firstLine="442" w:firstLineChars="200"/>
        <w:rPr>
          <w:rFonts w:ascii="宋体" w:hAnsi="宋体" w:cs="宋体"/>
          <w:b/>
          <w:bCs/>
          <w:sz w:val="22"/>
        </w:rPr>
      </w:pPr>
      <w:r>
        <w:rPr>
          <w:rFonts w:hint="eastAsia" w:ascii="宋体" w:hAnsi="宋体" w:cs="宋体"/>
          <w:b/>
          <w:bCs/>
          <w:sz w:val="22"/>
        </w:rPr>
        <w:t>3.5.4施工现场的建筑垃圾要及时清运，并自行运至机场区域范围以外，施工现场的材料、设备退场及现场清扫工作需于竣工验收前全部完成。上述相关处置费用，由投标人综合考虑，包含在投标报价中。</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3.6主要施工技术要求</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3.6.1进出场道路：投标人现场自行调查了解，所有材料不因场内外道路状况、运输线路、运距发生变化而进行调价。</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3.6.2施工及生活用水：建设单位负责提供施工场地附近外接水源接口，场内接管、安装水表由施工单位自行解决，每月按水表数据支付。</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3.6.3施工用电：施工单位根据现场情况及施工阶段性需要必须考虑自行配备足够数量、功率的发电机。</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3.6.4投标人应到工地踏勘以充分了解工地位置、情况、道路、储存空间、装卸限制及任何其他足以影响投标报价的情况，任何因忽视或误解工地情况而导致的索赔或工期延长申请将不被批准。现场安保工作需服从发包人统一安排、调遣，费用从各施工单位相关报价中扣除。</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3.6.5本次招标的工程需考虑以下问题：</w:t>
      </w:r>
    </w:p>
    <w:p>
      <w:pPr>
        <w:numPr>
          <w:ilvl w:val="0"/>
          <w:numId w:val="8"/>
        </w:numPr>
        <w:adjustRightInd w:val="0"/>
        <w:snapToGrid w:val="0"/>
        <w:spacing w:line="360" w:lineRule="exact"/>
        <w:ind w:firstLine="440" w:firstLineChars="200"/>
        <w:rPr>
          <w:rFonts w:ascii="宋体" w:hAnsi="宋体" w:cs="宋体"/>
          <w:sz w:val="22"/>
        </w:rPr>
      </w:pPr>
      <w:r>
        <w:rPr>
          <w:rFonts w:hint="eastAsia" w:ascii="宋体" w:hAnsi="宋体" w:cs="宋体"/>
          <w:sz w:val="22"/>
        </w:rPr>
        <w:t>需做好施工单位的车辆进出场及材料推放的管理工作，相关费用计入投标报价，中标后不再调整。</w:t>
      </w:r>
    </w:p>
    <w:p>
      <w:pPr>
        <w:numPr>
          <w:ilvl w:val="0"/>
          <w:numId w:val="8"/>
        </w:numPr>
        <w:adjustRightInd w:val="0"/>
        <w:snapToGrid w:val="0"/>
        <w:spacing w:line="360" w:lineRule="exact"/>
        <w:ind w:firstLine="440" w:firstLineChars="200"/>
        <w:rPr>
          <w:rFonts w:ascii="宋体" w:hAnsi="宋体" w:cs="宋体"/>
          <w:sz w:val="22"/>
        </w:rPr>
      </w:pPr>
      <w:r>
        <w:rPr>
          <w:rFonts w:hint="eastAsia" w:ascii="宋体" w:hAnsi="宋体" w:cs="宋体"/>
          <w:sz w:val="22"/>
        </w:rPr>
        <w:t>本工程开工时间根据甲方提供施工场地时间为准，投标人在投标时须考虑由此造成的工期延长，由此造成的费用不做变更。</w:t>
      </w:r>
    </w:p>
    <w:p>
      <w:pPr>
        <w:numPr>
          <w:ilvl w:val="0"/>
          <w:numId w:val="8"/>
        </w:numPr>
        <w:adjustRightInd w:val="0"/>
        <w:snapToGrid w:val="0"/>
        <w:spacing w:line="360" w:lineRule="exact"/>
        <w:ind w:firstLine="440" w:firstLineChars="200"/>
        <w:rPr>
          <w:rFonts w:ascii="宋体" w:hAnsi="宋体" w:cs="宋体"/>
          <w:sz w:val="22"/>
        </w:rPr>
      </w:pPr>
      <w:r>
        <w:rPr>
          <w:rFonts w:hint="eastAsia" w:ascii="宋体" w:hAnsi="宋体" w:cs="宋体"/>
          <w:sz w:val="22"/>
        </w:rPr>
        <w:t>本次施工区域可能存在部分障碍物需要拆除、移除，相关费用计入投标报价中，中标后不再调整。</w:t>
      </w:r>
    </w:p>
    <w:bookmarkEnd w:id="26"/>
    <w:p>
      <w:pPr>
        <w:snapToGrid w:val="0"/>
        <w:spacing w:line="360" w:lineRule="exact"/>
        <w:ind w:firstLine="440" w:firstLineChars="200"/>
        <w:rPr>
          <w:rFonts w:ascii="宋体" w:hAnsi="宋体" w:cs="宋体"/>
          <w:sz w:val="22"/>
        </w:rPr>
      </w:pPr>
      <w:r>
        <w:rPr>
          <w:rFonts w:hint="eastAsia" w:ascii="宋体" w:hAnsi="宋体" w:cs="宋体"/>
          <w:sz w:val="22"/>
        </w:rPr>
        <w:t>四、产品保护</w:t>
      </w:r>
    </w:p>
    <w:p>
      <w:pPr>
        <w:snapToGrid w:val="0"/>
        <w:spacing w:line="360" w:lineRule="exact"/>
        <w:ind w:firstLine="440" w:firstLineChars="200"/>
        <w:rPr>
          <w:rFonts w:ascii="宋体" w:hAnsi="宋体" w:cs="宋体"/>
          <w:sz w:val="22"/>
        </w:rPr>
      </w:pPr>
      <w:r>
        <w:rPr>
          <w:rFonts w:hint="eastAsia" w:ascii="宋体" w:hAnsi="宋体" w:cs="宋体"/>
          <w:sz w:val="22"/>
        </w:rPr>
        <w:t>4.1在工程现场及其周围已由其他施工单位完成和在建的建筑产品，承包人在现场施工中应负有保护责任和义务，因工程施工引起损坏，由承包人负责赔偿或修复。</w:t>
      </w:r>
    </w:p>
    <w:p>
      <w:pPr>
        <w:snapToGrid w:val="0"/>
        <w:spacing w:line="360" w:lineRule="exact"/>
        <w:ind w:firstLine="440" w:firstLineChars="200"/>
        <w:rPr>
          <w:rFonts w:ascii="宋体" w:hAnsi="宋体" w:cs="宋体"/>
          <w:sz w:val="22"/>
        </w:rPr>
      </w:pPr>
      <w:r>
        <w:rPr>
          <w:rFonts w:hint="eastAsia" w:ascii="宋体" w:hAnsi="宋体" w:cs="宋体"/>
          <w:sz w:val="22"/>
        </w:rPr>
        <w:t>4.2承包人在施工期间，直至竣工验收尚未正式移交之前，应负责对所有材料及现场进行保护和清洁工作，直至办理完正式移交为止。若在此过程中发生材料丢失和产品损坏，应承担赔偿和修复。</w:t>
      </w:r>
    </w:p>
    <w:p>
      <w:pPr>
        <w:snapToGrid w:val="0"/>
        <w:spacing w:line="360" w:lineRule="exact"/>
        <w:ind w:firstLine="442" w:firstLineChars="200"/>
        <w:rPr>
          <w:rFonts w:ascii="宋体" w:hAnsi="宋体" w:cs="宋体"/>
          <w:b/>
          <w:sz w:val="22"/>
        </w:rPr>
      </w:pPr>
      <w:r>
        <w:rPr>
          <w:rFonts w:hint="eastAsia" w:ascii="宋体" w:hAnsi="宋体" w:cs="宋体"/>
          <w:b/>
          <w:kern w:val="0"/>
          <w:sz w:val="22"/>
        </w:rPr>
        <w:t>五、其他要求</w:t>
      </w:r>
    </w:p>
    <w:p>
      <w:pPr>
        <w:adjustRightInd w:val="0"/>
        <w:snapToGrid w:val="0"/>
        <w:spacing w:line="360" w:lineRule="exact"/>
        <w:ind w:firstLine="442" w:firstLineChars="200"/>
        <w:rPr>
          <w:rFonts w:ascii="宋体" w:hAnsi="宋体" w:cs="宋体"/>
          <w:b/>
          <w:sz w:val="22"/>
        </w:rPr>
      </w:pPr>
      <w:r>
        <w:rPr>
          <w:rFonts w:hint="eastAsia" w:ascii="宋体" w:hAnsi="宋体" w:cs="宋体"/>
          <w:b/>
          <w:sz w:val="22"/>
        </w:rPr>
        <w:t>5.1施工临设在建设单位指定区域自行搭设，施工进场前方案报招标人同意后方可搭建。施工临设用地、材料堆场等在工程竣工验收通过后10日内自行拆除、彻底清理，并恢复原状。费用由投标人综合考虑，不另行计算。</w:t>
      </w:r>
    </w:p>
    <w:p>
      <w:pPr>
        <w:snapToGrid w:val="0"/>
        <w:spacing w:line="360" w:lineRule="exact"/>
        <w:ind w:firstLine="442" w:firstLineChars="200"/>
        <w:rPr>
          <w:rFonts w:ascii="宋体" w:hAnsi="宋体" w:cs="宋体"/>
          <w:b/>
          <w:sz w:val="22"/>
        </w:rPr>
      </w:pPr>
      <w:r>
        <w:rPr>
          <w:rFonts w:hint="eastAsia" w:ascii="宋体" w:hAnsi="宋体" w:cs="宋体"/>
          <w:b/>
          <w:sz w:val="22"/>
        </w:rPr>
        <w:t>5.2承包人在整个项目的施工阶段，应采用拍照方式记录隐蔽工程及各道工序的施工过程，并形成一套完整的影像资料文件；拍摄的影像资料应能全面的记录整个施工全过程（包含实施前中后）的实际状况，所有的隐蔽工程验收及各道工序都须按检验批拍摄留存影像资料文件。</w:t>
      </w:r>
    </w:p>
    <w:p>
      <w:pPr>
        <w:snapToGrid w:val="0"/>
        <w:spacing w:line="360" w:lineRule="exact"/>
        <w:ind w:firstLine="442" w:firstLineChars="200"/>
        <w:rPr>
          <w:rFonts w:ascii="宋体" w:hAnsi="宋体" w:cs="宋体"/>
          <w:b/>
          <w:sz w:val="22"/>
        </w:rPr>
      </w:pPr>
      <w:r>
        <w:rPr>
          <w:rFonts w:hint="eastAsia" w:ascii="宋体" w:hAnsi="宋体" w:cs="宋体"/>
          <w:b/>
          <w:sz w:val="22"/>
        </w:rPr>
        <w:t>5.3本工程为固定单价合同。请投标人依据本项目招标内容、技术标准及要求、工程量清单提交报价，参与报价单位应充分考虑施工现场的实际情况、市场风险及自身承受能力，并根据本项目特点及施工技术规范、施工工艺要求，组织并测算为完成项目所必须采取的工艺及措施进行报价，报价应包含完成项目所需人工费、材料费、机械费和对应的企业管理费、利润以及全部风险费用、措施项目费用、其他项目费用、规费、税金等一切费用。项目竣工验收后按实办理结算（按项报价子目不再调整）。</w:t>
      </w:r>
    </w:p>
    <w:p>
      <w:pPr>
        <w:snapToGrid w:val="0"/>
        <w:spacing w:line="360" w:lineRule="exact"/>
        <w:ind w:firstLine="442" w:firstLineChars="200"/>
        <w:rPr>
          <w:rFonts w:ascii="宋体" w:hAnsi="宋体" w:cs="宋体"/>
          <w:b/>
          <w:sz w:val="22"/>
        </w:rPr>
      </w:pPr>
      <w:r>
        <w:rPr>
          <w:rFonts w:hint="eastAsia" w:ascii="宋体" w:hAnsi="宋体" w:cs="宋体"/>
          <w:b/>
          <w:sz w:val="22"/>
        </w:rPr>
        <w:t>5.4发包范围外招标人提出并签证的费用由承包人在施工前提出并补充编制工料单价预算书。变更估价时，工程量清单中有的项目单价，按承包人投标工程量清单中该项综合单价计取；工程量清单中无适用的项目单价，套用浙江省2018定额，按分部分项工程费＋规费+税金计取；不能套用浙江省2018定额的项目，可按照成本加利润的原则，承包人与发包人协商后执行。</w:t>
      </w:r>
    </w:p>
    <w:p>
      <w:pPr>
        <w:snapToGrid w:val="0"/>
        <w:spacing w:line="360" w:lineRule="exact"/>
        <w:ind w:firstLine="442" w:firstLineChars="200"/>
        <w:rPr>
          <w:rFonts w:ascii="宋体" w:hAnsi="宋体" w:cs="宋体"/>
          <w:b/>
          <w:sz w:val="22"/>
        </w:rPr>
      </w:pPr>
      <w:r>
        <w:rPr>
          <w:rFonts w:hint="eastAsia" w:ascii="宋体" w:hAnsi="宋体" w:cs="宋体"/>
          <w:b/>
          <w:sz w:val="22"/>
        </w:rPr>
        <w:t>5.5计日工单价最高限价210元/工日。</w:t>
      </w:r>
    </w:p>
    <w:p>
      <w:pPr>
        <w:snapToGrid w:val="0"/>
        <w:spacing w:line="360" w:lineRule="exact"/>
        <w:ind w:firstLine="442" w:firstLineChars="200"/>
        <w:rPr>
          <w:rFonts w:ascii="宋体" w:hAnsi="宋体" w:cs="宋体"/>
          <w:b/>
          <w:sz w:val="22"/>
        </w:rPr>
      </w:pPr>
      <w:r>
        <w:rPr>
          <w:rFonts w:hint="eastAsia" w:ascii="宋体" w:hAnsi="宋体" w:cs="宋体"/>
          <w:b/>
          <w:sz w:val="22"/>
        </w:rPr>
        <w:t>5.6工程施工期间，承包人须无条件服从机场公司关于工期进度的统一安排。投标人需充分考虑隔离区内施工时间及工期的不确定性，如由于机场运行要求某些时间不得施工等或如遇长时间停工等任何突发情况，请投标人在投标时充分考虑相关费用，中标后不予增加费用。</w:t>
      </w:r>
    </w:p>
    <w:p>
      <w:pPr>
        <w:pStyle w:val="2"/>
        <w:ind w:firstLine="442" w:firstLineChars="200"/>
        <w:rPr>
          <w:rFonts w:ascii="宋体" w:hAnsi="宋体" w:cs="宋体"/>
          <w:b/>
          <w:sz w:val="22"/>
        </w:rPr>
      </w:pPr>
      <w:r>
        <w:rPr>
          <w:rFonts w:hint="eastAsia" w:ascii="宋体" w:hAnsi="宋体" w:cs="宋体"/>
          <w:b/>
          <w:sz w:val="22"/>
        </w:rPr>
        <w:t>5.7本项目工程位于机场隔离区内，承包人必须确保在施工阶段不影响机场正常运行，遵守机场不停航施工管理规定、施工安全条例。</w:t>
      </w:r>
    </w:p>
    <w:p>
      <w:pPr>
        <w:ind w:firstLine="442" w:firstLineChars="200"/>
        <w:rPr>
          <w:rFonts w:ascii="宋体" w:hAnsi="宋体" w:cs="宋体"/>
          <w:b/>
          <w:sz w:val="22"/>
        </w:rPr>
      </w:pPr>
      <w:r>
        <w:rPr>
          <w:rFonts w:hint="eastAsia" w:ascii="宋体" w:hAnsi="宋体" w:cs="宋体"/>
          <w:b/>
          <w:sz w:val="22"/>
        </w:rPr>
        <w:t>5.8承包人施工人员在进出机场隔离区时必须办理相关证件（有效期一个月）。费用由投标人综合考虑，包含在投标报价中。</w:t>
      </w:r>
    </w:p>
    <w:p>
      <w:pPr>
        <w:ind w:firstLine="442" w:firstLineChars="200"/>
        <w:rPr>
          <w:rFonts w:hint="eastAsia" w:ascii="宋体" w:hAnsi="宋体" w:cs="宋体"/>
          <w:b/>
          <w:color w:val="auto"/>
          <w:sz w:val="22"/>
        </w:rPr>
      </w:pPr>
      <w:r>
        <w:rPr>
          <w:rFonts w:hint="eastAsia" w:ascii="宋体" w:hAnsi="宋体" w:cs="宋体"/>
          <w:b/>
          <w:sz w:val="22"/>
        </w:rPr>
        <w:t>5.9因本项目施工地点位于机场隔离区内，隔离区相关施工措施包括施工导致的夜间加班、工效降低、证件办理等需产生的费用，投标人必须充分考虑，费用包含在隔离区施工措施费报价中。投标人需考虑聘请招标人推荐的机场专业保安，负责门卫、巡逻、施工现场看护、隔离区围界看护等工作，人数每个施工区域每班不得少于1人，并配备相应的保卫措施，保安费用按实结算（结算时中标人需提供相应票据作为依据），</w:t>
      </w:r>
      <w:r>
        <w:rPr>
          <w:rFonts w:hint="eastAsia" w:ascii="宋体" w:hAnsi="宋体" w:cs="宋体"/>
          <w:b/>
          <w:color w:val="auto"/>
          <w:sz w:val="22"/>
        </w:rPr>
        <w:t>★投标报价中施工安全监管费按</w:t>
      </w:r>
      <w:r>
        <w:rPr>
          <w:rFonts w:hint="eastAsia" w:ascii="宋体" w:hAnsi="宋体" w:cs="宋体"/>
          <w:b/>
          <w:color w:val="auto"/>
          <w:sz w:val="22"/>
          <w:lang w:val="en-US" w:eastAsia="zh-CN"/>
        </w:rPr>
        <w:t>4000</w:t>
      </w:r>
      <w:r>
        <w:rPr>
          <w:rFonts w:hint="eastAsia" w:ascii="宋体" w:hAnsi="宋体" w:cs="宋体"/>
          <w:b/>
          <w:color w:val="auto"/>
          <w:sz w:val="22"/>
        </w:rPr>
        <w:t>元暂列金额计入，不得优惠。</w:t>
      </w:r>
    </w:p>
    <w:p>
      <w:pPr>
        <w:spacing w:line="360" w:lineRule="exact"/>
        <w:ind w:firstLine="442" w:firstLineChars="200"/>
        <w:jc w:val="left"/>
        <w:rPr>
          <w:rFonts w:ascii="宋体" w:hAnsi="宋体" w:cs="宋体"/>
          <w:b/>
          <w:sz w:val="22"/>
        </w:rPr>
      </w:pPr>
      <w:r>
        <w:rPr>
          <w:rFonts w:hint="eastAsia" w:ascii="宋体" w:hAnsi="宋体" w:cs="宋体"/>
          <w:b/>
          <w:sz w:val="22"/>
        </w:rPr>
        <w:t>5.</w:t>
      </w:r>
      <w:r>
        <w:rPr>
          <w:rFonts w:ascii="宋体" w:hAnsi="宋体" w:cs="宋体"/>
          <w:b/>
          <w:sz w:val="22"/>
        </w:rPr>
        <w:t>10</w:t>
      </w:r>
      <w:r>
        <w:rPr>
          <w:rFonts w:hint="eastAsia" w:ascii="宋体" w:hAnsi="宋体" w:cs="宋体"/>
          <w:b/>
          <w:sz w:val="22"/>
        </w:rPr>
        <w:t>承包人须无条件配合发包人要求，施工前应征得发包人同意，不得擅自施工，如擅自施工导致的一切后果由承包人承担。</w:t>
      </w:r>
    </w:p>
    <w:p>
      <w:pPr>
        <w:spacing w:line="360" w:lineRule="exact"/>
        <w:ind w:firstLine="442" w:firstLineChars="200"/>
        <w:jc w:val="left"/>
        <w:rPr>
          <w:rFonts w:ascii="宋体" w:hAnsi="宋体" w:cs="宋体"/>
          <w:b/>
          <w:sz w:val="22"/>
        </w:rPr>
      </w:pPr>
      <w:r>
        <w:rPr>
          <w:rFonts w:hint="eastAsia" w:ascii="宋体" w:hAnsi="宋体" w:cs="宋体"/>
          <w:b/>
          <w:sz w:val="22"/>
        </w:rPr>
        <w:t>5.</w:t>
      </w:r>
      <w:r>
        <w:rPr>
          <w:rFonts w:ascii="宋体" w:hAnsi="宋体" w:cs="宋体"/>
          <w:b/>
          <w:sz w:val="22"/>
        </w:rPr>
        <w:t>11</w:t>
      </w:r>
      <w:r>
        <w:rPr>
          <w:rFonts w:hint="eastAsia" w:ascii="宋体" w:hAnsi="宋体" w:cs="宋体"/>
          <w:b/>
          <w:sz w:val="22"/>
        </w:rPr>
        <w:t>项目开工前承包人需提供施工进度计划表、施工材料及明细表，待材料、人员、证件全部准备完善并经发包人同意方可进行施工。</w:t>
      </w:r>
    </w:p>
    <w:p>
      <w:pPr>
        <w:snapToGrid w:val="0"/>
        <w:spacing w:line="360" w:lineRule="exact"/>
        <w:ind w:firstLine="442" w:firstLineChars="200"/>
        <w:rPr>
          <w:rFonts w:ascii="宋体" w:hAnsi="宋体" w:cs="宋体"/>
          <w:b/>
          <w:sz w:val="22"/>
        </w:rPr>
      </w:pPr>
      <w:r>
        <w:rPr>
          <w:rFonts w:hint="eastAsia" w:ascii="宋体" w:hAnsi="宋体" w:cs="宋体"/>
          <w:b/>
          <w:sz w:val="22"/>
        </w:rPr>
        <w:t>5.</w:t>
      </w:r>
      <w:r>
        <w:rPr>
          <w:rFonts w:ascii="宋体" w:hAnsi="宋体" w:cs="宋体"/>
          <w:b/>
          <w:sz w:val="22"/>
        </w:rPr>
        <w:t>10</w:t>
      </w:r>
      <w:r>
        <w:rPr>
          <w:rFonts w:hint="eastAsia" w:ascii="宋体" w:hAnsi="宋体" w:cs="宋体"/>
          <w:b/>
          <w:sz w:val="22"/>
        </w:rPr>
        <w:t>承包人项目负责人和所有施工人员须无条件配合甲方防疫工作，中标施工进场人员均须已接种新冠疫苗且提供48小时内核酸检测报告。项目施工期间每日8:00和13:00报送健康码、行程码至项目负责人处。施工单位还需按要求配备相关防疫物资及人员，做好自身防疫工作，投标人在投标时应充分考虑上述相关费用，中标后不予增加费用。如因疫情影响，导致施工过程中存在窝工、人员、机械降效情况，则请投标人在投标时充分考虑相关费用，中标后不予增加费用。</w:t>
      </w:r>
    </w:p>
    <w:p>
      <w:pPr>
        <w:pStyle w:val="9"/>
        <w:jc w:val="both"/>
      </w:pPr>
    </w:p>
    <w:p>
      <w:pPr>
        <w:pStyle w:val="9"/>
      </w:pPr>
    </w:p>
    <w:p>
      <w:pPr>
        <w:pStyle w:val="9"/>
      </w:pPr>
    </w:p>
    <w:p/>
    <w:p>
      <w:pPr>
        <w:pStyle w:val="2"/>
      </w:pPr>
    </w:p>
    <w:p>
      <w:pPr>
        <w:pStyle w:val="2"/>
      </w:pPr>
    </w:p>
    <w:p>
      <w:pPr>
        <w:pStyle w:val="2"/>
      </w:pPr>
    </w:p>
    <w:p>
      <w:pPr>
        <w:rPr>
          <w:rFonts w:hint="eastAsia"/>
        </w:rPr>
      </w:pPr>
    </w:p>
    <w:bookmarkEnd w:id="8"/>
    <w:bookmarkEnd w:id="23"/>
    <w:bookmarkEnd w:id="24"/>
    <w:p>
      <w:pPr>
        <w:pStyle w:val="3"/>
        <w:keepLines w:val="0"/>
        <w:pageBreakBefore/>
        <w:spacing w:before="0" w:after="0" w:line="564" w:lineRule="exact"/>
        <w:ind w:right="57"/>
        <w:rPr>
          <w:sz w:val="32"/>
          <w:szCs w:val="32"/>
        </w:rPr>
      </w:pPr>
      <w:bookmarkStart w:id="27" w:name="_Toc52907682"/>
      <w:bookmarkStart w:id="28" w:name="_Toc10055"/>
      <w:r>
        <w:rPr>
          <w:sz w:val="32"/>
          <w:szCs w:val="32"/>
        </w:rPr>
        <w:t>第</w:t>
      </w:r>
      <w:r>
        <w:rPr>
          <w:rFonts w:hint="eastAsia"/>
          <w:sz w:val="32"/>
          <w:szCs w:val="32"/>
          <w:lang w:val="en-US" w:eastAsia="zh-CN"/>
        </w:rPr>
        <w:t>七</w:t>
      </w:r>
      <w:r>
        <w:rPr>
          <w:sz w:val="32"/>
          <w:szCs w:val="32"/>
        </w:rPr>
        <w:t>章</w:t>
      </w:r>
      <w:r>
        <w:rPr>
          <w:rFonts w:hint="eastAsia"/>
          <w:sz w:val="32"/>
          <w:szCs w:val="32"/>
        </w:rPr>
        <w:t xml:space="preserve">    </w:t>
      </w:r>
      <w:r>
        <w:rPr>
          <w:sz w:val="32"/>
          <w:szCs w:val="32"/>
        </w:rPr>
        <w:t>投标文件格式</w:t>
      </w:r>
      <w:bookmarkEnd w:id="27"/>
      <w:bookmarkEnd w:id="28"/>
    </w:p>
    <w:p>
      <w:pPr>
        <w:autoSpaceDE w:val="0"/>
        <w:autoSpaceDN w:val="0"/>
        <w:adjustRightInd w:val="0"/>
        <w:spacing w:before="10" w:line="130" w:lineRule="exact"/>
        <w:jc w:val="left"/>
        <w:rPr>
          <w:rFonts w:cs="微软雅黑"/>
          <w:kern w:val="0"/>
          <w:sz w:val="13"/>
          <w:szCs w:val="13"/>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tabs>
          <w:tab w:val="left" w:pos="2980"/>
        </w:tabs>
        <w:autoSpaceDE w:val="0"/>
        <w:autoSpaceDN w:val="0"/>
        <w:adjustRightInd w:val="0"/>
        <w:spacing w:line="360" w:lineRule="auto"/>
        <w:ind w:left="1880" w:right="-20" w:firstLine="1418" w:firstLineChars="350"/>
        <w:jc w:val="left"/>
        <w:rPr>
          <w:rFonts w:cs="微软雅黑"/>
          <w:kern w:val="0"/>
          <w:sz w:val="24"/>
          <w:szCs w:val="28"/>
        </w:rPr>
      </w:pPr>
      <w:r>
        <w:rPr>
          <w:rFonts w:cs="微软雅黑"/>
          <w:w w:val="169"/>
          <w:kern w:val="0"/>
          <w:position w:val="-3"/>
          <w:sz w:val="24"/>
          <w:szCs w:val="28"/>
          <w:u w:val="single"/>
        </w:rPr>
        <w:t xml:space="preserve">       </w:t>
      </w:r>
      <w:r>
        <w:rPr>
          <w:rFonts w:hint="eastAsia" w:cs="微软雅黑"/>
          <w:w w:val="169"/>
          <w:kern w:val="0"/>
          <w:position w:val="-3"/>
          <w:sz w:val="24"/>
          <w:szCs w:val="28"/>
          <w:u w:val="single"/>
        </w:rPr>
        <w:t xml:space="preserve">           </w:t>
      </w:r>
      <w:r>
        <w:rPr>
          <w:rFonts w:cs="微软雅黑"/>
          <w:w w:val="169"/>
          <w:kern w:val="0"/>
          <w:position w:val="-3"/>
          <w:sz w:val="24"/>
          <w:szCs w:val="28"/>
          <w:u w:val="single"/>
        </w:rPr>
        <w:t xml:space="preserve">       </w:t>
      </w:r>
      <w:r>
        <w:rPr>
          <w:rFonts w:cs="微软雅黑"/>
          <w:kern w:val="0"/>
          <w:position w:val="-3"/>
          <w:sz w:val="24"/>
          <w:szCs w:val="28"/>
          <w:u w:val="single"/>
        </w:rPr>
        <w:tab/>
      </w:r>
      <w:r>
        <w:rPr>
          <w:rFonts w:cs="微软雅黑"/>
          <w:kern w:val="0"/>
          <w:position w:val="-3"/>
          <w:sz w:val="24"/>
          <w:szCs w:val="28"/>
        </w:rPr>
        <w:t>(项目</w:t>
      </w:r>
      <w:r>
        <w:rPr>
          <w:rFonts w:cs="微软雅黑"/>
          <w:spacing w:val="-3"/>
          <w:kern w:val="0"/>
          <w:position w:val="-3"/>
          <w:sz w:val="24"/>
          <w:szCs w:val="28"/>
        </w:rPr>
        <w:t>名</w:t>
      </w:r>
      <w:r>
        <w:rPr>
          <w:rFonts w:cs="微软雅黑"/>
          <w:kern w:val="0"/>
          <w:position w:val="-3"/>
          <w:sz w:val="24"/>
          <w:szCs w:val="28"/>
        </w:rPr>
        <w:t>称)</w:t>
      </w:r>
    </w:p>
    <w:p>
      <w:pPr>
        <w:autoSpaceDE w:val="0"/>
        <w:autoSpaceDN w:val="0"/>
        <w:adjustRightInd w:val="0"/>
        <w:spacing w:before="7" w:line="100" w:lineRule="exact"/>
        <w:jc w:val="left"/>
        <w:rPr>
          <w:rFonts w:cs="微软雅黑"/>
          <w:kern w:val="0"/>
          <w:sz w:val="10"/>
          <w:szCs w:val="1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tabs>
          <w:tab w:val="left" w:pos="3780"/>
          <w:tab w:val="left" w:pos="4440"/>
          <w:tab w:val="left" w:pos="5100"/>
        </w:tabs>
        <w:autoSpaceDE w:val="0"/>
        <w:autoSpaceDN w:val="0"/>
        <w:adjustRightInd w:val="0"/>
        <w:spacing w:line="553" w:lineRule="exact"/>
        <w:ind w:left="3138" w:right="3116"/>
        <w:jc w:val="center"/>
        <w:rPr>
          <w:rFonts w:cs="微软雅黑"/>
          <w:kern w:val="0"/>
          <w:sz w:val="44"/>
          <w:szCs w:val="44"/>
        </w:rPr>
      </w:pPr>
      <w:r>
        <w:rPr>
          <w:rFonts w:cs="微软雅黑"/>
          <w:kern w:val="0"/>
          <w:sz w:val="44"/>
          <w:szCs w:val="44"/>
        </w:rPr>
        <w:t>投</w:t>
      </w:r>
      <w:r>
        <w:rPr>
          <w:rFonts w:cs="微软雅黑"/>
          <w:kern w:val="0"/>
          <w:sz w:val="44"/>
          <w:szCs w:val="44"/>
        </w:rPr>
        <w:tab/>
      </w:r>
      <w:r>
        <w:rPr>
          <w:rFonts w:cs="微软雅黑"/>
          <w:kern w:val="0"/>
          <w:sz w:val="44"/>
          <w:szCs w:val="44"/>
        </w:rPr>
        <w:t>标</w:t>
      </w:r>
      <w:r>
        <w:rPr>
          <w:rFonts w:cs="微软雅黑"/>
          <w:kern w:val="0"/>
          <w:sz w:val="44"/>
          <w:szCs w:val="44"/>
        </w:rPr>
        <w:tab/>
      </w:r>
      <w:r>
        <w:rPr>
          <w:rFonts w:cs="微软雅黑"/>
          <w:kern w:val="0"/>
          <w:sz w:val="44"/>
          <w:szCs w:val="44"/>
        </w:rPr>
        <w:t>文</w:t>
      </w:r>
      <w:r>
        <w:rPr>
          <w:rFonts w:cs="微软雅黑"/>
          <w:kern w:val="0"/>
          <w:sz w:val="44"/>
          <w:szCs w:val="44"/>
        </w:rPr>
        <w:tab/>
      </w:r>
      <w:r>
        <w:rPr>
          <w:rFonts w:cs="微软雅黑"/>
          <w:w w:val="99"/>
          <w:kern w:val="0"/>
          <w:sz w:val="44"/>
          <w:szCs w:val="44"/>
        </w:rPr>
        <w:t>件</w:t>
      </w: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before="16" w:line="360" w:lineRule="auto"/>
        <w:ind w:firstLine="480" w:firstLineChars="200"/>
        <w:jc w:val="left"/>
        <w:rPr>
          <w:rFonts w:cs="微软雅黑"/>
          <w:kern w:val="0"/>
          <w:sz w:val="24"/>
          <w:szCs w:val="24"/>
        </w:rPr>
      </w:pPr>
    </w:p>
    <w:p>
      <w:pPr>
        <w:tabs>
          <w:tab w:val="left" w:pos="6940"/>
          <w:tab w:val="left" w:pos="7520"/>
        </w:tabs>
        <w:autoSpaceDE w:val="0"/>
        <w:autoSpaceDN w:val="0"/>
        <w:adjustRightInd w:val="0"/>
        <w:spacing w:line="360" w:lineRule="auto"/>
        <w:ind w:left="1201" w:right="52"/>
        <w:jc w:val="left"/>
        <w:rPr>
          <w:rFonts w:ascii="宋体" w:hAnsi="宋体" w:cs="微软雅黑"/>
          <w:kern w:val="0"/>
          <w:sz w:val="24"/>
          <w:szCs w:val="28"/>
        </w:rPr>
      </w:pPr>
      <w:r>
        <w:rPr>
          <w:rFonts w:ascii="宋体" w:hAnsi="宋体" w:cs="微软雅黑"/>
          <w:kern w:val="0"/>
          <w:sz w:val="24"/>
          <w:szCs w:val="28"/>
        </w:rPr>
        <w:t>投标人：</w:t>
      </w:r>
      <w:r>
        <w:rPr>
          <w:rFonts w:ascii="宋体" w:hAnsi="宋体" w:cs="微软雅黑"/>
          <w:spacing w:val="57"/>
          <w:kern w:val="0"/>
          <w:sz w:val="24"/>
          <w:szCs w:val="28"/>
          <w:u w:val="single"/>
        </w:rPr>
        <w:t xml:space="preserve"> </w:t>
      </w:r>
      <w:r>
        <w:rPr>
          <w:rFonts w:ascii="宋体" w:hAnsi="宋体" w:cs="微软雅黑"/>
          <w:kern w:val="0"/>
          <w:sz w:val="24"/>
          <w:szCs w:val="28"/>
          <w:u w:val="single"/>
        </w:rPr>
        <w:tab/>
      </w:r>
      <w:r>
        <w:rPr>
          <w:rFonts w:ascii="宋体" w:hAnsi="宋体" w:cs="微软雅黑"/>
          <w:kern w:val="0"/>
          <w:sz w:val="24"/>
          <w:szCs w:val="28"/>
        </w:rPr>
        <w:t>(盖</w:t>
      </w:r>
      <w:r>
        <w:rPr>
          <w:rFonts w:ascii="宋体" w:hAnsi="宋体" w:cs="微软雅黑"/>
          <w:spacing w:val="-3"/>
          <w:kern w:val="0"/>
          <w:sz w:val="24"/>
          <w:szCs w:val="28"/>
        </w:rPr>
        <w:t>单</w:t>
      </w:r>
      <w:r>
        <w:rPr>
          <w:rFonts w:ascii="宋体" w:hAnsi="宋体" w:cs="微软雅黑"/>
          <w:kern w:val="0"/>
          <w:sz w:val="24"/>
          <w:szCs w:val="28"/>
        </w:rPr>
        <w:t>位</w:t>
      </w:r>
      <w:r>
        <w:rPr>
          <w:rFonts w:ascii="宋体" w:hAnsi="宋体" w:cs="微软雅黑"/>
          <w:spacing w:val="-3"/>
          <w:kern w:val="0"/>
          <w:sz w:val="24"/>
          <w:szCs w:val="28"/>
        </w:rPr>
        <w:t>章</w:t>
      </w:r>
      <w:r>
        <w:rPr>
          <w:rFonts w:ascii="宋体" w:hAnsi="宋体" w:cs="微软雅黑"/>
          <w:kern w:val="0"/>
          <w:sz w:val="24"/>
          <w:szCs w:val="28"/>
        </w:rPr>
        <w:t>)</w:t>
      </w:r>
    </w:p>
    <w:p>
      <w:pPr>
        <w:tabs>
          <w:tab w:val="left" w:pos="6940"/>
          <w:tab w:val="left" w:pos="7520"/>
        </w:tabs>
        <w:autoSpaceDE w:val="0"/>
        <w:autoSpaceDN w:val="0"/>
        <w:adjustRightInd w:val="0"/>
        <w:spacing w:line="360" w:lineRule="auto"/>
        <w:ind w:left="1201" w:right="52"/>
        <w:jc w:val="left"/>
        <w:rPr>
          <w:rFonts w:ascii="宋体" w:hAnsi="宋体" w:cs="微软雅黑"/>
          <w:kern w:val="0"/>
          <w:sz w:val="24"/>
          <w:szCs w:val="28"/>
        </w:rPr>
      </w:pPr>
      <w:r>
        <w:rPr>
          <w:rFonts w:ascii="宋体" w:hAnsi="宋体" w:cs="微软雅黑"/>
          <w:kern w:val="0"/>
          <w:sz w:val="24"/>
          <w:szCs w:val="28"/>
        </w:rPr>
        <w:t>法定代</w:t>
      </w:r>
      <w:r>
        <w:rPr>
          <w:rFonts w:ascii="宋体" w:hAnsi="宋体" w:cs="微软雅黑"/>
          <w:spacing w:val="-3"/>
          <w:kern w:val="0"/>
          <w:sz w:val="24"/>
          <w:szCs w:val="28"/>
        </w:rPr>
        <w:t>表</w:t>
      </w:r>
      <w:r>
        <w:rPr>
          <w:rFonts w:ascii="宋体" w:hAnsi="宋体" w:cs="微软雅黑"/>
          <w:kern w:val="0"/>
          <w:sz w:val="24"/>
          <w:szCs w:val="28"/>
        </w:rPr>
        <w:t>人或其</w:t>
      </w:r>
      <w:r>
        <w:rPr>
          <w:rFonts w:ascii="宋体" w:hAnsi="宋体" w:cs="微软雅黑"/>
          <w:spacing w:val="-3"/>
          <w:kern w:val="0"/>
          <w:sz w:val="24"/>
          <w:szCs w:val="28"/>
        </w:rPr>
        <w:t>委托</w:t>
      </w:r>
      <w:r>
        <w:rPr>
          <w:rFonts w:ascii="宋体" w:hAnsi="宋体" w:cs="微软雅黑"/>
          <w:kern w:val="0"/>
          <w:sz w:val="24"/>
          <w:szCs w:val="28"/>
        </w:rPr>
        <w:t>代理人</w:t>
      </w:r>
      <w:r>
        <w:rPr>
          <w:rFonts w:ascii="宋体" w:hAnsi="宋体" w:cs="微软雅黑"/>
          <w:spacing w:val="2"/>
          <w:kern w:val="0"/>
          <w:sz w:val="24"/>
          <w:szCs w:val="28"/>
        </w:rPr>
        <w:t>：</w:t>
      </w:r>
      <w:r>
        <w:rPr>
          <w:rFonts w:ascii="宋体" w:hAnsi="宋体" w:cs="微软雅黑"/>
          <w:spacing w:val="57"/>
          <w:kern w:val="0"/>
          <w:sz w:val="24"/>
          <w:szCs w:val="28"/>
          <w:u w:val="single"/>
        </w:rPr>
        <w:t xml:space="preserve"> </w:t>
      </w:r>
      <w:r>
        <w:rPr>
          <w:rFonts w:ascii="宋体" w:hAnsi="宋体" w:cs="微软雅黑"/>
          <w:kern w:val="0"/>
          <w:sz w:val="24"/>
          <w:szCs w:val="28"/>
          <w:u w:val="single"/>
        </w:rPr>
        <w:tab/>
      </w:r>
      <w:r>
        <w:rPr>
          <w:rFonts w:ascii="宋体" w:hAnsi="宋体" w:cs="微软雅黑"/>
          <w:kern w:val="0"/>
          <w:sz w:val="24"/>
          <w:szCs w:val="28"/>
        </w:rPr>
        <w:t>(</w:t>
      </w:r>
      <w:r>
        <w:rPr>
          <w:rFonts w:ascii="宋体" w:hAnsi="宋体" w:cs="微软雅黑"/>
          <w:spacing w:val="-3"/>
          <w:kern w:val="0"/>
          <w:sz w:val="24"/>
          <w:szCs w:val="28"/>
        </w:rPr>
        <w:t>签</w:t>
      </w:r>
      <w:r>
        <w:rPr>
          <w:rFonts w:ascii="宋体" w:hAnsi="宋体" w:cs="微软雅黑"/>
          <w:kern w:val="0"/>
          <w:sz w:val="24"/>
          <w:szCs w:val="28"/>
        </w:rPr>
        <w:t>字</w:t>
      </w:r>
      <w:r>
        <w:rPr>
          <w:rFonts w:hint="eastAsia" w:ascii="宋体" w:hAnsi="宋体" w:cs="微软雅黑"/>
          <w:kern w:val="0"/>
          <w:sz w:val="24"/>
          <w:szCs w:val="28"/>
        </w:rPr>
        <w:t>或盖章</w:t>
      </w:r>
      <w:r>
        <w:rPr>
          <w:rFonts w:ascii="宋体" w:hAnsi="宋体" w:cs="微软雅黑"/>
          <w:kern w:val="0"/>
          <w:sz w:val="24"/>
          <w:szCs w:val="28"/>
        </w:rPr>
        <w:t>)</w:t>
      </w:r>
    </w:p>
    <w:p>
      <w:pPr>
        <w:autoSpaceDE w:val="0"/>
        <w:autoSpaceDN w:val="0"/>
        <w:adjustRightInd w:val="0"/>
        <w:spacing w:before="3" w:line="130" w:lineRule="exact"/>
        <w:jc w:val="left"/>
        <w:rPr>
          <w:rFonts w:cs="微软雅黑"/>
          <w:kern w:val="0"/>
          <w:sz w:val="13"/>
          <w:szCs w:val="13"/>
        </w:rPr>
      </w:pPr>
    </w:p>
    <w:p>
      <w:pPr>
        <w:tabs>
          <w:tab w:val="left" w:pos="3600"/>
          <w:tab w:val="left" w:pos="4620"/>
          <w:tab w:val="left" w:pos="5520"/>
        </w:tabs>
        <w:autoSpaceDE w:val="0"/>
        <w:autoSpaceDN w:val="0"/>
        <w:adjustRightInd w:val="0"/>
        <w:spacing w:line="360" w:lineRule="auto"/>
        <w:ind w:right="-20" w:firstLine="2280" w:firstLineChars="950"/>
        <w:jc w:val="left"/>
        <w:rPr>
          <w:rFonts w:cs="微软雅黑"/>
          <w:kern w:val="0"/>
          <w:sz w:val="24"/>
          <w:szCs w:val="28"/>
        </w:rPr>
      </w:pPr>
      <w:r>
        <w:rPr>
          <w:rFonts w:cs="微软雅黑"/>
          <w:kern w:val="0"/>
          <w:sz w:val="24"/>
          <w:szCs w:val="28"/>
          <w:u w:val="single"/>
        </w:rPr>
        <w:tab/>
      </w:r>
      <w:r>
        <w:rPr>
          <w:rFonts w:cs="微软雅黑"/>
          <w:spacing w:val="2"/>
          <w:kern w:val="0"/>
          <w:sz w:val="24"/>
          <w:szCs w:val="28"/>
        </w:rPr>
        <w:t>年</w:t>
      </w:r>
      <w:r>
        <w:rPr>
          <w:rFonts w:cs="微软雅黑"/>
          <w:spacing w:val="57"/>
          <w:kern w:val="0"/>
          <w:sz w:val="24"/>
          <w:szCs w:val="28"/>
          <w:u w:val="single"/>
        </w:rPr>
        <w:t xml:space="preserve"> </w:t>
      </w:r>
      <w:r>
        <w:rPr>
          <w:rFonts w:cs="微软雅黑"/>
          <w:kern w:val="0"/>
          <w:sz w:val="24"/>
          <w:szCs w:val="28"/>
          <w:u w:val="single"/>
        </w:rPr>
        <w:tab/>
      </w:r>
      <w:r>
        <w:rPr>
          <w:rFonts w:cs="微软雅黑"/>
          <w:spacing w:val="2"/>
          <w:kern w:val="0"/>
          <w:sz w:val="24"/>
          <w:szCs w:val="28"/>
        </w:rPr>
        <w:t>月</w:t>
      </w:r>
      <w:r>
        <w:rPr>
          <w:rFonts w:cs="微软雅黑"/>
          <w:kern w:val="0"/>
          <w:sz w:val="24"/>
          <w:szCs w:val="28"/>
          <w:u w:val="single"/>
        </w:rPr>
        <w:tab/>
      </w:r>
      <w:r>
        <w:rPr>
          <w:rFonts w:cs="微软雅黑"/>
          <w:kern w:val="0"/>
          <w:sz w:val="24"/>
          <w:szCs w:val="28"/>
          <w:u w:val="single"/>
        </w:rPr>
        <w:t xml:space="preserve">     </w:t>
      </w:r>
      <w:r>
        <w:rPr>
          <w:rFonts w:cs="微软雅黑"/>
          <w:kern w:val="0"/>
          <w:sz w:val="24"/>
          <w:szCs w:val="28"/>
        </w:rPr>
        <w:t>日</w:t>
      </w:r>
    </w:p>
    <w:p>
      <w:pPr>
        <w:tabs>
          <w:tab w:val="left" w:pos="3600"/>
          <w:tab w:val="left" w:pos="4620"/>
          <w:tab w:val="left" w:pos="5640"/>
        </w:tabs>
        <w:autoSpaceDE w:val="0"/>
        <w:autoSpaceDN w:val="0"/>
        <w:adjustRightInd w:val="0"/>
        <w:spacing w:line="360" w:lineRule="auto"/>
        <w:ind w:left="2877" w:right="-20" w:firstLine="480" w:firstLineChars="200"/>
        <w:jc w:val="left"/>
        <w:rPr>
          <w:rFonts w:cs="微软雅黑"/>
          <w:kern w:val="0"/>
          <w:sz w:val="24"/>
          <w:szCs w:val="28"/>
        </w:rPr>
        <w:sectPr>
          <w:footerReference r:id="rId6" w:type="default"/>
          <w:pgSz w:w="11907" w:h="16840"/>
          <w:pgMar w:top="1134" w:right="1134" w:bottom="1134" w:left="1134" w:header="567" w:footer="567" w:gutter="0"/>
          <w:pgNumType w:start="1"/>
          <w:cols w:space="720" w:num="1"/>
        </w:sectPr>
      </w:pPr>
    </w:p>
    <w:p>
      <w:pPr>
        <w:autoSpaceDE w:val="0"/>
        <w:autoSpaceDN w:val="0"/>
        <w:adjustRightInd w:val="0"/>
        <w:spacing w:line="360" w:lineRule="auto"/>
        <w:jc w:val="center"/>
        <w:rPr>
          <w:rFonts w:cs="微软雅黑"/>
          <w:b/>
          <w:kern w:val="0"/>
          <w:sz w:val="36"/>
          <w:szCs w:val="36"/>
        </w:rPr>
      </w:pPr>
      <w:r>
        <w:rPr>
          <w:rFonts w:cs="微软雅黑"/>
          <w:b/>
          <w:kern w:val="0"/>
          <w:sz w:val="36"/>
          <w:szCs w:val="36"/>
        </w:rPr>
        <w:t>目 录</w:t>
      </w:r>
    </w:p>
    <w:p>
      <w:pPr>
        <w:pStyle w:val="14"/>
        <w:numPr>
          <w:ilvl w:val="0"/>
          <w:numId w:val="9"/>
        </w:numPr>
        <w:tabs>
          <w:tab w:val="left" w:pos="360"/>
        </w:tabs>
        <w:autoSpaceDE w:val="0"/>
        <w:autoSpaceDN w:val="0"/>
        <w:adjustRightInd w:val="0"/>
        <w:spacing w:line="360" w:lineRule="auto"/>
        <w:ind w:right="4013" w:firstLineChars="0"/>
        <w:rPr>
          <w:rFonts w:ascii="微软雅黑" w:hAnsi="Times New Roman" w:cs="微软雅黑"/>
          <w:spacing w:val="-2"/>
          <w:kern w:val="0"/>
          <w:sz w:val="22"/>
        </w:rPr>
      </w:pPr>
      <w:r>
        <w:rPr>
          <w:rFonts w:ascii="微软雅黑" w:hAnsi="Times New Roman" w:cs="微软雅黑"/>
          <w:spacing w:val="-2"/>
          <w:kern w:val="0"/>
          <w:sz w:val="22"/>
        </w:rPr>
        <w:t>投标函；</w:t>
      </w:r>
    </w:p>
    <w:p>
      <w:pPr>
        <w:pStyle w:val="14"/>
        <w:tabs>
          <w:tab w:val="left" w:pos="360"/>
        </w:tabs>
        <w:autoSpaceDE w:val="0"/>
        <w:autoSpaceDN w:val="0"/>
        <w:adjustRightInd w:val="0"/>
        <w:spacing w:line="360" w:lineRule="auto"/>
        <w:ind w:firstLine="0" w:firstLineChars="0"/>
        <w:rPr>
          <w:rFonts w:ascii="微软雅黑" w:hAnsi="Times New Roman" w:cs="微软雅黑"/>
          <w:spacing w:val="-2"/>
          <w:kern w:val="0"/>
          <w:sz w:val="22"/>
        </w:rPr>
      </w:pPr>
      <w:r>
        <w:rPr>
          <w:rFonts w:hint="eastAsia" w:ascii="宋体" w:hAnsi="宋体" w:cs="宋体"/>
          <w:kern w:val="0"/>
          <w:sz w:val="22"/>
        </w:rPr>
        <w:t>二、法定代表人身份证明、</w:t>
      </w:r>
      <w:r>
        <w:rPr>
          <w:rFonts w:ascii="宋体" w:hAnsi="宋体" w:cs="宋体"/>
          <w:kern w:val="0"/>
          <w:sz w:val="22"/>
        </w:rPr>
        <w:t>法定代表人授权委托书(投标文件</w:t>
      </w:r>
      <w:r>
        <w:rPr>
          <w:rFonts w:hint="eastAsia" w:ascii="宋体" w:hAnsi="宋体" w:cs="宋体"/>
          <w:kern w:val="0"/>
          <w:sz w:val="22"/>
        </w:rPr>
        <w:t>由</w:t>
      </w:r>
      <w:r>
        <w:rPr>
          <w:rFonts w:ascii="宋体" w:hAnsi="宋体" w:cs="宋体"/>
          <w:kern w:val="0"/>
          <w:sz w:val="22"/>
        </w:rPr>
        <w:t>委托代理人签字</w:t>
      </w:r>
      <w:r>
        <w:rPr>
          <w:rFonts w:hint="eastAsia" w:ascii="宋体" w:hAnsi="宋体" w:cs="宋体"/>
          <w:kern w:val="0"/>
          <w:sz w:val="22"/>
        </w:rPr>
        <w:t>时</w:t>
      </w:r>
      <w:r>
        <w:rPr>
          <w:rFonts w:ascii="宋体" w:hAnsi="宋体" w:cs="宋体"/>
          <w:kern w:val="0"/>
          <w:sz w:val="22"/>
        </w:rPr>
        <w:t>提供</w:t>
      </w:r>
      <w:r>
        <w:rPr>
          <w:rFonts w:hint="eastAsia" w:ascii="宋体" w:hAnsi="宋体" w:cs="宋体"/>
          <w:kern w:val="0"/>
          <w:sz w:val="22"/>
        </w:rPr>
        <w:t>)</w:t>
      </w:r>
      <w:r>
        <w:rPr>
          <w:rFonts w:ascii="微软雅黑" w:hAnsi="Times New Roman" w:cs="微软雅黑"/>
          <w:spacing w:val="-2"/>
          <w:kern w:val="0"/>
          <w:sz w:val="22"/>
        </w:rPr>
        <w:t>；</w:t>
      </w:r>
    </w:p>
    <w:p>
      <w:pPr>
        <w:pStyle w:val="14"/>
        <w:tabs>
          <w:tab w:val="left" w:pos="360"/>
        </w:tabs>
        <w:autoSpaceDE w:val="0"/>
        <w:autoSpaceDN w:val="0"/>
        <w:adjustRightInd w:val="0"/>
        <w:spacing w:line="360" w:lineRule="auto"/>
        <w:ind w:right="4013" w:firstLine="0" w:firstLineChars="0"/>
        <w:rPr>
          <w:rFonts w:ascii="微软雅黑" w:hAnsi="Times New Roman" w:cs="微软雅黑"/>
          <w:spacing w:val="-2"/>
          <w:kern w:val="0"/>
          <w:sz w:val="22"/>
        </w:rPr>
      </w:pPr>
      <w:r>
        <w:rPr>
          <w:rFonts w:hint="eastAsia" w:ascii="微软雅黑" w:hAnsi="Times New Roman" w:cs="微软雅黑"/>
          <w:spacing w:val="-2"/>
          <w:kern w:val="0"/>
          <w:sz w:val="22"/>
        </w:rPr>
        <w:t>三、</w:t>
      </w:r>
      <w:r>
        <w:rPr>
          <w:rFonts w:ascii="微软雅黑" w:hAnsi="Times New Roman" w:cs="微软雅黑"/>
          <w:spacing w:val="-2"/>
          <w:kern w:val="0"/>
          <w:sz w:val="22"/>
        </w:rPr>
        <w:t>已标价工程量清单；</w:t>
      </w:r>
    </w:p>
    <w:p>
      <w:pPr>
        <w:pStyle w:val="14"/>
        <w:tabs>
          <w:tab w:val="left" w:pos="360"/>
        </w:tabs>
        <w:autoSpaceDE w:val="0"/>
        <w:autoSpaceDN w:val="0"/>
        <w:adjustRightInd w:val="0"/>
        <w:spacing w:line="360" w:lineRule="auto"/>
        <w:ind w:right="4013" w:firstLine="0" w:firstLineChars="0"/>
        <w:rPr>
          <w:rFonts w:ascii="微软雅黑" w:hAnsi="Times New Roman" w:cs="微软雅黑"/>
          <w:spacing w:val="-2"/>
          <w:kern w:val="0"/>
          <w:sz w:val="22"/>
        </w:rPr>
      </w:pPr>
      <w:r>
        <w:rPr>
          <w:rFonts w:hint="eastAsia" w:ascii="微软雅黑" w:hAnsi="Times New Roman" w:cs="微软雅黑"/>
          <w:spacing w:val="-2"/>
          <w:kern w:val="0"/>
          <w:sz w:val="22"/>
        </w:rPr>
        <w:t>四、</w:t>
      </w:r>
      <w:r>
        <w:rPr>
          <w:rFonts w:ascii="微软雅黑" w:hAnsi="Times New Roman" w:cs="微软雅黑"/>
          <w:spacing w:val="-2"/>
          <w:kern w:val="0"/>
          <w:sz w:val="22"/>
        </w:rPr>
        <w:t>投标人</w:t>
      </w:r>
      <w:r>
        <w:rPr>
          <w:rFonts w:hint="eastAsia" w:ascii="微软雅黑" w:hAnsi="Times New Roman" w:cs="微软雅黑"/>
          <w:spacing w:val="-2"/>
          <w:kern w:val="0"/>
          <w:sz w:val="22"/>
        </w:rPr>
        <w:t>认为需要提供的</w:t>
      </w:r>
      <w:r>
        <w:rPr>
          <w:rFonts w:ascii="微软雅黑" w:hAnsi="Times New Roman" w:cs="微软雅黑"/>
          <w:spacing w:val="-2"/>
          <w:kern w:val="0"/>
          <w:sz w:val="22"/>
        </w:rPr>
        <w:t>其他材料。</w:t>
      </w:r>
    </w:p>
    <w:p>
      <w:pPr>
        <w:pStyle w:val="14"/>
        <w:tabs>
          <w:tab w:val="left" w:pos="360"/>
        </w:tabs>
        <w:autoSpaceDE w:val="0"/>
        <w:autoSpaceDN w:val="0"/>
        <w:adjustRightInd w:val="0"/>
        <w:spacing w:line="360" w:lineRule="auto"/>
        <w:ind w:right="4013" w:firstLine="0" w:firstLineChars="0"/>
        <w:rPr>
          <w:rFonts w:ascii="微软雅黑" w:hAnsi="Times New Roman" w:cs="微软雅黑"/>
          <w:b/>
          <w:bCs/>
          <w:spacing w:val="-2"/>
          <w:kern w:val="0"/>
          <w:sz w:val="22"/>
        </w:rPr>
      </w:pPr>
      <w:r>
        <w:rPr>
          <w:rFonts w:hint="eastAsia" w:ascii="微软雅黑" w:hAnsi="Times New Roman" w:cs="微软雅黑"/>
          <w:b/>
          <w:bCs/>
          <w:spacing w:val="-2"/>
          <w:kern w:val="0"/>
          <w:sz w:val="22"/>
        </w:rPr>
        <w:t>注：未提供格式的由投标人自行拟定格式。</w:t>
      </w:r>
    </w:p>
    <w:p>
      <w:pPr>
        <w:autoSpaceDE w:val="0"/>
        <w:autoSpaceDN w:val="0"/>
        <w:adjustRightInd w:val="0"/>
        <w:snapToGrid w:val="0"/>
        <w:spacing w:line="360" w:lineRule="exact"/>
        <w:ind w:firstLine="723" w:firstLineChars="200"/>
        <w:rPr>
          <w:rFonts w:ascii="宋体" w:hAnsi="宋体" w:cs="微软雅黑"/>
          <w:b/>
          <w:kern w:val="0"/>
          <w:sz w:val="36"/>
          <w:szCs w:val="36"/>
        </w:rPr>
      </w:pPr>
      <w:r>
        <w:rPr>
          <w:rFonts w:ascii="宋体" w:hAnsi="宋体" w:cs="微软雅黑"/>
          <w:b/>
          <w:kern w:val="0"/>
          <w:sz w:val="36"/>
          <w:szCs w:val="36"/>
        </w:rPr>
        <w:br w:type="page"/>
      </w:r>
    </w:p>
    <w:p>
      <w:pPr>
        <w:autoSpaceDE w:val="0"/>
        <w:autoSpaceDN w:val="0"/>
        <w:adjustRightInd w:val="0"/>
        <w:spacing w:line="360" w:lineRule="auto"/>
        <w:jc w:val="center"/>
        <w:rPr>
          <w:rFonts w:cs="微软雅黑"/>
          <w:b/>
          <w:kern w:val="0"/>
          <w:sz w:val="36"/>
          <w:szCs w:val="36"/>
        </w:rPr>
      </w:pPr>
      <w:r>
        <w:rPr>
          <w:rFonts w:cs="微软雅黑"/>
          <w:b/>
          <w:kern w:val="0"/>
          <w:sz w:val="36"/>
          <w:szCs w:val="36"/>
        </w:rPr>
        <w:t>一、投标函</w:t>
      </w:r>
    </w:p>
    <w:p>
      <w:pPr>
        <w:snapToGrid w:val="0"/>
        <w:spacing w:line="360" w:lineRule="exact"/>
        <w:rPr>
          <w:rFonts w:cs="宋体"/>
          <w:b/>
          <w:sz w:val="22"/>
        </w:rPr>
      </w:pPr>
      <w:r>
        <w:rPr>
          <w:rFonts w:cs="宋体"/>
          <w:b/>
          <w:sz w:val="22"/>
          <w:u w:val="single"/>
        </w:rPr>
        <w:t xml:space="preserve">                    </w:t>
      </w:r>
      <w:r>
        <w:rPr>
          <w:rFonts w:cs="宋体"/>
          <w:b/>
          <w:sz w:val="22"/>
        </w:rPr>
        <w:t>(招标人)：</w:t>
      </w:r>
    </w:p>
    <w:p>
      <w:pPr>
        <w:snapToGrid w:val="0"/>
        <w:spacing w:line="360" w:lineRule="exact"/>
        <w:ind w:firstLine="440" w:firstLineChars="200"/>
        <w:rPr>
          <w:rFonts w:cs="宋体"/>
          <w:b/>
          <w:sz w:val="22"/>
        </w:rPr>
      </w:pPr>
      <w:r>
        <w:rPr>
          <w:rFonts w:cs="宋体"/>
          <w:sz w:val="22"/>
        </w:rPr>
        <w:t>我方已全面阅读和研究了</w:t>
      </w:r>
      <w:r>
        <w:rPr>
          <w:rFonts w:cs="宋体"/>
          <w:b/>
          <w:bCs/>
          <w:sz w:val="22"/>
          <w:u w:val="single"/>
        </w:rPr>
        <w:t xml:space="preserve">                           </w:t>
      </w:r>
      <w:r>
        <w:rPr>
          <w:rFonts w:cs="宋体"/>
          <w:b/>
          <w:bCs/>
          <w:sz w:val="22"/>
        </w:rPr>
        <w:t>项目</w:t>
      </w:r>
      <w:r>
        <w:rPr>
          <w:rFonts w:cs="宋体"/>
          <w:sz w:val="22"/>
        </w:rPr>
        <w:t>招标文件和招标补充文件，并经过对项目现场的踏勘，澄清疑问，已充分理解并掌握了本项目招标的全部有关情况。同意接受招标文件的全部内容和条件，并按此确定本项目投标的要约内容，以本投标文件向你方发包的全部内容进行投标。投标报价为：人民币(大写)</w:t>
      </w:r>
      <w:r>
        <w:rPr>
          <w:rFonts w:cs="宋体"/>
          <w:sz w:val="22"/>
          <w:u w:val="single"/>
        </w:rPr>
        <w:t xml:space="preserve">       </w:t>
      </w:r>
      <w:r>
        <w:rPr>
          <w:rFonts w:hint="eastAsia" w:cs="宋体"/>
          <w:sz w:val="22"/>
          <w:u w:val="single"/>
        </w:rPr>
        <w:t xml:space="preserve">           </w:t>
      </w:r>
      <w:r>
        <w:rPr>
          <w:rFonts w:cs="宋体"/>
          <w:kern w:val="0"/>
          <w:sz w:val="22"/>
        </w:rPr>
        <w:t>(</w:t>
      </w:r>
      <w:r>
        <w:rPr>
          <w:rFonts w:cs="宋体"/>
          <w:spacing w:val="-61"/>
          <w:kern w:val="0"/>
          <w:sz w:val="22"/>
        </w:rPr>
        <w:t>¥</w:t>
      </w:r>
      <w:r>
        <w:rPr>
          <w:rFonts w:cs="宋体"/>
          <w:spacing w:val="43"/>
          <w:kern w:val="0"/>
          <w:sz w:val="22"/>
          <w:u w:val="single"/>
        </w:rPr>
        <w:t xml:space="preserve">    </w:t>
      </w:r>
      <w:r>
        <w:rPr>
          <w:rFonts w:hint="eastAsia" w:cs="宋体"/>
          <w:spacing w:val="43"/>
          <w:kern w:val="0"/>
          <w:sz w:val="22"/>
          <w:u w:val="single"/>
        </w:rPr>
        <w:t xml:space="preserve">         </w:t>
      </w:r>
      <w:r>
        <w:rPr>
          <w:rFonts w:cs="宋体"/>
          <w:spacing w:val="43"/>
          <w:kern w:val="0"/>
          <w:sz w:val="22"/>
          <w:u w:val="single"/>
        </w:rPr>
        <w:t xml:space="preserve">   </w:t>
      </w:r>
      <w:r>
        <w:rPr>
          <w:rFonts w:cs="宋体"/>
          <w:kern w:val="0"/>
          <w:sz w:val="22"/>
          <w:u w:val="single"/>
        </w:rPr>
        <w:tab/>
      </w:r>
      <w:r>
        <w:rPr>
          <w:rFonts w:cs="宋体"/>
          <w:kern w:val="0"/>
          <w:sz w:val="22"/>
          <w:u w:val="single"/>
        </w:rPr>
        <w:tab/>
      </w:r>
      <w:r>
        <w:rPr>
          <w:rFonts w:cs="宋体"/>
          <w:spacing w:val="-12"/>
          <w:kern w:val="0"/>
          <w:sz w:val="22"/>
        </w:rPr>
        <w:t>)</w:t>
      </w:r>
      <w:r>
        <w:rPr>
          <w:rFonts w:cs="宋体"/>
          <w:kern w:val="0"/>
          <w:sz w:val="22"/>
        </w:rPr>
        <w:t>；</w:t>
      </w:r>
      <w:r>
        <w:rPr>
          <w:rFonts w:cs="宋体"/>
          <w:sz w:val="22"/>
        </w:rPr>
        <w:t>项目负责人为：</w:t>
      </w:r>
      <w:r>
        <w:rPr>
          <w:rFonts w:cs="宋体"/>
          <w:sz w:val="22"/>
          <w:u w:val="single"/>
        </w:rPr>
        <w:t xml:space="preserve">    </w:t>
      </w:r>
      <w:r>
        <w:rPr>
          <w:rFonts w:hint="eastAsia" w:cs="宋体"/>
          <w:sz w:val="22"/>
          <w:u w:val="single"/>
        </w:rPr>
        <w:t xml:space="preserve">      </w:t>
      </w:r>
      <w:r>
        <w:rPr>
          <w:rFonts w:cs="宋体"/>
          <w:sz w:val="22"/>
          <w:u w:val="single"/>
        </w:rPr>
        <w:t xml:space="preserve">        </w:t>
      </w:r>
      <w:r>
        <w:rPr>
          <w:rFonts w:cs="宋体"/>
          <w:sz w:val="22"/>
        </w:rPr>
        <w:t>(身份证号码：</w:t>
      </w:r>
      <w:r>
        <w:rPr>
          <w:rFonts w:cs="宋体"/>
          <w:sz w:val="22"/>
          <w:u w:val="single"/>
        </w:rPr>
        <w:t xml:space="preserve">             </w:t>
      </w:r>
      <w:r>
        <w:rPr>
          <w:rFonts w:hint="eastAsia" w:cs="宋体"/>
          <w:sz w:val="22"/>
        </w:rPr>
        <w:t>，电话号码：</w:t>
      </w:r>
      <w:r>
        <w:rPr>
          <w:rFonts w:hint="eastAsia" w:cs="宋体"/>
          <w:sz w:val="22"/>
          <w:u w:val="single"/>
        </w:rPr>
        <w:t xml:space="preserve">                          </w:t>
      </w:r>
      <w:r>
        <w:rPr>
          <w:rFonts w:cs="宋体"/>
          <w:sz w:val="22"/>
        </w:rPr>
        <w:t>)</w:t>
      </w:r>
      <w:r>
        <w:rPr>
          <w:rFonts w:hint="eastAsia" w:cs="宋体"/>
          <w:sz w:val="22"/>
        </w:rPr>
        <w:t>；</w:t>
      </w:r>
      <w:r>
        <w:rPr>
          <w:rFonts w:cs="宋体"/>
          <w:sz w:val="22"/>
        </w:rPr>
        <w:t>工期</w:t>
      </w:r>
      <w:r>
        <w:rPr>
          <w:rFonts w:cs="宋体"/>
          <w:sz w:val="22"/>
          <w:u w:val="single"/>
        </w:rPr>
        <w:t xml:space="preserve">  </w:t>
      </w:r>
      <w:r>
        <w:rPr>
          <w:rFonts w:hint="eastAsia" w:cs="宋体"/>
          <w:b/>
          <w:sz w:val="22"/>
          <w:u w:val="single"/>
        </w:rPr>
        <w:t xml:space="preserve">                                   </w:t>
      </w:r>
      <w:r>
        <w:rPr>
          <w:rFonts w:hint="eastAsia" w:ascii="宋体" w:hAnsi="宋体"/>
          <w:sz w:val="22"/>
        </w:rPr>
        <w:t>日历天</w:t>
      </w:r>
      <w:r>
        <w:rPr>
          <w:rFonts w:hint="eastAsia" w:cs="宋体"/>
          <w:b/>
          <w:sz w:val="22"/>
        </w:rPr>
        <w:t>；</w:t>
      </w:r>
      <w:r>
        <w:rPr>
          <w:rFonts w:hint="eastAsia" w:ascii="宋体" w:hAnsi="宋体" w:cs="宋体"/>
          <w:sz w:val="22"/>
        </w:rPr>
        <w:t>工程质量达到一次验收合格</w:t>
      </w:r>
      <w:r>
        <w:rPr>
          <w:rFonts w:cs="宋体"/>
          <w:sz w:val="22"/>
        </w:rPr>
        <w:t>。</w:t>
      </w:r>
    </w:p>
    <w:p>
      <w:pPr>
        <w:snapToGrid w:val="0"/>
        <w:spacing w:line="360" w:lineRule="exact"/>
        <w:ind w:firstLine="440" w:firstLineChars="200"/>
        <w:rPr>
          <w:rFonts w:cs="宋体"/>
          <w:b/>
          <w:sz w:val="22"/>
        </w:rPr>
      </w:pPr>
      <w:r>
        <w:rPr>
          <w:rFonts w:ascii="宋体" w:hAnsi="宋体"/>
          <w:sz w:val="22"/>
        </w:rPr>
        <w:t>1</w:t>
      </w:r>
      <w:r>
        <w:rPr>
          <w:rFonts w:hint="eastAsia" w:ascii="宋体" w:hAnsi="宋体"/>
          <w:sz w:val="22"/>
        </w:rPr>
        <w:t>.根据招标人要求，做出如下承诺：</w:t>
      </w:r>
    </w:p>
    <w:p>
      <w:pPr>
        <w:snapToGrid w:val="0"/>
        <w:spacing w:line="360" w:lineRule="exact"/>
        <w:ind w:firstLine="440" w:firstLineChars="200"/>
        <w:rPr>
          <w:rFonts w:ascii="宋体" w:hAnsi="宋体" w:cs="Arial"/>
          <w:b/>
          <w:sz w:val="22"/>
        </w:rPr>
      </w:pPr>
      <w:r>
        <w:rPr>
          <w:rFonts w:ascii="宋体" w:hAnsi="宋体"/>
          <w:sz w:val="22"/>
        </w:rPr>
        <w:t>(1</w:t>
      </w:r>
      <w:r>
        <w:rPr>
          <w:rFonts w:hint="eastAsia" w:ascii="宋体" w:hAnsi="宋体"/>
          <w:sz w:val="22"/>
        </w:rPr>
        <w:t>)</w:t>
      </w:r>
      <w:r>
        <w:rPr>
          <w:rFonts w:cs="宋体"/>
          <w:b/>
          <w:sz w:val="22"/>
        </w:rPr>
        <w:t xml:space="preserve"> </w:t>
      </w:r>
      <w:r>
        <w:rPr>
          <w:rFonts w:hint="eastAsia" w:ascii="宋体" w:hAnsi="宋体" w:cs="Arial"/>
          <w:b/>
          <w:sz w:val="22"/>
        </w:rPr>
        <w:t>本工程计日工单价为：</w:t>
      </w:r>
      <w:r>
        <w:rPr>
          <w:rFonts w:hint="eastAsia" w:ascii="宋体" w:hAnsi="宋体" w:cs="Arial"/>
          <w:b/>
          <w:sz w:val="22"/>
          <w:u w:val="single"/>
        </w:rPr>
        <w:t xml:space="preserve">      </w:t>
      </w:r>
      <w:r>
        <w:rPr>
          <w:rFonts w:hint="eastAsia" w:ascii="宋体" w:hAnsi="宋体" w:cs="Arial"/>
          <w:b/>
          <w:sz w:val="22"/>
        </w:rPr>
        <w:t>元/工日；</w:t>
      </w:r>
    </w:p>
    <w:p>
      <w:pPr>
        <w:snapToGrid w:val="0"/>
        <w:spacing w:line="360" w:lineRule="exact"/>
        <w:ind w:firstLine="440" w:firstLineChars="200"/>
        <w:rPr>
          <w:rFonts w:cs="宋体"/>
          <w:b/>
          <w:sz w:val="22"/>
        </w:rPr>
      </w:pPr>
      <w:r>
        <w:rPr>
          <w:rFonts w:ascii="宋体" w:hAnsi="宋体"/>
          <w:sz w:val="22"/>
        </w:rPr>
        <w:t>(2</w:t>
      </w:r>
      <w:r>
        <w:rPr>
          <w:rFonts w:hint="eastAsia" w:ascii="宋体" w:hAnsi="宋体"/>
          <w:sz w:val="22"/>
        </w:rPr>
        <w:t>)</w:t>
      </w:r>
      <w:r>
        <w:rPr>
          <w:rFonts w:hint="eastAsia" w:ascii="宋体" w:hAnsi="宋体"/>
          <w:b/>
          <w:bCs/>
          <w:sz w:val="22"/>
        </w:rPr>
        <w:t>我方承诺</w:t>
      </w:r>
      <w:r>
        <w:rPr>
          <w:rFonts w:ascii="宋体" w:hAnsi="宋体"/>
          <w:b/>
          <w:bCs/>
          <w:spacing w:val="-1"/>
          <w:sz w:val="22"/>
        </w:rPr>
        <w:t>可提供增值税</w:t>
      </w:r>
      <w:r>
        <w:rPr>
          <w:rFonts w:hint="eastAsia" w:ascii="宋体" w:hAnsi="宋体"/>
          <w:b/>
          <w:bCs/>
          <w:spacing w:val="-1"/>
          <w:sz w:val="22"/>
        </w:rPr>
        <w:t>率为</w:t>
      </w:r>
      <w:r>
        <w:rPr>
          <w:rFonts w:hint="eastAsia" w:ascii="宋体" w:hAnsi="宋体"/>
          <w:b/>
          <w:bCs/>
          <w:spacing w:val="-1"/>
          <w:sz w:val="22"/>
          <w:u w:val="single"/>
        </w:rPr>
        <w:t xml:space="preserve"> </w:t>
      </w:r>
      <w:r>
        <w:rPr>
          <w:rFonts w:ascii="宋体" w:hAnsi="宋体"/>
          <w:b/>
          <w:bCs/>
          <w:spacing w:val="-1"/>
          <w:sz w:val="22"/>
          <w:u w:val="single"/>
        </w:rPr>
        <w:t xml:space="preserve">   </w:t>
      </w:r>
      <w:r>
        <w:rPr>
          <w:rFonts w:ascii="宋体" w:hAnsi="宋体"/>
          <w:b/>
          <w:bCs/>
          <w:spacing w:val="-1"/>
          <w:sz w:val="22"/>
        </w:rPr>
        <w:t>%</w:t>
      </w:r>
      <w:r>
        <w:rPr>
          <w:rFonts w:hint="eastAsia" w:ascii="宋体" w:hAnsi="宋体"/>
          <w:b/>
          <w:bCs/>
          <w:spacing w:val="-1"/>
          <w:sz w:val="22"/>
        </w:rPr>
        <w:t>的增值税</w:t>
      </w:r>
      <w:r>
        <w:rPr>
          <w:rFonts w:ascii="宋体" w:hAnsi="宋体"/>
          <w:b/>
          <w:bCs/>
          <w:spacing w:val="-1"/>
          <w:sz w:val="22"/>
        </w:rPr>
        <w:t>专用发票</w:t>
      </w:r>
      <w:r>
        <w:rPr>
          <w:rFonts w:hint="eastAsia" w:ascii="宋体" w:hAnsi="宋体"/>
          <w:b/>
          <w:bCs/>
          <w:sz w:val="22"/>
        </w:rPr>
        <w:t>；</w:t>
      </w:r>
    </w:p>
    <w:p>
      <w:pPr>
        <w:snapToGrid w:val="0"/>
        <w:spacing w:line="360" w:lineRule="exact"/>
        <w:ind w:firstLine="440" w:firstLineChars="200"/>
        <w:rPr>
          <w:rFonts w:cs="宋体"/>
          <w:b/>
          <w:sz w:val="22"/>
        </w:rPr>
      </w:pPr>
      <w:r>
        <w:rPr>
          <w:rFonts w:ascii="宋体" w:hAnsi="宋体"/>
          <w:sz w:val="22"/>
        </w:rPr>
        <w:t>(</w:t>
      </w:r>
      <w:r>
        <w:rPr>
          <w:rFonts w:hint="eastAsia" w:ascii="宋体" w:hAnsi="宋体"/>
          <w:sz w:val="22"/>
        </w:rPr>
        <w:t>3)</w:t>
      </w:r>
      <w:r>
        <w:rPr>
          <w:rFonts w:cs="宋体"/>
          <w:b/>
          <w:sz w:val="22"/>
        </w:rPr>
        <w:t xml:space="preserve"> </w:t>
      </w:r>
      <w:r>
        <w:rPr>
          <w:rFonts w:hint="eastAsia" w:ascii="宋体" w:hAnsi="宋体"/>
          <w:sz w:val="22"/>
        </w:rPr>
        <w:t>如我方中标，在收到中标通知书后，在中标通知书规定的期限内与你方签订合同；</w:t>
      </w:r>
    </w:p>
    <w:p>
      <w:pPr>
        <w:snapToGrid w:val="0"/>
        <w:spacing w:line="360" w:lineRule="exact"/>
        <w:ind w:firstLine="440" w:firstLineChars="200"/>
        <w:rPr>
          <w:kern w:val="0"/>
          <w:sz w:val="22"/>
        </w:rPr>
      </w:pPr>
      <w:r>
        <w:rPr>
          <w:rFonts w:hint="eastAsia" w:ascii="宋体" w:hAnsi="宋体"/>
          <w:sz w:val="22"/>
        </w:rPr>
        <w:t>(4)</w:t>
      </w:r>
      <w:r>
        <w:rPr>
          <w:kern w:val="0"/>
          <w:sz w:val="22"/>
        </w:rPr>
        <w:t>在招投标过程中，廉洁自律并对所获悉的招标人的相关信息予以保密</w:t>
      </w:r>
      <w:r>
        <w:rPr>
          <w:rFonts w:hint="eastAsia"/>
          <w:kern w:val="0"/>
          <w:sz w:val="22"/>
        </w:rPr>
        <w:t>；</w:t>
      </w:r>
    </w:p>
    <w:p>
      <w:pPr>
        <w:snapToGrid w:val="0"/>
        <w:spacing w:line="360" w:lineRule="exact"/>
        <w:ind w:firstLine="440" w:firstLineChars="200"/>
        <w:rPr>
          <w:rFonts w:ascii="宋体" w:hAnsi="宋体" w:cs="宋体"/>
          <w:sz w:val="22"/>
        </w:rPr>
      </w:pPr>
      <w:r>
        <w:rPr>
          <w:rFonts w:hint="eastAsia" w:ascii="宋体" w:hAnsi="宋体"/>
          <w:sz w:val="22"/>
        </w:rPr>
        <w:t>(5)</w:t>
      </w:r>
      <w:r>
        <w:rPr>
          <w:rFonts w:ascii="宋体" w:hAnsi="宋体"/>
          <w:sz w:val="22"/>
        </w:rPr>
        <w:t>我方承诺</w:t>
      </w:r>
      <w:r>
        <w:rPr>
          <w:rFonts w:hint="eastAsia" w:ascii="宋体" w:hAnsi="宋体"/>
          <w:sz w:val="22"/>
        </w:rPr>
        <w:t>所递交的投标文件及有关资料内容完整、真实和准确。</w:t>
      </w:r>
    </w:p>
    <w:p>
      <w:pPr>
        <w:snapToGrid w:val="0"/>
        <w:spacing w:line="360" w:lineRule="exact"/>
        <w:ind w:firstLine="440"/>
        <w:rPr>
          <w:rFonts w:cs="宋体"/>
          <w:b/>
          <w:sz w:val="22"/>
        </w:rPr>
      </w:pPr>
      <w:r>
        <w:rPr>
          <w:kern w:val="0"/>
          <w:sz w:val="22"/>
        </w:rPr>
        <w:t>以上承诺如有虚假给招标人造成损失的，愿意依法承担</w:t>
      </w:r>
      <w:r>
        <w:rPr>
          <w:rFonts w:hint="eastAsia"/>
          <w:kern w:val="0"/>
          <w:sz w:val="22"/>
        </w:rPr>
        <w:t>全部</w:t>
      </w:r>
      <w:r>
        <w:rPr>
          <w:kern w:val="0"/>
          <w:sz w:val="22"/>
        </w:rPr>
        <w:t>责任。如已中标，同意招标人取消我公司中标资格的处理。</w:t>
      </w:r>
    </w:p>
    <w:p>
      <w:pPr>
        <w:snapToGrid w:val="0"/>
        <w:spacing w:line="360" w:lineRule="exact"/>
        <w:ind w:firstLine="440" w:firstLineChars="200"/>
        <w:rPr>
          <w:rFonts w:cs="宋体"/>
          <w:sz w:val="22"/>
        </w:rPr>
      </w:pPr>
      <w:r>
        <w:rPr>
          <w:rFonts w:hint="eastAsia" w:ascii="宋体" w:hAnsi="宋体"/>
          <w:sz w:val="22"/>
        </w:rPr>
        <w:t>2.我方已详细审查招标文件包括澄清函和修改文件</w:t>
      </w:r>
      <w:r>
        <w:rPr>
          <w:rFonts w:ascii="宋体" w:hAnsi="宋体"/>
          <w:sz w:val="22"/>
        </w:rPr>
        <w:t>(若有)、所有</w:t>
      </w:r>
      <w:r>
        <w:rPr>
          <w:rFonts w:hint="eastAsia" w:ascii="宋体" w:hAnsi="宋体"/>
          <w:sz w:val="22"/>
        </w:rPr>
        <w:t>已</w:t>
      </w:r>
      <w:r>
        <w:rPr>
          <w:rFonts w:ascii="宋体" w:hAnsi="宋体"/>
          <w:sz w:val="22"/>
        </w:rPr>
        <w:t>提供的资料以及有关附件，我</w:t>
      </w:r>
      <w:r>
        <w:rPr>
          <w:rFonts w:hint="eastAsia" w:ascii="宋体" w:hAnsi="宋体"/>
          <w:sz w:val="22"/>
        </w:rPr>
        <w:t>方</w:t>
      </w:r>
      <w:r>
        <w:rPr>
          <w:rFonts w:ascii="宋体" w:hAnsi="宋体"/>
          <w:sz w:val="22"/>
        </w:rPr>
        <w:t>已完全理解上述文件的全部内容</w:t>
      </w:r>
      <w:r>
        <w:rPr>
          <w:rFonts w:hint="eastAsia" w:ascii="宋体" w:hAnsi="宋体"/>
          <w:sz w:val="22"/>
        </w:rPr>
        <w:t>且无异议</w:t>
      </w:r>
      <w:r>
        <w:rPr>
          <w:rFonts w:ascii="宋体" w:hAnsi="宋体"/>
          <w:sz w:val="22"/>
        </w:rPr>
        <w:t>，并放弃提出任何误解或不明作为抗辩的权利。</w:t>
      </w:r>
    </w:p>
    <w:p>
      <w:pPr>
        <w:snapToGrid w:val="0"/>
        <w:spacing w:line="360" w:lineRule="exact"/>
        <w:ind w:firstLine="440" w:firstLineChars="200"/>
        <w:rPr>
          <w:rFonts w:cs="宋体"/>
          <w:sz w:val="22"/>
        </w:rPr>
      </w:pPr>
      <w:r>
        <w:rPr>
          <w:rFonts w:hint="eastAsia" w:ascii="宋体" w:hAnsi="宋体"/>
          <w:sz w:val="22"/>
        </w:rPr>
        <w:t>3.我方同意按照你方可能提出的要求，提供有关的任何其它数字或资料，并对你方可能不接受最低报价及任何报价表示理解。</w:t>
      </w:r>
    </w:p>
    <w:p>
      <w:pPr>
        <w:snapToGrid w:val="0"/>
        <w:spacing w:line="360" w:lineRule="exact"/>
        <w:ind w:firstLine="440" w:firstLineChars="200"/>
        <w:rPr>
          <w:rFonts w:cs="宋体"/>
          <w:sz w:val="22"/>
        </w:rPr>
      </w:pPr>
      <w:r>
        <w:rPr>
          <w:rFonts w:hint="eastAsia" w:ascii="宋体" w:hAnsi="宋体"/>
          <w:sz w:val="22"/>
        </w:rPr>
        <w:t>4.在合同协议书正式签署生效之前，本投标函连同你方的中标通知书将构成我们双方之间共同遵守的文件，对双方具有约束力。</w:t>
      </w:r>
    </w:p>
    <w:p>
      <w:pPr>
        <w:snapToGrid w:val="0"/>
        <w:spacing w:line="360" w:lineRule="exact"/>
        <w:ind w:firstLine="440" w:firstLineChars="200"/>
        <w:rPr>
          <w:rFonts w:cs="宋体"/>
          <w:sz w:val="22"/>
        </w:rPr>
      </w:pPr>
      <w:r>
        <w:rPr>
          <w:rFonts w:hint="eastAsia" w:ascii="宋体" w:hAnsi="宋体"/>
          <w:sz w:val="22"/>
        </w:rPr>
        <w:t>5.(其他补充说明)</w:t>
      </w:r>
      <w:r>
        <w:rPr>
          <w:rFonts w:ascii="宋体" w:hAnsi="宋体"/>
          <w:sz w:val="22"/>
          <w:u w:val="single"/>
        </w:rPr>
        <w:t xml:space="preserve">                                              </w:t>
      </w:r>
      <w:r>
        <w:rPr>
          <w:rFonts w:hint="eastAsia" w:ascii="宋体" w:hAnsi="宋体"/>
          <w:sz w:val="22"/>
        </w:rPr>
        <w:t>。</w:t>
      </w:r>
    </w:p>
    <w:p>
      <w:pPr>
        <w:snapToGrid w:val="0"/>
        <w:spacing w:line="360" w:lineRule="exact"/>
        <w:ind w:firstLine="3969" w:firstLineChars="1804"/>
        <w:jc w:val="left"/>
        <w:rPr>
          <w:rFonts w:cs="宋体"/>
          <w:sz w:val="22"/>
        </w:rPr>
      </w:pPr>
    </w:p>
    <w:p>
      <w:pPr>
        <w:snapToGrid w:val="0"/>
        <w:spacing w:line="360" w:lineRule="exact"/>
        <w:ind w:firstLine="3969" w:firstLineChars="1804"/>
        <w:jc w:val="left"/>
        <w:rPr>
          <w:rFonts w:cs="宋体"/>
          <w:sz w:val="22"/>
        </w:rPr>
      </w:pPr>
    </w:p>
    <w:p>
      <w:pPr>
        <w:snapToGrid w:val="0"/>
        <w:spacing w:line="360" w:lineRule="exact"/>
        <w:ind w:firstLine="3969" w:firstLineChars="1804"/>
        <w:jc w:val="left"/>
        <w:rPr>
          <w:rFonts w:cs="宋体"/>
          <w:sz w:val="22"/>
        </w:rPr>
      </w:pPr>
      <w:r>
        <w:rPr>
          <w:rFonts w:cs="宋体"/>
          <w:sz w:val="22"/>
        </w:rPr>
        <w:t>投标人：</w:t>
      </w:r>
      <w:r>
        <w:rPr>
          <w:rFonts w:cs="宋体"/>
          <w:sz w:val="22"/>
          <w:u w:val="single"/>
        </w:rPr>
        <w:t xml:space="preserve">                </w:t>
      </w:r>
      <w:r>
        <w:rPr>
          <w:rFonts w:cs="宋体"/>
          <w:sz w:val="22"/>
        </w:rPr>
        <w:t>(盖章)</w:t>
      </w:r>
    </w:p>
    <w:p>
      <w:pPr>
        <w:snapToGrid w:val="0"/>
        <w:spacing w:line="360" w:lineRule="exact"/>
        <w:ind w:firstLine="3969" w:firstLineChars="1804"/>
        <w:jc w:val="left"/>
        <w:rPr>
          <w:rFonts w:cs="宋体"/>
          <w:sz w:val="22"/>
          <w:u w:val="single"/>
        </w:rPr>
      </w:pPr>
      <w:r>
        <w:rPr>
          <w:rFonts w:cs="宋体"/>
          <w:sz w:val="22"/>
        </w:rPr>
        <w:t>法定代表或委托代理人：</w:t>
      </w:r>
      <w:r>
        <w:rPr>
          <w:rFonts w:cs="宋体"/>
          <w:sz w:val="22"/>
          <w:u w:val="single"/>
        </w:rPr>
        <w:t xml:space="preserve">         </w:t>
      </w:r>
      <w:r>
        <w:rPr>
          <w:rFonts w:cs="宋体"/>
          <w:sz w:val="22"/>
        </w:rPr>
        <w:t>(签字或盖章)</w:t>
      </w:r>
    </w:p>
    <w:p>
      <w:pPr>
        <w:snapToGrid w:val="0"/>
        <w:spacing w:line="360" w:lineRule="exact"/>
        <w:ind w:firstLine="3969" w:firstLineChars="1804"/>
        <w:jc w:val="left"/>
        <w:rPr>
          <w:rFonts w:cs="宋体"/>
          <w:sz w:val="22"/>
          <w:u w:val="single"/>
        </w:rPr>
      </w:pPr>
      <w:r>
        <w:rPr>
          <w:rFonts w:cs="宋体"/>
          <w:sz w:val="22"/>
        </w:rPr>
        <w:t>联系人：</w:t>
      </w:r>
      <w:r>
        <w:rPr>
          <w:rFonts w:cs="宋体"/>
          <w:sz w:val="22"/>
          <w:u w:val="single"/>
        </w:rPr>
        <w:t xml:space="preserve">                    </w:t>
      </w:r>
    </w:p>
    <w:p>
      <w:pPr>
        <w:snapToGrid w:val="0"/>
        <w:spacing w:line="360" w:lineRule="exact"/>
        <w:ind w:firstLine="3969" w:firstLineChars="1804"/>
        <w:jc w:val="left"/>
        <w:rPr>
          <w:rFonts w:cs="宋体"/>
          <w:sz w:val="22"/>
          <w:u w:val="single"/>
        </w:rPr>
      </w:pPr>
      <w:r>
        <w:rPr>
          <w:rFonts w:cs="宋体"/>
          <w:sz w:val="22"/>
        </w:rPr>
        <w:t>联系地址：</w:t>
      </w:r>
      <w:r>
        <w:rPr>
          <w:rFonts w:cs="宋体"/>
          <w:sz w:val="22"/>
          <w:u w:val="single"/>
        </w:rPr>
        <w:t xml:space="preserve">                    </w:t>
      </w:r>
    </w:p>
    <w:p>
      <w:pPr>
        <w:snapToGrid w:val="0"/>
        <w:spacing w:line="360" w:lineRule="exact"/>
        <w:ind w:firstLine="3969" w:firstLineChars="1804"/>
        <w:jc w:val="left"/>
        <w:rPr>
          <w:rFonts w:cs="宋体"/>
          <w:sz w:val="22"/>
          <w:u w:val="single"/>
        </w:rPr>
      </w:pPr>
      <w:r>
        <w:rPr>
          <w:rFonts w:cs="宋体"/>
          <w:sz w:val="22"/>
        </w:rPr>
        <w:t>电话：</w:t>
      </w:r>
      <w:r>
        <w:rPr>
          <w:rFonts w:cs="宋体"/>
          <w:sz w:val="22"/>
          <w:u w:val="single"/>
        </w:rPr>
        <w:t xml:space="preserve">                    </w:t>
      </w:r>
    </w:p>
    <w:p>
      <w:pPr>
        <w:snapToGrid w:val="0"/>
        <w:spacing w:line="360" w:lineRule="exact"/>
        <w:ind w:firstLine="3969" w:firstLineChars="1804"/>
        <w:jc w:val="left"/>
        <w:rPr>
          <w:rFonts w:cs="宋体"/>
          <w:sz w:val="22"/>
          <w:u w:val="single"/>
        </w:rPr>
      </w:pPr>
      <w:r>
        <w:rPr>
          <w:rFonts w:cs="宋体"/>
          <w:sz w:val="22"/>
        </w:rPr>
        <w:t>邮编：</w:t>
      </w:r>
      <w:r>
        <w:rPr>
          <w:rFonts w:cs="宋体"/>
          <w:sz w:val="22"/>
          <w:u w:val="single"/>
        </w:rPr>
        <w:t xml:space="preserve">                    </w:t>
      </w:r>
    </w:p>
    <w:p>
      <w:pPr>
        <w:snapToGrid w:val="0"/>
        <w:spacing w:line="360" w:lineRule="exact"/>
        <w:ind w:firstLine="3969" w:firstLineChars="1804"/>
        <w:jc w:val="left"/>
        <w:rPr>
          <w:rFonts w:cs="宋体"/>
          <w:sz w:val="22"/>
        </w:rPr>
      </w:pPr>
      <w:r>
        <w:rPr>
          <w:rFonts w:cs="宋体"/>
          <w:sz w:val="22"/>
          <w:u w:val="single"/>
        </w:rPr>
        <w:t xml:space="preserve">       </w:t>
      </w:r>
      <w:r>
        <w:rPr>
          <w:rFonts w:cs="宋体"/>
          <w:sz w:val="22"/>
        </w:rPr>
        <w:t xml:space="preserve">年 </w:t>
      </w:r>
      <w:r>
        <w:rPr>
          <w:rFonts w:cs="宋体"/>
          <w:sz w:val="22"/>
          <w:u w:val="single"/>
        </w:rPr>
        <w:t xml:space="preserve">       </w:t>
      </w:r>
      <w:r>
        <w:rPr>
          <w:rFonts w:cs="宋体"/>
          <w:sz w:val="22"/>
        </w:rPr>
        <w:t xml:space="preserve"> 月</w:t>
      </w:r>
      <w:r>
        <w:rPr>
          <w:rFonts w:cs="宋体"/>
          <w:sz w:val="22"/>
          <w:u w:val="single"/>
        </w:rPr>
        <w:t xml:space="preserve">      </w:t>
      </w:r>
      <w:r>
        <w:rPr>
          <w:rFonts w:cs="宋体"/>
          <w:sz w:val="22"/>
        </w:rPr>
        <w:t>日</w:t>
      </w:r>
    </w:p>
    <w:p>
      <w:pPr>
        <w:widowControl/>
        <w:jc w:val="left"/>
        <w:rPr>
          <w:rFonts w:cs="微软雅黑"/>
          <w:b/>
          <w:kern w:val="0"/>
          <w:sz w:val="36"/>
          <w:szCs w:val="36"/>
        </w:rPr>
      </w:pPr>
      <w:r>
        <w:rPr>
          <w:rFonts w:cs="微软雅黑"/>
          <w:b/>
          <w:kern w:val="0"/>
          <w:sz w:val="36"/>
          <w:szCs w:val="36"/>
        </w:rPr>
        <w:br w:type="page"/>
      </w:r>
    </w:p>
    <w:p>
      <w:pPr>
        <w:autoSpaceDE w:val="0"/>
        <w:autoSpaceDN w:val="0"/>
        <w:adjustRightInd w:val="0"/>
        <w:spacing w:line="360" w:lineRule="auto"/>
        <w:jc w:val="center"/>
        <w:rPr>
          <w:rFonts w:cs="微软雅黑"/>
          <w:b/>
          <w:kern w:val="0"/>
          <w:sz w:val="36"/>
          <w:szCs w:val="36"/>
        </w:rPr>
      </w:pPr>
      <w:r>
        <w:rPr>
          <w:rFonts w:ascii="宋体" w:hAnsi="宋体" w:cs="微软雅黑"/>
          <w:b/>
          <w:kern w:val="0"/>
          <w:sz w:val="36"/>
          <w:szCs w:val="36"/>
        </w:rPr>
        <w:t>二</w:t>
      </w:r>
      <w:r>
        <w:rPr>
          <w:rFonts w:hint="eastAsia" w:ascii="宋体" w:hAnsi="宋体" w:cs="微软雅黑"/>
          <w:b/>
          <w:kern w:val="0"/>
          <w:sz w:val="36"/>
          <w:szCs w:val="36"/>
        </w:rPr>
        <w:t>-1</w:t>
      </w:r>
      <w:r>
        <w:rPr>
          <w:rFonts w:cs="微软雅黑"/>
          <w:b/>
          <w:kern w:val="0"/>
          <w:sz w:val="36"/>
          <w:szCs w:val="36"/>
        </w:rPr>
        <w:t>、法定代表人身份证明</w:t>
      </w:r>
    </w:p>
    <w:p>
      <w:pPr>
        <w:autoSpaceDE w:val="0"/>
        <w:autoSpaceDN w:val="0"/>
        <w:adjustRightInd w:val="0"/>
        <w:spacing w:line="200" w:lineRule="exact"/>
        <w:jc w:val="left"/>
        <w:rPr>
          <w:rFonts w:cs="微软雅黑"/>
          <w:kern w:val="0"/>
          <w:sz w:val="20"/>
          <w:szCs w:val="20"/>
        </w:rPr>
      </w:pPr>
    </w:p>
    <w:p>
      <w:pPr>
        <w:spacing w:after="120" w:afterLines="50" w:line="440" w:lineRule="exact"/>
        <w:rPr>
          <w:rFonts w:cs="Calibri"/>
          <w:szCs w:val="21"/>
          <w:u w:val="single"/>
        </w:rPr>
      </w:pPr>
      <w:r>
        <w:rPr>
          <w:rFonts w:cs="Calibri"/>
          <w:szCs w:val="21"/>
        </w:rPr>
        <w:t>投标人名称：</w:t>
      </w:r>
      <w:r>
        <w:rPr>
          <w:rFonts w:cs="Calibri"/>
          <w:szCs w:val="21"/>
          <w:u w:val="single"/>
        </w:rPr>
        <w:t xml:space="preserve">                                  </w:t>
      </w:r>
    </w:p>
    <w:p>
      <w:pPr>
        <w:spacing w:after="120" w:afterLines="50" w:line="440" w:lineRule="exact"/>
        <w:rPr>
          <w:rFonts w:cs="Calibri"/>
          <w:szCs w:val="21"/>
          <w:u w:val="single"/>
        </w:rPr>
      </w:pPr>
      <w:r>
        <w:rPr>
          <w:rFonts w:cs="Calibri"/>
          <w:szCs w:val="21"/>
        </w:rPr>
        <w:t>单位性质：</w:t>
      </w:r>
      <w:r>
        <w:rPr>
          <w:rFonts w:cs="Calibri"/>
          <w:szCs w:val="21"/>
          <w:u w:val="single"/>
        </w:rPr>
        <w:t xml:space="preserve">                                    </w:t>
      </w:r>
    </w:p>
    <w:p>
      <w:pPr>
        <w:spacing w:after="120" w:afterLines="50" w:line="440" w:lineRule="exact"/>
        <w:rPr>
          <w:rFonts w:cs="Calibri"/>
          <w:szCs w:val="21"/>
          <w:u w:val="single"/>
        </w:rPr>
      </w:pPr>
      <w:r>
        <w:rPr>
          <w:rFonts w:cs="Calibri"/>
          <w:szCs w:val="21"/>
        </w:rPr>
        <w:t>地址：</w:t>
      </w:r>
      <w:r>
        <w:rPr>
          <w:rFonts w:cs="Calibri"/>
          <w:szCs w:val="21"/>
          <w:u w:val="single"/>
        </w:rPr>
        <w:t xml:space="preserve">                                        </w:t>
      </w:r>
    </w:p>
    <w:p>
      <w:pPr>
        <w:spacing w:after="120" w:afterLines="50" w:line="440" w:lineRule="exact"/>
        <w:rPr>
          <w:rFonts w:cs="Calibri"/>
          <w:szCs w:val="21"/>
          <w:u w:val="single"/>
        </w:rPr>
      </w:pPr>
      <w:r>
        <w:rPr>
          <w:rFonts w:cs="Calibri"/>
          <w:szCs w:val="21"/>
        </w:rPr>
        <w:t>成立时间：</w:t>
      </w:r>
      <w:r>
        <w:rPr>
          <w:rFonts w:cs="Calibri"/>
          <w:szCs w:val="21"/>
          <w:u w:val="single"/>
        </w:rPr>
        <w:t xml:space="preserve">          </w:t>
      </w:r>
      <w:r>
        <w:rPr>
          <w:rFonts w:cs="Calibri"/>
          <w:szCs w:val="21"/>
        </w:rPr>
        <w:t>年</w:t>
      </w:r>
      <w:r>
        <w:rPr>
          <w:rFonts w:cs="Calibri"/>
          <w:szCs w:val="21"/>
          <w:u w:val="single"/>
        </w:rPr>
        <w:t xml:space="preserve">           </w:t>
      </w:r>
      <w:r>
        <w:rPr>
          <w:rFonts w:cs="Calibri"/>
          <w:szCs w:val="21"/>
        </w:rPr>
        <w:t>月</w:t>
      </w:r>
      <w:r>
        <w:rPr>
          <w:rFonts w:cs="Calibri"/>
          <w:szCs w:val="21"/>
          <w:u w:val="single"/>
        </w:rPr>
        <w:t xml:space="preserve">           </w:t>
      </w:r>
      <w:r>
        <w:rPr>
          <w:rFonts w:cs="Calibri"/>
          <w:szCs w:val="21"/>
        </w:rPr>
        <w:t>日</w:t>
      </w:r>
    </w:p>
    <w:p>
      <w:pPr>
        <w:spacing w:after="120" w:afterLines="50" w:line="440" w:lineRule="exact"/>
        <w:rPr>
          <w:rFonts w:cs="Calibri"/>
          <w:szCs w:val="21"/>
          <w:u w:val="single"/>
        </w:rPr>
      </w:pPr>
      <w:r>
        <w:rPr>
          <w:rFonts w:cs="Calibri"/>
          <w:szCs w:val="21"/>
        </w:rPr>
        <w:t>经营期限：</w:t>
      </w:r>
      <w:r>
        <w:rPr>
          <w:rFonts w:cs="Calibri"/>
          <w:szCs w:val="21"/>
          <w:u w:val="single"/>
        </w:rPr>
        <w:t xml:space="preserve">                                     </w:t>
      </w:r>
    </w:p>
    <w:p>
      <w:pPr>
        <w:spacing w:after="120" w:afterLines="50" w:line="440" w:lineRule="exact"/>
        <w:rPr>
          <w:rFonts w:cs="Calibri"/>
          <w:szCs w:val="21"/>
          <w:u w:val="single"/>
        </w:rPr>
      </w:pPr>
      <w:r>
        <w:rPr>
          <w:rFonts w:cs="Calibri"/>
          <w:szCs w:val="21"/>
        </w:rPr>
        <w:t>姓名：</w:t>
      </w:r>
      <w:r>
        <w:rPr>
          <w:rFonts w:cs="Calibri"/>
          <w:szCs w:val="21"/>
          <w:u w:val="single"/>
        </w:rPr>
        <w:t xml:space="preserve">         </w:t>
      </w:r>
      <w:r>
        <w:rPr>
          <w:rFonts w:cs="Calibri"/>
          <w:szCs w:val="21"/>
        </w:rPr>
        <w:t xml:space="preserve">  性别：</w:t>
      </w:r>
      <w:r>
        <w:rPr>
          <w:rFonts w:cs="Calibri"/>
          <w:szCs w:val="21"/>
          <w:u w:val="single"/>
        </w:rPr>
        <w:t xml:space="preserve">         </w:t>
      </w:r>
      <w:r>
        <w:rPr>
          <w:rFonts w:cs="Calibri"/>
          <w:szCs w:val="21"/>
        </w:rPr>
        <w:t xml:space="preserve">  年龄：</w:t>
      </w:r>
      <w:r>
        <w:rPr>
          <w:rFonts w:cs="Calibri"/>
          <w:szCs w:val="21"/>
          <w:u w:val="single"/>
        </w:rPr>
        <w:t xml:space="preserve">         </w:t>
      </w:r>
      <w:r>
        <w:rPr>
          <w:rFonts w:cs="Calibri"/>
          <w:szCs w:val="21"/>
        </w:rPr>
        <w:t xml:space="preserve">  职务：</w:t>
      </w:r>
      <w:r>
        <w:rPr>
          <w:rFonts w:cs="Calibri"/>
          <w:szCs w:val="21"/>
          <w:u w:val="single"/>
        </w:rPr>
        <w:t xml:space="preserve">         </w:t>
      </w:r>
      <w:r>
        <w:rPr>
          <w:rFonts w:cs="Calibri"/>
          <w:szCs w:val="21"/>
        </w:rPr>
        <w:t xml:space="preserve">  </w:t>
      </w:r>
    </w:p>
    <w:p>
      <w:pPr>
        <w:spacing w:after="120" w:afterLines="50" w:line="440" w:lineRule="exact"/>
        <w:rPr>
          <w:rFonts w:cs="Calibri"/>
          <w:szCs w:val="21"/>
          <w:u w:val="single"/>
        </w:rPr>
      </w:pPr>
      <w:r>
        <w:rPr>
          <w:rFonts w:cs="Calibri"/>
          <w:szCs w:val="21"/>
        </w:rPr>
        <w:t>身份证号码：</w:t>
      </w:r>
      <w:r>
        <w:rPr>
          <w:rFonts w:cs="Calibri"/>
          <w:szCs w:val="21"/>
          <w:u w:val="single"/>
        </w:rPr>
        <w:t xml:space="preserve">                           </w:t>
      </w:r>
    </w:p>
    <w:p>
      <w:pPr>
        <w:spacing w:line="440" w:lineRule="exact"/>
        <w:ind w:firstLine="560"/>
        <w:rPr>
          <w:rFonts w:cs="Calibri"/>
          <w:szCs w:val="21"/>
        </w:rPr>
      </w:pPr>
    </w:p>
    <w:p>
      <w:pPr>
        <w:spacing w:line="440" w:lineRule="exact"/>
        <w:rPr>
          <w:rFonts w:cs="Calibri"/>
          <w:szCs w:val="21"/>
        </w:rPr>
      </w:pPr>
      <w:r>
        <w:rPr>
          <w:rFonts w:cs="Calibri"/>
          <w:szCs w:val="21"/>
        </w:rPr>
        <w:t xml:space="preserve">    系</w:t>
      </w:r>
      <w:r>
        <w:rPr>
          <w:rFonts w:cs="Calibri"/>
          <w:szCs w:val="21"/>
          <w:u w:val="single"/>
        </w:rPr>
        <w:t xml:space="preserve">                          </w:t>
      </w:r>
      <w:r>
        <w:rPr>
          <w:rFonts w:cs="Calibri"/>
          <w:szCs w:val="21"/>
        </w:rPr>
        <w:t>(投标人名称)的法定代表人。</w:t>
      </w:r>
    </w:p>
    <w:p>
      <w:pPr>
        <w:spacing w:line="440" w:lineRule="exact"/>
        <w:ind w:firstLine="560"/>
        <w:rPr>
          <w:rFonts w:cs="Calibri"/>
          <w:szCs w:val="21"/>
        </w:rPr>
      </w:pPr>
    </w:p>
    <w:p>
      <w:pPr>
        <w:spacing w:line="440" w:lineRule="exact"/>
        <w:rPr>
          <w:rFonts w:cs="Calibri"/>
          <w:szCs w:val="21"/>
        </w:rPr>
      </w:pPr>
      <w:r>
        <w:rPr>
          <w:rFonts w:cs="Calibri"/>
          <w:szCs w:val="21"/>
        </w:rPr>
        <w:t>特此证明。</w:t>
      </w:r>
    </w:p>
    <w:p>
      <w:pPr>
        <w:spacing w:line="440" w:lineRule="exact"/>
        <w:rPr>
          <w:rFonts w:cs="Calibri"/>
          <w:szCs w:val="21"/>
        </w:rPr>
      </w:pPr>
      <w:r>
        <w:rPr>
          <w:rFonts w:cs="Calibri"/>
          <w:szCs w:val="21"/>
        </w:rPr>
        <w:t xml:space="preserve">投标人：(盖单位章) </w:t>
      </w:r>
    </w:p>
    <w:p>
      <w:pPr>
        <w:spacing w:line="440" w:lineRule="exact"/>
        <w:ind w:firstLine="6240" w:firstLineChars="2960"/>
        <w:rPr>
          <w:rFonts w:cs="Calibri"/>
          <w:b/>
          <w:szCs w:val="21"/>
        </w:rPr>
      </w:pPr>
      <w:r>
        <w:rPr>
          <w:rFonts w:cs="Calibri"/>
          <w:b/>
          <w:szCs w:val="21"/>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396240</wp:posOffset>
                </wp:positionV>
                <wp:extent cx="5372100" cy="2179320"/>
                <wp:effectExtent l="5080" t="4445" r="13970" b="6985"/>
                <wp:wrapSquare wrapText="bothSides"/>
                <wp:docPr id="5" name="文本框 3"/>
                <wp:cNvGraphicFramePr/>
                <a:graphic xmlns:a="http://schemas.openxmlformats.org/drawingml/2006/main">
                  <a:graphicData uri="http://schemas.microsoft.com/office/word/2010/wordprocessingShape">
                    <wps:wsp>
                      <wps:cNvSpPr txBox="1">
                        <a:spLocks noChangeArrowheads="1"/>
                      </wps:cNvSpPr>
                      <wps:spPr bwMode="auto">
                        <a:xfrm>
                          <a:off x="0" y="0"/>
                          <a:ext cx="5372100" cy="2179320"/>
                        </a:xfrm>
                        <a:prstGeom prst="rect">
                          <a:avLst/>
                        </a:prstGeom>
                        <a:solidFill>
                          <a:srgbClr val="FFFFFF"/>
                        </a:solidFill>
                        <a:ln w="9525">
                          <a:solidFill>
                            <a:srgbClr val="000000"/>
                          </a:solidFill>
                          <a:miter lim="800000"/>
                        </a:ln>
                        <a:effectLst/>
                      </wps:spPr>
                      <wps:txbx>
                        <w:txbxContent>
                          <w:p>
                            <w:pPr>
                              <w:jc w:val="center"/>
                              <w:rPr>
                                <w:sz w:val="30"/>
                                <w:szCs w:val="30"/>
                              </w:rPr>
                            </w:pPr>
                          </w:p>
                          <w:p>
                            <w:pPr>
                              <w:jc w:val="center"/>
                              <w:rPr>
                                <w:sz w:val="30"/>
                                <w:szCs w:val="30"/>
                              </w:rPr>
                            </w:pPr>
                          </w:p>
                          <w:p>
                            <w:pPr>
                              <w:jc w:val="center"/>
                              <w:rPr>
                                <w:sz w:val="30"/>
                                <w:szCs w:val="30"/>
                              </w:rPr>
                            </w:pPr>
                          </w:p>
                          <w:p>
                            <w:pPr>
                              <w:jc w:val="center"/>
                              <w:rPr>
                                <w:sz w:val="30"/>
                                <w:szCs w:val="30"/>
                              </w:rPr>
                            </w:pPr>
                          </w:p>
                          <w:p>
                            <w:pPr>
                              <w:jc w:val="center"/>
                              <w:rPr>
                                <w:rFonts w:ascii="宋体" w:hAnsi="宋体"/>
                                <w:szCs w:val="21"/>
                              </w:rPr>
                            </w:pPr>
                            <w:r>
                              <w:rPr>
                                <w:rFonts w:ascii="宋体" w:hAnsi="宋体"/>
                                <w:szCs w:val="21"/>
                              </w:rPr>
                              <w:t>法定代表人</w:t>
                            </w:r>
                            <w:r>
                              <w:rPr>
                                <w:rFonts w:hint="eastAsia" w:ascii="宋体" w:hAnsi="宋体"/>
                                <w:szCs w:val="21"/>
                              </w:rPr>
                              <w:t>身份证复印件粘贴处(正、反面)</w:t>
                            </w:r>
                          </w:p>
                        </w:txbxContent>
                      </wps:txbx>
                      <wps:bodyPr rot="0" vert="horz" wrap="square" lIns="91440" tIns="45720" rIns="91440" bIns="45720" anchor="t" anchorCtr="0" upright="1">
                        <a:noAutofit/>
                      </wps:bodyPr>
                    </wps:wsp>
                  </a:graphicData>
                </a:graphic>
              </wp:anchor>
            </w:drawing>
          </mc:Choice>
          <mc:Fallback>
            <w:pict>
              <v:shape id="文本框 3" o:spid="_x0000_s1026" o:spt="202" type="#_x0000_t202" style="position:absolute;left:0pt;margin-left:0pt;margin-top:31.2pt;height:171.6pt;width:423pt;mso-wrap-distance-bottom:0pt;mso-wrap-distance-left:9pt;mso-wrap-distance-right:9pt;mso-wrap-distance-top:0pt;z-index:251657216;mso-width-relative:page;mso-height-relative:page;" fillcolor="#FFFFFF" filled="t" stroked="t" coordsize="21600,21600" o:gfxdata="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BqfK7TXAAAABwEAAA8AAAAAAAAAAQAgAAAAIgAAAGRycy9kb3ducmV2LnhtbFBLAQIU&#10;ABQAAAAIAIdO4kB4wumPLQIAAEgEAAAOAAAAAAAAAAEAIAAAACYBAABkcnMvZTJvRG9jLnhtbFBL&#10;BQYAAAAABgAGAFkBAADFBQAAAAA=&#10;">
                <v:fill on="t" focussize="0,0"/>
                <v:stroke color="#000000" miterlimit="8" joinstyle="miter"/>
                <v:imagedata o:title=""/>
                <o:lock v:ext="edit" aspectratio="f"/>
                <v:textbox>
                  <w:txbxContent>
                    <w:p>
                      <w:pPr>
                        <w:jc w:val="center"/>
                        <w:rPr>
                          <w:sz w:val="30"/>
                          <w:szCs w:val="30"/>
                        </w:rPr>
                      </w:pPr>
                    </w:p>
                    <w:p>
                      <w:pPr>
                        <w:jc w:val="center"/>
                        <w:rPr>
                          <w:sz w:val="30"/>
                          <w:szCs w:val="30"/>
                        </w:rPr>
                      </w:pPr>
                    </w:p>
                    <w:p>
                      <w:pPr>
                        <w:jc w:val="center"/>
                        <w:rPr>
                          <w:sz w:val="30"/>
                          <w:szCs w:val="30"/>
                        </w:rPr>
                      </w:pPr>
                    </w:p>
                    <w:p>
                      <w:pPr>
                        <w:jc w:val="center"/>
                        <w:rPr>
                          <w:sz w:val="30"/>
                          <w:szCs w:val="30"/>
                        </w:rPr>
                      </w:pPr>
                    </w:p>
                    <w:p>
                      <w:pPr>
                        <w:jc w:val="center"/>
                        <w:rPr>
                          <w:rFonts w:ascii="宋体" w:hAnsi="宋体"/>
                          <w:szCs w:val="21"/>
                        </w:rPr>
                      </w:pPr>
                      <w:r>
                        <w:rPr>
                          <w:rFonts w:ascii="宋体" w:hAnsi="宋体"/>
                          <w:szCs w:val="21"/>
                        </w:rPr>
                        <w:t>法定代表人</w:t>
                      </w:r>
                      <w:r>
                        <w:rPr>
                          <w:rFonts w:hint="eastAsia" w:ascii="宋体" w:hAnsi="宋体"/>
                          <w:szCs w:val="21"/>
                        </w:rPr>
                        <w:t>身份证复印件粘贴处(正、反面)</w:t>
                      </w:r>
                    </w:p>
                  </w:txbxContent>
                </v:textbox>
                <w10:wrap type="square"/>
              </v:shape>
            </w:pict>
          </mc:Fallback>
        </mc:AlternateContent>
      </w:r>
      <w:r>
        <w:rPr>
          <w:rFonts w:cs="Calibri"/>
          <w:szCs w:val="21"/>
        </w:rPr>
        <w:t>日期：   年    月    日</w:t>
      </w:r>
    </w:p>
    <w:p>
      <w:pPr>
        <w:autoSpaceDE w:val="0"/>
        <w:autoSpaceDN w:val="0"/>
        <w:adjustRightInd w:val="0"/>
        <w:spacing w:line="360" w:lineRule="auto"/>
        <w:jc w:val="center"/>
        <w:rPr>
          <w:rFonts w:cs="微软雅黑"/>
          <w:b/>
          <w:kern w:val="0"/>
          <w:sz w:val="36"/>
          <w:szCs w:val="36"/>
        </w:rPr>
      </w:pPr>
      <w:r>
        <w:rPr>
          <w:rFonts w:cs="Calibri"/>
          <w:szCs w:val="21"/>
        </w:rPr>
        <w:br w:type="page"/>
      </w:r>
      <w:r>
        <w:rPr>
          <w:rFonts w:hint="eastAsia" w:ascii="宋体" w:hAnsi="宋体" w:cs="微软雅黑"/>
          <w:b/>
          <w:kern w:val="0"/>
          <w:sz w:val="36"/>
          <w:szCs w:val="36"/>
        </w:rPr>
        <w:t>二-2</w:t>
      </w:r>
      <w:r>
        <w:rPr>
          <w:rFonts w:cs="微软雅黑"/>
          <w:b/>
          <w:kern w:val="0"/>
          <w:sz w:val="36"/>
          <w:szCs w:val="36"/>
        </w:rPr>
        <w:t>、法定代表人授权委托书</w:t>
      </w:r>
    </w:p>
    <w:p>
      <w:pPr>
        <w:autoSpaceDE w:val="0"/>
        <w:autoSpaceDN w:val="0"/>
        <w:adjustRightInd w:val="0"/>
        <w:spacing w:line="360" w:lineRule="auto"/>
        <w:ind w:firstLine="480" w:firstLineChars="200"/>
        <w:jc w:val="left"/>
        <w:rPr>
          <w:rFonts w:cs="微软雅黑"/>
          <w:kern w:val="0"/>
          <w:sz w:val="24"/>
          <w:szCs w:val="24"/>
        </w:rPr>
      </w:pPr>
    </w:p>
    <w:p>
      <w:pPr>
        <w:spacing w:line="440" w:lineRule="exact"/>
        <w:ind w:firstLine="420" w:firstLineChars="200"/>
        <w:rPr>
          <w:rFonts w:cs="Calibri"/>
          <w:szCs w:val="21"/>
        </w:rPr>
      </w:pPr>
      <w:r>
        <w:rPr>
          <w:rFonts w:cs="Calibri"/>
          <w:szCs w:val="21"/>
        </w:rPr>
        <w:t>本人</w:t>
      </w:r>
      <w:r>
        <w:rPr>
          <w:rFonts w:cs="Calibri"/>
          <w:szCs w:val="21"/>
          <w:u w:val="single"/>
        </w:rPr>
        <w:t xml:space="preserve">        </w:t>
      </w:r>
      <w:r>
        <w:rPr>
          <w:rFonts w:cs="Calibri"/>
          <w:szCs w:val="21"/>
        </w:rPr>
        <w:t>(姓名)系</w:t>
      </w:r>
      <w:r>
        <w:rPr>
          <w:rFonts w:cs="Calibri"/>
          <w:szCs w:val="21"/>
          <w:u w:val="single"/>
        </w:rPr>
        <w:t xml:space="preserve">                </w:t>
      </w:r>
      <w:r>
        <w:rPr>
          <w:rFonts w:cs="Calibri"/>
          <w:szCs w:val="21"/>
        </w:rPr>
        <w:t>(投标人名称)的法定代表人，现委托</w:t>
      </w:r>
      <w:r>
        <w:rPr>
          <w:rFonts w:cs="Calibri"/>
          <w:szCs w:val="21"/>
          <w:u w:val="single"/>
        </w:rPr>
        <w:t xml:space="preserve">      </w:t>
      </w:r>
      <w:r>
        <w:rPr>
          <w:rFonts w:cs="Calibri"/>
          <w:szCs w:val="21"/>
        </w:rPr>
        <w:t>(姓名)为我方代理人。代理人根据授权，以我方名义签署、澄清、说明、补正、递交、撤回、修改</w:t>
      </w:r>
      <w:r>
        <w:rPr>
          <w:rFonts w:cs="Calibri"/>
          <w:szCs w:val="21"/>
          <w:u w:val="single"/>
        </w:rPr>
        <w:t xml:space="preserve">              </w:t>
      </w:r>
      <w:r>
        <w:rPr>
          <w:rFonts w:cs="Calibri"/>
          <w:szCs w:val="21"/>
        </w:rPr>
        <w:t>(项目名称)投标文件、签订合同和处理有关事宜，其法律后果由我方承担。</w:t>
      </w:r>
    </w:p>
    <w:p>
      <w:pPr>
        <w:spacing w:line="440" w:lineRule="exact"/>
        <w:ind w:firstLine="420" w:firstLineChars="200"/>
        <w:rPr>
          <w:rFonts w:cs="Calibri"/>
          <w:szCs w:val="21"/>
        </w:rPr>
      </w:pPr>
      <w:r>
        <w:rPr>
          <w:rFonts w:cs="Calibri"/>
          <w:szCs w:val="21"/>
        </w:rPr>
        <w:t>代理人无转委托权。</w:t>
      </w:r>
    </w:p>
    <w:p>
      <w:pPr>
        <w:spacing w:line="440" w:lineRule="exact"/>
        <w:ind w:firstLine="420" w:firstLineChars="200"/>
        <w:rPr>
          <w:rFonts w:cs="Calibri"/>
          <w:szCs w:val="21"/>
        </w:rPr>
      </w:pPr>
      <w:r>
        <w:rPr>
          <w:rFonts w:cs="Calibri"/>
          <w:szCs w:val="21"/>
        </w:rPr>
        <w:t>附：委托代理人身份证复制件。</w:t>
      </w:r>
    </w:p>
    <w:p>
      <w:pPr>
        <w:spacing w:line="440" w:lineRule="exact"/>
        <w:rPr>
          <w:rFonts w:cs="Calibri"/>
          <w:szCs w:val="21"/>
        </w:rPr>
      </w:pPr>
    </w:p>
    <w:p>
      <w:pPr>
        <w:spacing w:line="440" w:lineRule="exact"/>
        <w:rPr>
          <w:rFonts w:cs="Calibri"/>
          <w:szCs w:val="21"/>
        </w:rPr>
      </w:pPr>
      <w:r>
        <w:rPr>
          <w:rFonts w:cs="Calibri"/>
          <w:szCs w:val="21"/>
        </w:rPr>
        <w:t>投标人：(盖单位章)</w:t>
      </w:r>
    </w:p>
    <w:p>
      <w:pPr>
        <w:spacing w:line="440" w:lineRule="exact"/>
        <w:rPr>
          <w:rFonts w:cs="Calibri"/>
          <w:szCs w:val="21"/>
        </w:rPr>
      </w:pPr>
      <w:r>
        <w:rPr>
          <w:rFonts w:cs="Calibri"/>
          <w:szCs w:val="21"/>
        </w:rPr>
        <w:t>法定代表人：(签字或盖章)</w:t>
      </w:r>
    </w:p>
    <w:p>
      <w:pPr>
        <w:spacing w:line="440" w:lineRule="exact"/>
        <w:rPr>
          <w:rFonts w:cs="Calibri"/>
          <w:szCs w:val="21"/>
        </w:rPr>
      </w:pPr>
      <w:r>
        <w:rPr>
          <w:rFonts w:cs="Calibri"/>
          <w:szCs w:val="21"/>
        </w:rPr>
        <w:t>身份证号码：</w:t>
      </w:r>
    </w:p>
    <w:p>
      <w:pPr>
        <w:spacing w:line="440" w:lineRule="exact"/>
        <w:rPr>
          <w:rFonts w:cs="Calibri"/>
          <w:szCs w:val="21"/>
        </w:rPr>
      </w:pPr>
    </w:p>
    <w:p>
      <w:pPr>
        <w:tabs>
          <w:tab w:val="left" w:pos="6818"/>
        </w:tabs>
        <w:spacing w:line="440" w:lineRule="exact"/>
        <w:rPr>
          <w:rFonts w:cs="Calibri"/>
          <w:szCs w:val="21"/>
        </w:rPr>
      </w:pPr>
      <w:r>
        <w:rPr>
          <w:rFonts w:cs="Calibri"/>
          <w:szCs w:val="21"/>
        </w:rPr>
        <w:t>委托的代理人：(签字或盖章)</w:t>
      </w:r>
      <w:r>
        <w:rPr>
          <w:rFonts w:cs="Calibri"/>
          <w:szCs w:val="21"/>
        </w:rPr>
        <w:tab/>
      </w:r>
    </w:p>
    <w:p>
      <w:pPr>
        <w:spacing w:line="440" w:lineRule="exact"/>
        <w:rPr>
          <w:rFonts w:cs="Calibri"/>
          <w:szCs w:val="21"/>
        </w:rPr>
      </w:pPr>
      <w:r>
        <w:rPr>
          <w:rFonts w:cs="Calibri"/>
          <w:szCs w:val="21"/>
        </w:rPr>
        <w:t>身份证号码：</w:t>
      </w:r>
    </w:p>
    <w:p>
      <w:pPr>
        <w:spacing w:line="440" w:lineRule="exact"/>
        <w:rPr>
          <w:rFonts w:cs="Calibri"/>
          <w:szCs w:val="21"/>
        </w:rPr>
      </w:pPr>
      <w:r>
        <w:rPr>
          <w:rFonts w:hint="eastAsia" w:cs="Calibri"/>
          <w:szCs w:val="21"/>
        </w:rPr>
        <w:t>手机号码：</w:t>
      </w:r>
    </w:p>
    <w:p>
      <w:pPr>
        <w:spacing w:line="440" w:lineRule="exact"/>
        <w:rPr>
          <w:rFonts w:cs="Calibri"/>
          <w:szCs w:val="21"/>
        </w:rPr>
      </w:pPr>
      <w:r>
        <w:rPr>
          <w:rFonts w:hint="eastAsia" w:cs="Calibri"/>
          <w:szCs w:val="21"/>
        </w:rPr>
        <w:t>电子邮箱：</w:t>
      </w:r>
    </w:p>
    <w:p>
      <w:pPr>
        <w:spacing w:line="440" w:lineRule="exact"/>
        <w:ind w:firstLine="4515" w:firstLineChars="2150"/>
        <w:rPr>
          <w:rFonts w:cs="Calibri"/>
          <w:szCs w:val="21"/>
        </w:rPr>
      </w:pPr>
      <w:r>
        <w:rPr>
          <w:rFonts w:cs="Calibri"/>
          <w:szCs w:val="21"/>
        </w:rPr>
        <w:t>日期：</w:t>
      </w:r>
      <w:r>
        <w:rPr>
          <w:rFonts w:cs="Calibri"/>
          <w:szCs w:val="21"/>
          <w:u w:val="single"/>
        </w:rPr>
        <w:t xml:space="preserve">      </w:t>
      </w:r>
      <w:r>
        <w:rPr>
          <w:rFonts w:cs="Calibri"/>
          <w:szCs w:val="21"/>
        </w:rPr>
        <w:t>年</w:t>
      </w:r>
      <w:r>
        <w:rPr>
          <w:rFonts w:cs="Calibri"/>
          <w:szCs w:val="21"/>
          <w:u w:val="single"/>
        </w:rPr>
        <w:t xml:space="preserve">      </w:t>
      </w:r>
      <w:r>
        <w:rPr>
          <w:rFonts w:cs="Calibri"/>
          <w:szCs w:val="21"/>
        </w:rPr>
        <w:t>月</w:t>
      </w:r>
      <w:r>
        <w:rPr>
          <w:rFonts w:cs="Calibri"/>
          <w:szCs w:val="21"/>
          <w:u w:val="single"/>
        </w:rPr>
        <w:t xml:space="preserve">      </w:t>
      </w:r>
      <w:r>
        <w:rPr>
          <w:rFonts w:cs="Calibri"/>
          <w:szCs w:val="21"/>
        </w:rPr>
        <w:t>日</w:t>
      </w:r>
    </w:p>
    <w:p>
      <w:pPr>
        <w:snapToGrid w:val="0"/>
        <w:spacing w:line="440" w:lineRule="exact"/>
        <w:rPr>
          <w:rFonts w:cs="Calibri"/>
          <w:szCs w:val="21"/>
        </w:rPr>
      </w:pPr>
      <w:r>
        <w:rPr>
          <w:rFonts w:cs="Calibri"/>
          <w:b/>
          <w:szCs w:val="21"/>
        </w:rPr>
        <mc:AlternateContent>
          <mc:Choice Requires="wps">
            <w:drawing>
              <wp:anchor distT="0" distB="0" distL="114300" distR="114300" simplePos="0" relativeHeight="251658240" behindDoc="0" locked="0" layoutInCell="1" allowOverlap="1">
                <wp:simplePos x="0" y="0"/>
                <wp:positionH relativeFrom="column">
                  <wp:posOffset>116205</wp:posOffset>
                </wp:positionH>
                <wp:positionV relativeFrom="paragraph">
                  <wp:posOffset>264160</wp:posOffset>
                </wp:positionV>
                <wp:extent cx="5372100" cy="2179320"/>
                <wp:effectExtent l="5080" t="4445" r="13970" b="6985"/>
                <wp:wrapSquare wrapText="bothSides"/>
                <wp:docPr id="6" name="文本框 5"/>
                <wp:cNvGraphicFramePr/>
                <a:graphic xmlns:a="http://schemas.openxmlformats.org/drawingml/2006/main">
                  <a:graphicData uri="http://schemas.microsoft.com/office/word/2010/wordprocessingShape">
                    <wps:wsp>
                      <wps:cNvSpPr txBox="1">
                        <a:spLocks noChangeArrowheads="1"/>
                      </wps:cNvSpPr>
                      <wps:spPr bwMode="auto">
                        <a:xfrm>
                          <a:off x="0" y="0"/>
                          <a:ext cx="5372100" cy="2179320"/>
                        </a:xfrm>
                        <a:prstGeom prst="rect">
                          <a:avLst/>
                        </a:prstGeom>
                        <a:solidFill>
                          <a:srgbClr val="FFFFFF"/>
                        </a:solidFill>
                        <a:ln w="9525">
                          <a:solidFill>
                            <a:srgbClr val="000000"/>
                          </a:solidFill>
                          <a:miter lim="800000"/>
                        </a:ln>
                        <a:effectLst/>
                      </wps:spPr>
                      <wps:txbx>
                        <w:txbxContent>
                          <w:p>
                            <w:pPr>
                              <w:jc w:val="center"/>
                              <w:rPr>
                                <w:sz w:val="30"/>
                                <w:szCs w:val="30"/>
                              </w:rPr>
                            </w:pPr>
                          </w:p>
                          <w:p>
                            <w:pPr>
                              <w:jc w:val="center"/>
                              <w:rPr>
                                <w:sz w:val="30"/>
                                <w:szCs w:val="30"/>
                              </w:rPr>
                            </w:pPr>
                          </w:p>
                          <w:p>
                            <w:pPr>
                              <w:jc w:val="center"/>
                              <w:rPr>
                                <w:sz w:val="30"/>
                                <w:szCs w:val="30"/>
                              </w:rPr>
                            </w:pPr>
                          </w:p>
                          <w:p>
                            <w:pPr>
                              <w:jc w:val="center"/>
                              <w:rPr>
                                <w:sz w:val="30"/>
                                <w:szCs w:val="30"/>
                              </w:rPr>
                            </w:pPr>
                          </w:p>
                          <w:p>
                            <w:pPr>
                              <w:jc w:val="center"/>
                              <w:rPr>
                                <w:rFonts w:ascii="宋体" w:hAnsi="宋体"/>
                                <w:sz w:val="28"/>
                                <w:szCs w:val="28"/>
                              </w:rPr>
                            </w:pPr>
                            <w:r>
                              <w:rPr>
                                <w:rFonts w:hint="eastAsia" w:ascii="宋体" w:hAnsi="宋体"/>
                                <w:szCs w:val="21"/>
                              </w:rPr>
                              <w:t>委托代理人身份证复印件粘贴处(正、反面)</w:t>
                            </w:r>
                          </w:p>
                        </w:txbxContent>
                      </wps:txbx>
                      <wps:bodyPr rot="0" vert="horz" wrap="square" lIns="91440" tIns="45720" rIns="91440" bIns="45720" anchor="t" anchorCtr="0" upright="1">
                        <a:noAutofit/>
                      </wps:bodyPr>
                    </wps:wsp>
                  </a:graphicData>
                </a:graphic>
              </wp:anchor>
            </w:drawing>
          </mc:Choice>
          <mc:Fallback>
            <w:pict>
              <v:shape id="文本框 5" o:spid="_x0000_s1026" o:spt="202" type="#_x0000_t202" style="position:absolute;left:0pt;margin-left:9.15pt;margin-top:20.8pt;height:171.6pt;width:423pt;mso-wrap-distance-bottom:0pt;mso-wrap-distance-left:9pt;mso-wrap-distance-right:9pt;mso-wrap-distance-top:0pt;z-index:251658240;mso-width-relative:page;mso-height-relative:page;" fillcolor="#FFFFFF" filled="t" stroked="t" coordsize="21600,21600" o:gfxdata="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OpPesHXAAAACQEAAA8AAAAAAAAAAQAgAAAAIgAAAGRycy9kb3ducmV2LnhtbFBLAQIU&#10;ABQAAAAIAIdO4kDo3+NlLQIAAEgEAAAOAAAAAAAAAAEAIAAAACYBAABkcnMvZTJvRG9jLnhtbFBL&#10;BQYAAAAABgAGAFkBAADFBQAAAAA=&#10;">
                <v:fill on="t" focussize="0,0"/>
                <v:stroke color="#000000" miterlimit="8" joinstyle="miter"/>
                <v:imagedata o:title=""/>
                <o:lock v:ext="edit" aspectratio="f"/>
                <v:textbox>
                  <w:txbxContent>
                    <w:p>
                      <w:pPr>
                        <w:jc w:val="center"/>
                        <w:rPr>
                          <w:sz w:val="30"/>
                          <w:szCs w:val="30"/>
                        </w:rPr>
                      </w:pPr>
                    </w:p>
                    <w:p>
                      <w:pPr>
                        <w:jc w:val="center"/>
                        <w:rPr>
                          <w:sz w:val="30"/>
                          <w:szCs w:val="30"/>
                        </w:rPr>
                      </w:pPr>
                    </w:p>
                    <w:p>
                      <w:pPr>
                        <w:jc w:val="center"/>
                        <w:rPr>
                          <w:sz w:val="30"/>
                          <w:szCs w:val="30"/>
                        </w:rPr>
                      </w:pPr>
                    </w:p>
                    <w:p>
                      <w:pPr>
                        <w:jc w:val="center"/>
                        <w:rPr>
                          <w:sz w:val="30"/>
                          <w:szCs w:val="30"/>
                        </w:rPr>
                      </w:pPr>
                    </w:p>
                    <w:p>
                      <w:pPr>
                        <w:jc w:val="center"/>
                        <w:rPr>
                          <w:rFonts w:ascii="宋体" w:hAnsi="宋体"/>
                          <w:sz w:val="28"/>
                          <w:szCs w:val="28"/>
                        </w:rPr>
                      </w:pPr>
                      <w:r>
                        <w:rPr>
                          <w:rFonts w:hint="eastAsia" w:ascii="宋体" w:hAnsi="宋体"/>
                          <w:szCs w:val="21"/>
                        </w:rPr>
                        <w:t>委托代理人身份证复印件粘贴处(正、反面)</w:t>
                      </w:r>
                    </w:p>
                  </w:txbxContent>
                </v:textbox>
                <w10:wrap type="square"/>
              </v:shape>
            </w:pict>
          </mc:Fallback>
        </mc:AlternateContent>
      </w:r>
      <w:r>
        <w:rPr>
          <w:rFonts w:cs="Calibri"/>
          <w:szCs w:val="21"/>
        </w:rPr>
        <w:t xml:space="preserve">                                  </w:t>
      </w:r>
    </w:p>
    <w:p>
      <w:pPr>
        <w:spacing w:line="440" w:lineRule="exact"/>
        <w:rPr>
          <w:rFonts w:cs="Calibri"/>
          <w:b/>
          <w:bCs/>
          <w:szCs w:val="21"/>
        </w:rPr>
      </w:pPr>
      <w:r>
        <w:rPr>
          <w:rFonts w:cs="Calibri"/>
          <w:b/>
          <w:bCs/>
          <w:szCs w:val="21"/>
        </w:rPr>
        <w:t xml:space="preserve">  </w:t>
      </w:r>
    </w:p>
    <w:p>
      <w:pPr>
        <w:spacing w:line="440" w:lineRule="exact"/>
        <w:rPr>
          <w:rFonts w:cs="Calibri"/>
          <w:b/>
          <w:bCs/>
          <w:szCs w:val="21"/>
        </w:rPr>
      </w:pPr>
    </w:p>
    <w:p>
      <w:pPr>
        <w:spacing w:line="440" w:lineRule="exact"/>
        <w:rPr>
          <w:rFonts w:cs="Calibri"/>
          <w:szCs w:val="21"/>
        </w:rPr>
      </w:pPr>
    </w:p>
    <w:p>
      <w:pPr>
        <w:spacing w:line="440" w:lineRule="exact"/>
        <w:rPr>
          <w:rFonts w:cs="Calibri"/>
          <w:szCs w:val="21"/>
        </w:rPr>
      </w:pPr>
    </w:p>
    <w:p>
      <w:pPr>
        <w:spacing w:line="440" w:lineRule="exact"/>
        <w:rPr>
          <w:rFonts w:cs="Calibri"/>
          <w:szCs w:val="21"/>
        </w:rPr>
      </w:pPr>
    </w:p>
    <w:p>
      <w:pPr>
        <w:spacing w:line="440" w:lineRule="exact"/>
        <w:rPr>
          <w:rFonts w:cs="Calibri"/>
          <w:szCs w:val="21"/>
        </w:rPr>
      </w:pPr>
    </w:p>
    <w:p>
      <w:pPr>
        <w:spacing w:line="440" w:lineRule="exact"/>
        <w:rPr>
          <w:rFonts w:cs="Calibri"/>
          <w:szCs w:val="21"/>
        </w:rPr>
      </w:pPr>
    </w:p>
    <w:p>
      <w:pPr>
        <w:spacing w:line="440" w:lineRule="exact"/>
        <w:rPr>
          <w:rFonts w:cs="Calibri"/>
          <w:szCs w:val="21"/>
        </w:rPr>
      </w:pPr>
    </w:p>
    <w:p>
      <w:pPr>
        <w:spacing w:line="440" w:lineRule="exact"/>
        <w:rPr>
          <w:rFonts w:cs="Calibri"/>
          <w:szCs w:val="21"/>
        </w:rPr>
      </w:pPr>
    </w:p>
    <w:p>
      <w:pPr>
        <w:tabs>
          <w:tab w:val="left" w:pos="2420"/>
          <w:tab w:val="left" w:pos="5580"/>
        </w:tabs>
        <w:autoSpaceDE w:val="0"/>
        <w:autoSpaceDN w:val="0"/>
        <w:adjustRightInd w:val="0"/>
        <w:spacing w:line="360" w:lineRule="auto"/>
        <w:ind w:right="-20" w:firstLine="420" w:firstLineChars="200"/>
        <w:jc w:val="left"/>
        <w:rPr>
          <w:rFonts w:cs="微软雅黑"/>
          <w:kern w:val="0"/>
          <w:sz w:val="24"/>
          <w:szCs w:val="24"/>
        </w:rPr>
      </w:pPr>
      <w:r>
        <w:rPr>
          <w:rFonts w:cs="Calibri"/>
          <w:szCs w:val="21"/>
        </w:rPr>
        <w:t>注：如投标文件由委托代理人签字或盖章的，投标文件必须附此授权委托书。</w:t>
      </w:r>
      <w:r>
        <w:rPr>
          <w:rFonts w:cs="Calibri"/>
          <w:b/>
          <w:bCs/>
          <w:szCs w:val="21"/>
        </w:rPr>
        <w:t xml:space="preserve">    </w:t>
      </w:r>
    </w:p>
    <w:p>
      <w:pPr>
        <w:tabs>
          <w:tab w:val="left" w:pos="6640"/>
          <w:tab w:val="left" w:pos="7580"/>
          <w:tab w:val="left" w:pos="8520"/>
        </w:tabs>
        <w:autoSpaceDE w:val="0"/>
        <w:autoSpaceDN w:val="0"/>
        <w:adjustRightInd w:val="0"/>
        <w:spacing w:line="360" w:lineRule="auto"/>
        <w:ind w:left="5907" w:right="-20" w:firstLine="480" w:firstLineChars="200"/>
        <w:jc w:val="left"/>
        <w:rPr>
          <w:rFonts w:cs="微软雅黑"/>
          <w:kern w:val="0"/>
          <w:sz w:val="24"/>
          <w:szCs w:val="21"/>
        </w:rPr>
        <w:sectPr>
          <w:pgSz w:w="11907" w:h="16840"/>
          <w:pgMar w:top="1134" w:right="1134" w:bottom="1134" w:left="1134" w:header="567" w:footer="567" w:gutter="0"/>
          <w:cols w:space="720" w:num="1"/>
        </w:sectPr>
      </w:pPr>
    </w:p>
    <w:p>
      <w:pPr>
        <w:spacing w:line="360" w:lineRule="auto"/>
        <w:rPr>
          <w:rFonts w:cs="微软雅黑"/>
          <w:b/>
          <w:kern w:val="0"/>
          <w:sz w:val="36"/>
          <w:szCs w:val="36"/>
        </w:rPr>
      </w:pPr>
      <w:r>
        <w:rPr>
          <w:rFonts w:hint="eastAsia" w:cs="微软雅黑"/>
          <w:b/>
          <w:kern w:val="0"/>
          <w:sz w:val="36"/>
          <w:szCs w:val="36"/>
        </w:rPr>
        <w:t xml:space="preserve">                三、已标价工程量清单</w:t>
      </w:r>
    </w:p>
    <w:p>
      <w:pPr>
        <w:autoSpaceDE w:val="0"/>
        <w:autoSpaceDN w:val="0"/>
        <w:adjustRightInd w:val="0"/>
        <w:snapToGrid w:val="0"/>
        <w:spacing w:line="360" w:lineRule="auto"/>
        <w:ind w:firstLine="420" w:firstLineChars="200"/>
        <w:rPr>
          <w:rFonts w:ascii="宋体" w:hAnsi="宋体" w:cs="Arial"/>
          <w:kern w:val="0"/>
          <w:szCs w:val="21"/>
        </w:rPr>
      </w:pPr>
    </w:p>
    <w:p>
      <w:pPr>
        <w:pStyle w:val="2"/>
        <w:ind w:firstLine="643"/>
        <w:jc w:val="center"/>
        <w:rPr>
          <w:rFonts w:ascii="宋体" w:hAnsi="宋体" w:cs="宋体" w:eastAsiaTheme="minorEastAsia"/>
          <w:b/>
          <w:kern w:val="0"/>
          <w:sz w:val="32"/>
          <w:szCs w:val="32"/>
          <w:lang w:val="zh-CN"/>
        </w:rPr>
      </w:pPr>
      <w:r>
        <w:rPr>
          <w:rFonts w:ascii="宋体" w:hAnsi="宋体" w:cs="Arial"/>
          <w:b/>
          <w:bCs/>
          <w:kern w:val="0"/>
          <w:szCs w:val="21"/>
        </w:rPr>
        <w:br w:type="page"/>
      </w:r>
      <w:bookmarkStart w:id="29" w:name="_Hlk54024727"/>
      <w:r>
        <w:rPr>
          <w:rFonts w:hint="eastAsia" w:ascii="宋体" w:hAnsi="宋体" w:cs="宋体" w:eastAsiaTheme="minorEastAsia"/>
          <w:b/>
          <w:kern w:val="0"/>
          <w:sz w:val="32"/>
          <w:szCs w:val="32"/>
          <w:lang w:val="zh-CN"/>
        </w:rPr>
        <w:t>主要材料选用品牌一览表</w:t>
      </w:r>
    </w:p>
    <w:tbl>
      <w:tblPr>
        <w:tblStyle w:val="12"/>
        <w:tblpPr w:leftFromText="180" w:rightFromText="180" w:vertAnchor="text" w:horzAnchor="page" w:tblpX="1689" w:tblpY="299"/>
        <w:tblOverlap w:val="never"/>
        <w:tblW w:w="920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0"/>
        <w:gridCol w:w="3675"/>
        <w:gridCol w:w="2046"/>
        <w:gridCol w:w="23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96" w:hRule="atLeast"/>
          <w:tblHeader/>
        </w:trPr>
        <w:tc>
          <w:tcPr>
            <w:tcW w:w="1090" w:type="dxa"/>
            <w:vAlign w:val="center"/>
          </w:tcPr>
          <w:p>
            <w:pPr>
              <w:widowControl/>
              <w:snapToGrid w:val="0"/>
              <w:jc w:val="center"/>
              <w:rPr>
                <w:rFonts w:ascii="宋体" w:hAnsi="宋体" w:cs="宋体"/>
                <w:bCs/>
                <w:kern w:val="0"/>
                <w:sz w:val="22"/>
              </w:rPr>
            </w:pPr>
            <w:r>
              <w:rPr>
                <w:rFonts w:ascii="宋体" w:hAnsi="宋体" w:cs="宋体"/>
                <w:bCs/>
                <w:kern w:val="0"/>
                <w:sz w:val="22"/>
              </w:rPr>
              <w:t>序号</w:t>
            </w:r>
          </w:p>
        </w:tc>
        <w:tc>
          <w:tcPr>
            <w:tcW w:w="3675" w:type="dxa"/>
            <w:vAlign w:val="center"/>
          </w:tcPr>
          <w:p>
            <w:pPr>
              <w:widowControl/>
              <w:snapToGrid w:val="0"/>
              <w:jc w:val="center"/>
              <w:rPr>
                <w:rFonts w:ascii="宋体" w:hAnsi="宋体" w:cs="宋体"/>
                <w:bCs/>
                <w:kern w:val="0"/>
                <w:sz w:val="22"/>
              </w:rPr>
            </w:pPr>
            <w:r>
              <w:rPr>
                <w:rFonts w:ascii="宋体" w:hAnsi="宋体" w:cs="宋体"/>
                <w:bCs/>
                <w:kern w:val="0"/>
                <w:sz w:val="22"/>
              </w:rPr>
              <w:t>材料名称</w:t>
            </w:r>
          </w:p>
        </w:tc>
        <w:tc>
          <w:tcPr>
            <w:tcW w:w="2046" w:type="dxa"/>
            <w:vAlign w:val="center"/>
          </w:tcPr>
          <w:p>
            <w:pPr>
              <w:widowControl/>
              <w:snapToGrid w:val="0"/>
              <w:jc w:val="center"/>
              <w:rPr>
                <w:rFonts w:ascii="宋体" w:hAnsi="宋体" w:cs="宋体"/>
                <w:bCs/>
                <w:kern w:val="0"/>
                <w:sz w:val="22"/>
              </w:rPr>
            </w:pPr>
            <w:r>
              <w:rPr>
                <w:rFonts w:hint="eastAsia" w:ascii="宋体" w:hAnsi="宋体" w:cs="宋体"/>
                <w:bCs/>
                <w:kern w:val="0"/>
                <w:sz w:val="22"/>
              </w:rPr>
              <w:t>选用</w:t>
            </w:r>
            <w:r>
              <w:rPr>
                <w:rFonts w:ascii="宋体" w:hAnsi="宋体" w:cs="宋体"/>
                <w:bCs/>
                <w:kern w:val="0"/>
                <w:sz w:val="22"/>
              </w:rPr>
              <w:t>品牌</w:t>
            </w:r>
          </w:p>
        </w:tc>
        <w:tc>
          <w:tcPr>
            <w:tcW w:w="2394" w:type="dxa"/>
            <w:vAlign w:val="center"/>
          </w:tcPr>
          <w:p>
            <w:pPr>
              <w:widowControl/>
              <w:snapToGrid w:val="0"/>
              <w:jc w:val="center"/>
              <w:rPr>
                <w:rFonts w:ascii="宋体" w:hAnsi="宋体" w:cs="宋体"/>
                <w:bCs/>
                <w:kern w:val="0"/>
                <w:sz w:val="22"/>
              </w:rPr>
            </w:pPr>
            <w:r>
              <w:rPr>
                <w:rFonts w:hint="eastAsia" w:ascii="宋体" w:hAnsi="宋体" w:cs="宋体"/>
                <w:bCs/>
                <w:kern w:val="0"/>
                <w:sz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8" w:hRule="atLeast"/>
        </w:trPr>
        <w:tc>
          <w:tcPr>
            <w:tcW w:w="1090" w:type="dxa"/>
            <w:vAlign w:val="center"/>
          </w:tcPr>
          <w:p>
            <w:pPr>
              <w:widowControl/>
              <w:snapToGrid w:val="0"/>
              <w:jc w:val="center"/>
              <w:rPr>
                <w:rFonts w:ascii="宋体" w:hAnsi="宋体" w:cs="宋体"/>
                <w:bCs/>
                <w:kern w:val="0"/>
                <w:sz w:val="22"/>
              </w:rPr>
            </w:pPr>
            <w:r>
              <w:rPr>
                <w:rFonts w:hint="eastAsia" w:ascii="宋体" w:hAnsi="宋体" w:cs="宋体"/>
                <w:bCs/>
                <w:kern w:val="0"/>
                <w:sz w:val="22"/>
              </w:rPr>
              <w:t>1</w:t>
            </w:r>
          </w:p>
        </w:tc>
        <w:tc>
          <w:tcPr>
            <w:tcW w:w="3675" w:type="dxa"/>
            <w:vAlign w:val="center"/>
          </w:tcPr>
          <w:p>
            <w:pPr>
              <w:widowControl/>
              <w:snapToGrid w:val="0"/>
              <w:jc w:val="center"/>
              <w:rPr>
                <w:rFonts w:ascii="宋体" w:hAnsi="宋体" w:cs="Courier New"/>
                <w:bCs/>
                <w:sz w:val="22"/>
              </w:rPr>
            </w:pPr>
          </w:p>
        </w:tc>
        <w:tc>
          <w:tcPr>
            <w:tcW w:w="2046" w:type="dxa"/>
            <w:vAlign w:val="center"/>
          </w:tcPr>
          <w:p>
            <w:pPr>
              <w:widowControl/>
              <w:snapToGrid w:val="0"/>
              <w:jc w:val="center"/>
              <w:rPr>
                <w:rFonts w:ascii="宋体" w:hAnsi="宋体" w:cs="Courier New"/>
                <w:bCs/>
                <w:sz w:val="22"/>
              </w:rPr>
            </w:pPr>
          </w:p>
        </w:tc>
        <w:tc>
          <w:tcPr>
            <w:tcW w:w="2394" w:type="dxa"/>
            <w:vAlign w:val="center"/>
          </w:tcPr>
          <w:p>
            <w:pPr>
              <w:widowControl/>
              <w:snapToGrid w:val="0"/>
              <w:jc w:val="center"/>
              <w:rPr>
                <w:rFonts w:ascii="宋体" w:hAnsi="宋体" w:cs="Courier New"/>
                <w:bCs/>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8" w:hRule="atLeast"/>
        </w:trPr>
        <w:tc>
          <w:tcPr>
            <w:tcW w:w="1090" w:type="dxa"/>
            <w:vAlign w:val="center"/>
          </w:tcPr>
          <w:p>
            <w:pPr>
              <w:widowControl/>
              <w:snapToGrid w:val="0"/>
              <w:jc w:val="center"/>
              <w:rPr>
                <w:rFonts w:ascii="宋体" w:hAnsi="宋体" w:cs="Courier New"/>
                <w:bCs/>
                <w:sz w:val="22"/>
              </w:rPr>
            </w:pPr>
            <w:r>
              <w:rPr>
                <w:rFonts w:hint="eastAsia" w:ascii="宋体" w:hAnsi="宋体" w:cs="Courier New"/>
                <w:bCs/>
                <w:sz w:val="22"/>
              </w:rPr>
              <w:t>2</w:t>
            </w:r>
          </w:p>
        </w:tc>
        <w:tc>
          <w:tcPr>
            <w:tcW w:w="3675" w:type="dxa"/>
            <w:vAlign w:val="center"/>
          </w:tcPr>
          <w:p>
            <w:pPr>
              <w:widowControl/>
              <w:snapToGrid w:val="0"/>
              <w:jc w:val="center"/>
              <w:rPr>
                <w:rFonts w:ascii="宋体" w:hAnsi="宋体" w:cs="Courier New"/>
                <w:bCs/>
                <w:sz w:val="22"/>
              </w:rPr>
            </w:pPr>
          </w:p>
        </w:tc>
        <w:tc>
          <w:tcPr>
            <w:tcW w:w="2046" w:type="dxa"/>
            <w:vAlign w:val="center"/>
          </w:tcPr>
          <w:p>
            <w:pPr>
              <w:widowControl/>
              <w:snapToGrid w:val="0"/>
              <w:jc w:val="center"/>
              <w:rPr>
                <w:rFonts w:ascii="宋体" w:hAnsi="宋体" w:cs="Courier New"/>
                <w:bCs/>
                <w:sz w:val="22"/>
              </w:rPr>
            </w:pPr>
          </w:p>
        </w:tc>
        <w:tc>
          <w:tcPr>
            <w:tcW w:w="2394" w:type="dxa"/>
            <w:vAlign w:val="center"/>
          </w:tcPr>
          <w:p>
            <w:pPr>
              <w:widowControl/>
              <w:snapToGrid w:val="0"/>
              <w:jc w:val="center"/>
              <w:rPr>
                <w:rFonts w:ascii="宋体" w:hAnsi="宋体" w:cs="Courier New"/>
                <w:bCs/>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8" w:hRule="atLeast"/>
        </w:trPr>
        <w:tc>
          <w:tcPr>
            <w:tcW w:w="1090" w:type="dxa"/>
            <w:vAlign w:val="center"/>
          </w:tcPr>
          <w:p>
            <w:pPr>
              <w:widowControl/>
              <w:snapToGrid w:val="0"/>
              <w:jc w:val="center"/>
              <w:rPr>
                <w:rFonts w:ascii="宋体" w:hAnsi="宋体" w:cs="Courier New"/>
                <w:bCs/>
                <w:sz w:val="22"/>
              </w:rPr>
            </w:pPr>
            <w:r>
              <w:rPr>
                <w:rFonts w:hint="eastAsia" w:ascii="宋体" w:hAnsi="宋体" w:cs="Courier New"/>
                <w:bCs/>
                <w:sz w:val="22"/>
              </w:rPr>
              <w:t>3</w:t>
            </w:r>
          </w:p>
        </w:tc>
        <w:tc>
          <w:tcPr>
            <w:tcW w:w="3675" w:type="dxa"/>
            <w:vAlign w:val="center"/>
          </w:tcPr>
          <w:p>
            <w:pPr>
              <w:widowControl/>
              <w:snapToGrid w:val="0"/>
              <w:jc w:val="center"/>
              <w:rPr>
                <w:rFonts w:ascii="宋体" w:hAnsi="宋体" w:cs="Courier New"/>
                <w:bCs/>
                <w:sz w:val="22"/>
              </w:rPr>
            </w:pPr>
          </w:p>
        </w:tc>
        <w:tc>
          <w:tcPr>
            <w:tcW w:w="2046" w:type="dxa"/>
            <w:vAlign w:val="center"/>
          </w:tcPr>
          <w:p>
            <w:pPr>
              <w:widowControl/>
              <w:snapToGrid w:val="0"/>
              <w:jc w:val="center"/>
              <w:rPr>
                <w:rFonts w:ascii="宋体" w:hAnsi="宋体" w:cs="Courier New"/>
                <w:bCs/>
                <w:sz w:val="22"/>
              </w:rPr>
            </w:pPr>
          </w:p>
        </w:tc>
        <w:tc>
          <w:tcPr>
            <w:tcW w:w="2394" w:type="dxa"/>
            <w:vAlign w:val="center"/>
          </w:tcPr>
          <w:p>
            <w:pPr>
              <w:widowControl/>
              <w:snapToGrid w:val="0"/>
              <w:jc w:val="center"/>
              <w:rPr>
                <w:rFonts w:ascii="宋体" w:hAnsi="宋体" w:cs="Courier New"/>
                <w:bCs/>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8" w:hRule="atLeast"/>
        </w:trPr>
        <w:tc>
          <w:tcPr>
            <w:tcW w:w="1090" w:type="dxa"/>
            <w:vAlign w:val="center"/>
          </w:tcPr>
          <w:p>
            <w:pPr>
              <w:widowControl/>
              <w:snapToGrid w:val="0"/>
              <w:jc w:val="center"/>
              <w:rPr>
                <w:rFonts w:ascii="宋体" w:hAnsi="宋体" w:cs="Courier New"/>
                <w:bCs/>
                <w:sz w:val="22"/>
              </w:rPr>
            </w:pPr>
            <w:r>
              <w:rPr>
                <w:rFonts w:hint="eastAsia" w:ascii="宋体" w:hAnsi="宋体" w:cs="Courier New"/>
                <w:bCs/>
                <w:sz w:val="22"/>
              </w:rPr>
              <w:t>4</w:t>
            </w:r>
          </w:p>
        </w:tc>
        <w:tc>
          <w:tcPr>
            <w:tcW w:w="3675" w:type="dxa"/>
            <w:vAlign w:val="center"/>
          </w:tcPr>
          <w:p>
            <w:pPr>
              <w:widowControl/>
              <w:snapToGrid w:val="0"/>
              <w:jc w:val="center"/>
              <w:rPr>
                <w:rFonts w:ascii="宋体" w:hAnsi="宋体" w:cs="Courier New"/>
                <w:bCs/>
                <w:sz w:val="22"/>
              </w:rPr>
            </w:pPr>
          </w:p>
        </w:tc>
        <w:tc>
          <w:tcPr>
            <w:tcW w:w="2046" w:type="dxa"/>
            <w:vAlign w:val="center"/>
          </w:tcPr>
          <w:p>
            <w:pPr>
              <w:widowControl/>
              <w:snapToGrid w:val="0"/>
              <w:jc w:val="center"/>
              <w:rPr>
                <w:rFonts w:ascii="宋体" w:hAnsi="宋体" w:cs="Courier New"/>
                <w:bCs/>
                <w:sz w:val="22"/>
              </w:rPr>
            </w:pPr>
          </w:p>
        </w:tc>
        <w:tc>
          <w:tcPr>
            <w:tcW w:w="2394" w:type="dxa"/>
            <w:vAlign w:val="center"/>
          </w:tcPr>
          <w:p>
            <w:pPr>
              <w:widowControl/>
              <w:snapToGrid w:val="0"/>
              <w:jc w:val="center"/>
              <w:rPr>
                <w:rFonts w:ascii="宋体" w:hAnsi="宋体" w:cs="Courier New"/>
                <w:bCs/>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5" w:hRule="atLeast"/>
        </w:trPr>
        <w:tc>
          <w:tcPr>
            <w:tcW w:w="1090" w:type="dxa"/>
            <w:vAlign w:val="center"/>
          </w:tcPr>
          <w:p>
            <w:pPr>
              <w:widowControl/>
              <w:snapToGrid w:val="0"/>
              <w:jc w:val="center"/>
              <w:rPr>
                <w:rFonts w:ascii="宋体" w:hAnsi="宋体" w:cs="Courier New"/>
                <w:bCs/>
                <w:sz w:val="22"/>
              </w:rPr>
            </w:pPr>
            <w:r>
              <w:rPr>
                <w:rFonts w:hint="eastAsia" w:ascii="宋体" w:hAnsi="宋体" w:cs="Courier New"/>
                <w:bCs/>
                <w:sz w:val="22"/>
              </w:rPr>
              <w:t>5</w:t>
            </w:r>
          </w:p>
        </w:tc>
        <w:tc>
          <w:tcPr>
            <w:tcW w:w="3675" w:type="dxa"/>
            <w:vAlign w:val="center"/>
          </w:tcPr>
          <w:p>
            <w:pPr>
              <w:widowControl/>
              <w:snapToGrid w:val="0"/>
              <w:jc w:val="center"/>
              <w:rPr>
                <w:rFonts w:ascii="宋体" w:hAnsi="宋体" w:cs="Courier New"/>
                <w:bCs/>
                <w:sz w:val="22"/>
              </w:rPr>
            </w:pPr>
          </w:p>
        </w:tc>
        <w:tc>
          <w:tcPr>
            <w:tcW w:w="2046" w:type="dxa"/>
            <w:vAlign w:val="center"/>
          </w:tcPr>
          <w:p>
            <w:pPr>
              <w:widowControl/>
              <w:snapToGrid w:val="0"/>
              <w:jc w:val="center"/>
              <w:rPr>
                <w:rFonts w:ascii="宋体" w:hAnsi="宋体" w:cs="Courier New"/>
                <w:bCs/>
                <w:sz w:val="22"/>
              </w:rPr>
            </w:pPr>
          </w:p>
        </w:tc>
        <w:tc>
          <w:tcPr>
            <w:tcW w:w="2394" w:type="dxa"/>
            <w:vAlign w:val="center"/>
          </w:tcPr>
          <w:p>
            <w:pPr>
              <w:widowControl/>
              <w:snapToGrid w:val="0"/>
              <w:jc w:val="center"/>
              <w:rPr>
                <w:rFonts w:ascii="宋体" w:hAnsi="宋体" w:cs="Courier New"/>
                <w:bCs/>
                <w:sz w:val="22"/>
              </w:rPr>
            </w:pPr>
          </w:p>
        </w:tc>
      </w:tr>
    </w:tbl>
    <w:p>
      <w:pPr>
        <w:widowControl/>
        <w:jc w:val="left"/>
        <w:rPr>
          <w:rFonts w:ascii="宋体" w:hAnsi="宋体" w:cs="宋体"/>
          <w:b/>
          <w:szCs w:val="21"/>
        </w:rPr>
      </w:pPr>
    </w:p>
    <w:p>
      <w:pPr>
        <w:widowControl/>
        <w:jc w:val="left"/>
        <w:rPr>
          <w:rFonts w:ascii="宋体" w:hAnsi="宋体" w:cs="宋体"/>
          <w:b/>
          <w:szCs w:val="21"/>
        </w:rPr>
      </w:pPr>
    </w:p>
    <w:p>
      <w:pPr>
        <w:widowControl/>
        <w:jc w:val="left"/>
        <w:rPr>
          <w:rFonts w:ascii="宋体" w:hAnsi="宋体" w:cs="宋体"/>
          <w:b/>
          <w:szCs w:val="21"/>
        </w:rPr>
      </w:pPr>
    </w:p>
    <w:p>
      <w:pPr>
        <w:widowControl/>
        <w:jc w:val="left"/>
        <w:rPr>
          <w:rFonts w:ascii="宋体" w:hAnsi="宋体" w:cs="宋体"/>
          <w:b/>
          <w:szCs w:val="21"/>
        </w:rPr>
      </w:pPr>
      <w:r>
        <w:rPr>
          <w:rFonts w:hint="eastAsia" w:ascii="宋体" w:hAnsi="宋体" w:cs="宋体"/>
          <w:b/>
          <w:szCs w:val="21"/>
        </w:rPr>
        <w:t>注：根据招标文件第</w:t>
      </w:r>
      <w:r>
        <w:rPr>
          <w:rFonts w:hint="eastAsia" w:ascii="宋体" w:hAnsi="宋体" w:cs="宋体"/>
          <w:b/>
          <w:szCs w:val="21"/>
          <w:lang w:val="en-US" w:eastAsia="zh-CN"/>
        </w:rPr>
        <w:t>六</w:t>
      </w:r>
      <w:r>
        <w:rPr>
          <w:rFonts w:hint="eastAsia" w:ascii="宋体" w:hAnsi="宋体" w:cs="宋体"/>
          <w:b/>
          <w:szCs w:val="21"/>
        </w:rPr>
        <w:t>章要求填写，如在“推荐品牌”之外选择的，请说明选择理由。如未填写品牌的，由</w:t>
      </w:r>
      <w:r>
        <w:rPr>
          <w:rFonts w:ascii="宋体" w:hAnsi="宋体" w:cs="宋体"/>
          <w:b/>
          <w:szCs w:val="21"/>
        </w:rPr>
        <w:t>发包人在发包人推荐的</w:t>
      </w:r>
      <w:r>
        <w:rPr>
          <w:rFonts w:hint="eastAsia" w:ascii="宋体" w:hAnsi="宋体" w:cs="宋体"/>
          <w:b/>
          <w:szCs w:val="21"/>
        </w:rPr>
        <w:t>品牌</w:t>
      </w:r>
      <w:r>
        <w:rPr>
          <w:rFonts w:ascii="宋体" w:hAnsi="宋体" w:cs="宋体"/>
          <w:b/>
          <w:szCs w:val="21"/>
        </w:rPr>
        <w:t>范围内任意选择，且价格不予调整。</w:t>
      </w:r>
    </w:p>
    <w:p>
      <w:pPr>
        <w:autoSpaceDE w:val="0"/>
        <w:autoSpaceDN w:val="0"/>
        <w:adjustRightInd w:val="0"/>
        <w:snapToGrid w:val="0"/>
        <w:spacing w:line="360" w:lineRule="auto"/>
        <w:ind w:firstLine="422" w:firstLineChars="200"/>
        <w:rPr>
          <w:rFonts w:ascii="宋体" w:hAnsi="宋体" w:cs="Arial"/>
          <w:b/>
          <w:bCs/>
          <w:kern w:val="0"/>
          <w:szCs w:val="21"/>
        </w:rPr>
      </w:pPr>
    </w:p>
    <w:p>
      <w:pPr>
        <w:widowControl/>
        <w:jc w:val="left"/>
        <w:rPr>
          <w:rFonts w:cs="微软雅黑"/>
          <w:b/>
          <w:kern w:val="0"/>
          <w:sz w:val="36"/>
          <w:szCs w:val="36"/>
        </w:rPr>
      </w:pPr>
    </w:p>
    <w:p>
      <w:pPr>
        <w:widowControl/>
        <w:jc w:val="center"/>
        <w:rPr>
          <w:rFonts w:cs="微软雅黑"/>
          <w:b/>
          <w:kern w:val="0"/>
          <w:sz w:val="36"/>
          <w:szCs w:val="36"/>
        </w:rPr>
      </w:pPr>
    </w:p>
    <w:p>
      <w:pPr>
        <w:keepLines/>
        <w:pageBreakBefore/>
        <w:jc w:val="center"/>
        <w:rPr>
          <w:rFonts w:cs="微软雅黑"/>
          <w:b/>
          <w:kern w:val="0"/>
          <w:sz w:val="36"/>
          <w:szCs w:val="36"/>
        </w:rPr>
      </w:pPr>
      <w:r>
        <w:rPr>
          <w:rFonts w:hint="eastAsia" w:cs="微软雅黑"/>
          <w:b/>
          <w:kern w:val="0"/>
          <w:sz w:val="36"/>
          <w:szCs w:val="36"/>
        </w:rPr>
        <w:t>四、投标人认为需要提供的其他材料</w:t>
      </w:r>
    </w:p>
    <w:p>
      <w:pPr>
        <w:autoSpaceDE w:val="0"/>
        <w:autoSpaceDN w:val="0"/>
        <w:adjustRightInd w:val="0"/>
        <w:spacing w:line="360" w:lineRule="auto"/>
        <w:jc w:val="center"/>
        <w:rPr>
          <w:b/>
          <w:sz w:val="24"/>
        </w:rPr>
      </w:pPr>
    </w:p>
    <w:bookmarkEnd w:id="29"/>
    <w:p>
      <w:pPr>
        <w:widowControl/>
        <w:rPr>
          <w:rFonts w:cs="宋体"/>
          <w:b/>
          <w:sz w:val="32"/>
          <w:szCs w:val="32"/>
        </w:rPr>
      </w:pPr>
    </w:p>
    <w:sectPr>
      <w:footerReference r:id="rId9" w:type="first"/>
      <w:headerReference r:id="rId7" w:type="default"/>
      <w:footerReference r:id="rId8" w:type="default"/>
      <w:pgSz w:w="11906" w:h="16838"/>
      <w:pgMar w:top="1440" w:right="1800" w:bottom="1440" w:left="1800" w:header="851" w:footer="992" w:gutter="0"/>
      <w:pgNumType w:fmt="numberInDash"/>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 w:name="楷体_GB2312">
    <w:altName w:val="楷体"/>
    <w:panose1 w:val="00000000000000000000"/>
    <w:charset w:val="86"/>
    <w:family w:val="modern"/>
    <w:pitch w:val="default"/>
    <w:sig w:usb0="00000000" w:usb1="0000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Calibri Light">
    <w:panose1 w:val="020F0302020204030204"/>
    <w:charset w:val="00"/>
    <w:family w:val="swiss"/>
    <w:pitch w:val="default"/>
    <w:sig w:usb0="A00002EF" w:usb1="4000207B" w:usb2="00000000" w:usb3="00000000" w:csb0="2000019F"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Arial Unicode MS">
    <w:panose1 w:val="020B0604020202020204"/>
    <w:charset w:val="80"/>
    <w:family w:val="swiss"/>
    <w:pitch w:val="default"/>
    <w:sig w:usb0="FFFFFFFF" w:usb1="E9FFFFFF" w:usb2="0000003F" w:usb3="00000000" w:csb0="603F01FF" w:csb1="FFFF0000"/>
  </w:font>
  <w:font w:name="Tahoma">
    <w:panose1 w:val="020B0604030504040204"/>
    <w:charset w:val="00"/>
    <w:family w:val="swiss"/>
    <w:pitch w:val="default"/>
    <w:sig w:usb0="E1002EFF" w:usb1="C000605B" w:usb2="00000029" w:usb3="00000000" w:csb0="200101FF" w:csb1="20280000"/>
  </w:font>
  <w:font w:name="Tms Rmn">
    <w:altName w:val="Microsoft Sans Serif"/>
    <w:panose1 w:val="020B0604020202020204"/>
    <w:charset w:val="00"/>
    <w:family w:val="roman"/>
    <w:pitch w:val="default"/>
    <w:sig w:usb0="00000000" w:usb1="00000000" w:usb2="00000000" w:usb3="00000000" w:csb0="00000001" w:csb1="00000000"/>
  </w:font>
  <w:font w:name="Microsoft Sans Serif">
    <w:panose1 w:val="020B0604020202020204"/>
    <w:charset w:val="00"/>
    <w:family w:val="auto"/>
    <w:pitch w:val="default"/>
    <w:sig w:usb0="E1002AFF" w:usb1="C0000002" w:usb2="00000008"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fldChar w:fldCharType="begin"/>
    </w:r>
    <w:r>
      <w:instrText xml:space="preserve">PAGE   \* MERGEFORMAT</w:instrText>
    </w:r>
    <w:r>
      <w:fldChar w:fldCharType="separate"/>
    </w:r>
    <w:r>
      <w:rPr>
        <w:lang w:val="zh-CN"/>
      </w:rPr>
      <w:t>-</w:t>
    </w:r>
    <w:r>
      <w:t xml:space="preserve"> 68 -</w:t>
    </w:r>
    <w:r>
      <w:fldChar w:fldCharType="end"/>
    </w:r>
  </w:p>
  <w:p>
    <w:pP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511381"/>
    </w:sdtPr>
    <w:sdtContent>
      <w:p>
        <w:pPr>
          <w:pStyle w:val="6"/>
          <w:jc w:val="center"/>
        </w:pPr>
        <w:r>
          <w:fldChar w:fldCharType="begin"/>
        </w:r>
        <w:r>
          <w:instrText xml:space="preserve"> PAGE   \* MERGEFORMAT </w:instrText>
        </w:r>
        <w:r>
          <w:fldChar w:fldCharType="separate"/>
        </w:r>
        <w:r>
          <w:rPr>
            <w:lang w:val="zh-CN"/>
          </w:rPr>
          <w:t>-</w:t>
        </w:r>
        <w:r>
          <w:t xml:space="preserve"> 47 -</w:t>
        </w:r>
        <w:r>
          <w:fldChar w:fldCharType="end"/>
        </w:r>
      </w:p>
    </w:sdtContent>
  </w:sdt>
  <w:p>
    <w:pPr>
      <w:pStyle w:val="6"/>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fldChar w:fldCharType="begin"/>
    </w:r>
    <w:r>
      <w:instrText xml:space="preserve">PAGE   \* MERGEFORMAT</w:instrText>
    </w:r>
    <w:r>
      <w:fldChar w:fldCharType="separate"/>
    </w:r>
    <w:r>
      <w:rPr>
        <w:lang w:val="zh-CN"/>
      </w:rPr>
      <w:t>61</w:t>
    </w:r>
    <w:r>
      <w:rPr>
        <w:lang w:val="zh-CN"/>
      </w:rPr>
      <w:fldChar w:fldCharType="end"/>
    </w:r>
  </w:p>
  <w:p>
    <w:pPr>
      <w:pStyle w:val="6"/>
      <w:ind w:firstLine="18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1"/>
      </w:rPr>
    </w:pPr>
    <w:r>
      <w:fldChar w:fldCharType="begin"/>
    </w:r>
    <w:r>
      <w:rPr>
        <w:rStyle w:val="11"/>
      </w:rPr>
      <w:instrText xml:space="preserve">PAGE  </w:instrText>
    </w:r>
    <w:r>
      <w:fldChar w:fldCharType="separate"/>
    </w:r>
    <w:r>
      <w:rPr>
        <w:rStyle w:val="11"/>
      </w:rPr>
      <w:t>40</w:t>
    </w:r>
    <w:r>
      <w:fldChar w:fldCharType="end"/>
    </w:r>
  </w:p>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331AF5D"/>
    <w:multiLevelType w:val="singleLevel"/>
    <w:tmpl w:val="9331AF5D"/>
    <w:lvl w:ilvl="0" w:tentative="0">
      <w:start w:val="1"/>
      <w:numFmt w:val="chineseCounting"/>
      <w:suff w:val="space"/>
      <w:lvlText w:val="第%1条"/>
      <w:lvlJc w:val="left"/>
      <w:pPr>
        <w:ind w:left="426" w:firstLine="0"/>
      </w:pPr>
      <w:rPr>
        <w:rFonts w:hint="eastAsia"/>
      </w:rPr>
    </w:lvl>
  </w:abstractNum>
  <w:abstractNum w:abstractNumId="1">
    <w:nsid w:val="08902E2F"/>
    <w:multiLevelType w:val="multilevel"/>
    <w:tmpl w:val="08902E2F"/>
    <w:lvl w:ilvl="0" w:tentative="0">
      <w:start w:val="1"/>
      <w:numFmt w:val="japaneseCounting"/>
      <w:lvlText w:val="%1、"/>
      <w:lvlJc w:val="left"/>
      <w:pPr>
        <w:ind w:left="450" w:hanging="45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5D75C5AD"/>
    <w:multiLevelType w:val="singleLevel"/>
    <w:tmpl w:val="5D75C5AD"/>
    <w:lvl w:ilvl="0" w:tentative="0">
      <w:start w:val="1"/>
      <w:numFmt w:val="decimal"/>
      <w:suff w:val="nothing"/>
      <w:lvlText w:val="（%1）"/>
      <w:lvlJc w:val="left"/>
    </w:lvl>
  </w:abstractNum>
  <w:abstractNum w:abstractNumId="3">
    <w:nsid w:val="5FD1CD8C"/>
    <w:multiLevelType w:val="singleLevel"/>
    <w:tmpl w:val="5FD1CD8C"/>
    <w:lvl w:ilvl="0" w:tentative="0">
      <w:start w:val="6"/>
      <w:numFmt w:val="chineseCounting"/>
      <w:suff w:val="space"/>
      <w:lvlText w:val="第%1条"/>
      <w:lvlJc w:val="left"/>
    </w:lvl>
  </w:abstractNum>
  <w:abstractNum w:abstractNumId="4">
    <w:nsid w:val="5FF401CA"/>
    <w:multiLevelType w:val="singleLevel"/>
    <w:tmpl w:val="5FF401CA"/>
    <w:lvl w:ilvl="0" w:tentative="0">
      <w:start w:val="5"/>
      <w:numFmt w:val="chineseCounting"/>
      <w:suff w:val="nothing"/>
      <w:lvlText w:val="%1、"/>
      <w:lvlJc w:val="left"/>
    </w:lvl>
  </w:abstractNum>
  <w:abstractNum w:abstractNumId="5">
    <w:nsid w:val="609CC20A"/>
    <w:multiLevelType w:val="singleLevel"/>
    <w:tmpl w:val="609CC20A"/>
    <w:lvl w:ilvl="0" w:tentative="0">
      <w:start w:val="8"/>
      <w:numFmt w:val="chineseCounting"/>
      <w:suff w:val="nothing"/>
      <w:lvlText w:val="%1、"/>
      <w:lvlJc w:val="left"/>
    </w:lvl>
  </w:abstractNum>
  <w:abstractNum w:abstractNumId="6">
    <w:nsid w:val="6306DE00"/>
    <w:multiLevelType w:val="singleLevel"/>
    <w:tmpl w:val="6306DE00"/>
    <w:lvl w:ilvl="0" w:tentative="0">
      <w:start w:val="4"/>
      <w:numFmt w:val="decimal"/>
      <w:suff w:val="nothing"/>
      <w:lvlText w:val="(%1)"/>
      <w:lvlJc w:val="left"/>
    </w:lvl>
  </w:abstractNum>
  <w:abstractNum w:abstractNumId="7">
    <w:nsid w:val="636C52E6"/>
    <w:multiLevelType w:val="singleLevel"/>
    <w:tmpl w:val="636C52E6"/>
    <w:lvl w:ilvl="0" w:tentative="0">
      <w:start w:val="1"/>
      <w:numFmt w:val="decimal"/>
      <w:suff w:val="nothing"/>
      <w:lvlText w:val="(%1)"/>
      <w:lvlJc w:val="left"/>
    </w:lvl>
  </w:abstractNum>
  <w:abstractNum w:abstractNumId="8">
    <w:nsid w:val="636C642F"/>
    <w:multiLevelType w:val="singleLevel"/>
    <w:tmpl w:val="636C642F"/>
    <w:lvl w:ilvl="0" w:tentative="0">
      <w:start w:val="1"/>
      <w:numFmt w:val="decimal"/>
      <w:suff w:val="nothing"/>
      <w:lvlText w:val="（%1）"/>
      <w:lvlJc w:val="left"/>
    </w:lvl>
  </w:abstractNum>
  <w:num w:numId="1">
    <w:abstractNumId w:val="2"/>
  </w:num>
  <w:num w:numId="2">
    <w:abstractNumId w:val="4"/>
  </w:num>
  <w:num w:numId="3">
    <w:abstractNumId w:val="5"/>
  </w:num>
  <w:num w:numId="4">
    <w:abstractNumId w:val="6"/>
  </w:num>
  <w:num w:numId="5">
    <w:abstractNumId w:val="0"/>
  </w:num>
  <w:num w:numId="6">
    <w:abstractNumId w:val="3"/>
  </w:num>
  <w:num w:numId="7">
    <w:abstractNumId w:val="8"/>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k5YzhjOWRmMWJkMTcwNTJiYTlkNjc1NzNkM2M4NmYifQ=="/>
  </w:docVars>
  <w:rsids>
    <w:rsidRoot w:val="00602DA2"/>
    <w:rsid w:val="001372A2"/>
    <w:rsid w:val="001842E5"/>
    <w:rsid w:val="00202EF4"/>
    <w:rsid w:val="00205DDE"/>
    <w:rsid w:val="002D6E53"/>
    <w:rsid w:val="002E389D"/>
    <w:rsid w:val="00306FCE"/>
    <w:rsid w:val="00375BBB"/>
    <w:rsid w:val="00574177"/>
    <w:rsid w:val="005A26E5"/>
    <w:rsid w:val="005A3F8F"/>
    <w:rsid w:val="00602DA2"/>
    <w:rsid w:val="00625098"/>
    <w:rsid w:val="00642119"/>
    <w:rsid w:val="006562EA"/>
    <w:rsid w:val="006A12D1"/>
    <w:rsid w:val="006E5133"/>
    <w:rsid w:val="008171B7"/>
    <w:rsid w:val="00817C3C"/>
    <w:rsid w:val="00820C30"/>
    <w:rsid w:val="00846FFC"/>
    <w:rsid w:val="008C5594"/>
    <w:rsid w:val="00906E38"/>
    <w:rsid w:val="00A967F5"/>
    <w:rsid w:val="00AC6F51"/>
    <w:rsid w:val="00AE2420"/>
    <w:rsid w:val="00B6451B"/>
    <w:rsid w:val="00BA486F"/>
    <w:rsid w:val="00C11D9A"/>
    <w:rsid w:val="00C45FDC"/>
    <w:rsid w:val="00C63C17"/>
    <w:rsid w:val="00D0743B"/>
    <w:rsid w:val="00D2136E"/>
    <w:rsid w:val="00D91BF2"/>
    <w:rsid w:val="00DA7957"/>
    <w:rsid w:val="00DD507F"/>
    <w:rsid w:val="00DF1565"/>
    <w:rsid w:val="00E95BFB"/>
    <w:rsid w:val="00F10D57"/>
    <w:rsid w:val="00F75078"/>
    <w:rsid w:val="00F75276"/>
    <w:rsid w:val="00F81449"/>
    <w:rsid w:val="014F73A6"/>
    <w:rsid w:val="02B95F5F"/>
    <w:rsid w:val="02F1240D"/>
    <w:rsid w:val="03044762"/>
    <w:rsid w:val="03196B6B"/>
    <w:rsid w:val="03F739A7"/>
    <w:rsid w:val="03F870E6"/>
    <w:rsid w:val="047518C7"/>
    <w:rsid w:val="04EE265D"/>
    <w:rsid w:val="050869C0"/>
    <w:rsid w:val="052F0674"/>
    <w:rsid w:val="05BE6E6F"/>
    <w:rsid w:val="05C353ED"/>
    <w:rsid w:val="063C0E2A"/>
    <w:rsid w:val="066C1019"/>
    <w:rsid w:val="073D70B6"/>
    <w:rsid w:val="077E75BF"/>
    <w:rsid w:val="083312CE"/>
    <w:rsid w:val="08A037D7"/>
    <w:rsid w:val="09411BF2"/>
    <w:rsid w:val="09673172"/>
    <w:rsid w:val="09E25A5D"/>
    <w:rsid w:val="09E436C7"/>
    <w:rsid w:val="0A280818"/>
    <w:rsid w:val="0A325507"/>
    <w:rsid w:val="0C2258A4"/>
    <w:rsid w:val="0C2C721E"/>
    <w:rsid w:val="0D58007A"/>
    <w:rsid w:val="0D662C58"/>
    <w:rsid w:val="0DEE646C"/>
    <w:rsid w:val="0E836117"/>
    <w:rsid w:val="0EE1797F"/>
    <w:rsid w:val="0EF24B25"/>
    <w:rsid w:val="0F3936BA"/>
    <w:rsid w:val="0F3A6E72"/>
    <w:rsid w:val="0F74556B"/>
    <w:rsid w:val="0F751372"/>
    <w:rsid w:val="103144BD"/>
    <w:rsid w:val="10926C44"/>
    <w:rsid w:val="10C41CD7"/>
    <w:rsid w:val="10D201D0"/>
    <w:rsid w:val="10FB2AF8"/>
    <w:rsid w:val="132D3D8B"/>
    <w:rsid w:val="134E2C41"/>
    <w:rsid w:val="13506F32"/>
    <w:rsid w:val="13C703B6"/>
    <w:rsid w:val="13D363C5"/>
    <w:rsid w:val="13FE71FA"/>
    <w:rsid w:val="14EF431F"/>
    <w:rsid w:val="15714686"/>
    <w:rsid w:val="15C55E70"/>
    <w:rsid w:val="168574AC"/>
    <w:rsid w:val="17706602"/>
    <w:rsid w:val="17A3369A"/>
    <w:rsid w:val="17E644B2"/>
    <w:rsid w:val="17F261B0"/>
    <w:rsid w:val="19B6105C"/>
    <w:rsid w:val="19D22F7C"/>
    <w:rsid w:val="19E250F9"/>
    <w:rsid w:val="1A372ED2"/>
    <w:rsid w:val="1A530242"/>
    <w:rsid w:val="1A5510AA"/>
    <w:rsid w:val="1A905DB0"/>
    <w:rsid w:val="1AC01189"/>
    <w:rsid w:val="1ACC2D1E"/>
    <w:rsid w:val="1AE634A1"/>
    <w:rsid w:val="1B1762CA"/>
    <w:rsid w:val="1B494BCE"/>
    <w:rsid w:val="1B9E32AC"/>
    <w:rsid w:val="1C1F53DB"/>
    <w:rsid w:val="1C23428D"/>
    <w:rsid w:val="1C411E8A"/>
    <w:rsid w:val="1C67300B"/>
    <w:rsid w:val="1C722ABB"/>
    <w:rsid w:val="1DB82B97"/>
    <w:rsid w:val="1DD42994"/>
    <w:rsid w:val="1E017959"/>
    <w:rsid w:val="1ECC6715"/>
    <w:rsid w:val="1ED229A2"/>
    <w:rsid w:val="1F4F7C5F"/>
    <w:rsid w:val="1FC32413"/>
    <w:rsid w:val="200A02E6"/>
    <w:rsid w:val="20CE1F53"/>
    <w:rsid w:val="21EC1694"/>
    <w:rsid w:val="23416178"/>
    <w:rsid w:val="238E4739"/>
    <w:rsid w:val="23AA347B"/>
    <w:rsid w:val="254051B5"/>
    <w:rsid w:val="265818D7"/>
    <w:rsid w:val="26CC6707"/>
    <w:rsid w:val="27B369DB"/>
    <w:rsid w:val="289D4E0E"/>
    <w:rsid w:val="28BD1AD1"/>
    <w:rsid w:val="29727BB5"/>
    <w:rsid w:val="29F93588"/>
    <w:rsid w:val="2A4954FD"/>
    <w:rsid w:val="2B3A0E18"/>
    <w:rsid w:val="2B400820"/>
    <w:rsid w:val="2B7F6052"/>
    <w:rsid w:val="2BB864A4"/>
    <w:rsid w:val="2C4C3E76"/>
    <w:rsid w:val="2CF25F54"/>
    <w:rsid w:val="2DBD794B"/>
    <w:rsid w:val="2E6A0DCD"/>
    <w:rsid w:val="2EA80B40"/>
    <w:rsid w:val="2F5D728F"/>
    <w:rsid w:val="2FE921F7"/>
    <w:rsid w:val="304E0C8A"/>
    <w:rsid w:val="320B2964"/>
    <w:rsid w:val="326F6647"/>
    <w:rsid w:val="32E10921"/>
    <w:rsid w:val="3308314E"/>
    <w:rsid w:val="33496CB7"/>
    <w:rsid w:val="33BA6ECE"/>
    <w:rsid w:val="33F5263D"/>
    <w:rsid w:val="34547575"/>
    <w:rsid w:val="34A7597F"/>
    <w:rsid w:val="350663DF"/>
    <w:rsid w:val="3510022D"/>
    <w:rsid w:val="359C614A"/>
    <w:rsid w:val="35AF3439"/>
    <w:rsid w:val="35EC099F"/>
    <w:rsid w:val="360327D0"/>
    <w:rsid w:val="36857170"/>
    <w:rsid w:val="36970B97"/>
    <w:rsid w:val="382607A7"/>
    <w:rsid w:val="3862043E"/>
    <w:rsid w:val="38815CBD"/>
    <w:rsid w:val="389C7905"/>
    <w:rsid w:val="38B029D5"/>
    <w:rsid w:val="393734D5"/>
    <w:rsid w:val="393E67AA"/>
    <w:rsid w:val="3971636A"/>
    <w:rsid w:val="39EB6FB8"/>
    <w:rsid w:val="3A1B2A12"/>
    <w:rsid w:val="3A9011B9"/>
    <w:rsid w:val="3A980D91"/>
    <w:rsid w:val="3B35055F"/>
    <w:rsid w:val="3B750C23"/>
    <w:rsid w:val="3C4D7A69"/>
    <w:rsid w:val="3CC82E49"/>
    <w:rsid w:val="3CFB49D2"/>
    <w:rsid w:val="3D082D39"/>
    <w:rsid w:val="3DA2028F"/>
    <w:rsid w:val="3EC1656B"/>
    <w:rsid w:val="3ED14080"/>
    <w:rsid w:val="3FAA7C29"/>
    <w:rsid w:val="40F179A3"/>
    <w:rsid w:val="41443C8D"/>
    <w:rsid w:val="414D50B1"/>
    <w:rsid w:val="4185372B"/>
    <w:rsid w:val="418B2C01"/>
    <w:rsid w:val="419A1761"/>
    <w:rsid w:val="41D14192"/>
    <w:rsid w:val="43A65AEB"/>
    <w:rsid w:val="43FE6D40"/>
    <w:rsid w:val="445A5AE3"/>
    <w:rsid w:val="44B107A9"/>
    <w:rsid w:val="455C24D2"/>
    <w:rsid w:val="45C34E0C"/>
    <w:rsid w:val="465945C7"/>
    <w:rsid w:val="466F3FD8"/>
    <w:rsid w:val="46AC7959"/>
    <w:rsid w:val="46F71F0E"/>
    <w:rsid w:val="476D73D9"/>
    <w:rsid w:val="485E642B"/>
    <w:rsid w:val="48A96880"/>
    <w:rsid w:val="48FA1F37"/>
    <w:rsid w:val="49133ED6"/>
    <w:rsid w:val="499C225B"/>
    <w:rsid w:val="4A2E626D"/>
    <w:rsid w:val="4AFA4B90"/>
    <w:rsid w:val="4B262160"/>
    <w:rsid w:val="4BB817A8"/>
    <w:rsid w:val="4C301F11"/>
    <w:rsid w:val="4C4D7514"/>
    <w:rsid w:val="4C7E3EFD"/>
    <w:rsid w:val="4CCD127D"/>
    <w:rsid w:val="4D2E1D74"/>
    <w:rsid w:val="4D302A92"/>
    <w:rsid w:val="4D6D2E4B"/>
    <w:rsid w:val="4DAA1422"/>
    <w:rsid w:val="4DE82905"/>
    <w:rsid w:val="4E5975F2"/>
    <w:rsid w:val="4E694A6E"/>
    <w:rsid w:val="4E7144A1"/>
    <w:rsid w:val="4F932486"/>
    <w:rsid w:val="4F9B5BD7"/>
    <w:rsid w:val="50A11CE1"/>
    <w:rsid w:val="50A57469"/>
    <w:rsid w:val="513546F9"/>
    <w:rsid w:val="515D3749"/>
    <w:rsid w:val="51E6424E"/>
    <w:rsid w:val="522C1FD0"/>
    <w:rsid w:val="52F62453"/>
    <w:rsid w:val="53572DB9"/>
    <w:rsid w:val="539C3C14"/>
    <w:rsid w:val="544E1C64"/>
    <w:rsid w:val="54666A06"/>
    <w:rsid w:val="55327461"/>
    <w:rsid w:val="566D702A"/>
    <w:rsid w:val="568E6452"/>
    <w:rsid w:val="57310012"/>
    <w:rsid w:val="579A74BA"/>
    <w:rsid w:val="57B16FA6"/>
    <w:rsid w:val="580F355F"/>
    <w:rsid w:val="58144BF6"/>
    <w:rsid w:val="586F4D4A"/>
    <w:rsid w:val="589300EC"/>
    <w:rsid w:val="589623CE"/>
    <w:rsid w:val="58D57FA2"/>
    <w:rsid w:val="59825D4A"/>
    <w:rsid w:val="59A95BAF"/>
    <w:rsid w:val="5A20261E"/>
    <w:rsid w:val="5A652A1E"/>
    <w:rsid w:val="5A8108AD"/>
    <w:rsid w:val="5AC266C0"/>
    <w:rsid w:val="5B1F7F83"/>
    <w:rsid w:val="5B2D7584"/>
    <w:rsid w:val="5BD80E88"/>
    <w:rsid w:val="5BF24678"/>
    <w:rsid w:val="5BF343EC"/>
    <w:rsid w:val="5D231F56"/>
    <w:rsid w:val="5D4C11AD"/>
    <w:rsid w:val="5D99654F"/>
    <w:rsid w:val="5DD11DF2"/>
    <w:rsid w:val="5DDF6FE6"/>
    <w:rsid w:val="5E09512E"/>
    <w:rsid w:val="5ED63FC2"/>
    <w:rsid w:val="5EE45516"/>
    <w:rsid w:val="5FD46899"/>
    <w:rsid w:val="5FD61FD6"/>
    <w:rsid w:val="60460965"/>
    <w:rsid w:val="6050634D"/>
    <w:rsid w:val="61354AB5"/>
    <w:rsid w:val="617F742F"/>
    <w:rsid w:val="62016700"/>
    <w:rsid w:val="622E5D39"/>
    <w:rsid w:val="63124DBD"/>
    <w:rsid w:val="635903D4"/>
    <w:rsid w:val="646B5557"/>
    <w:rsid w:val="65B36EF1"/>
    <w:rsid w:val="65C97F87"/>
    <w:rsid w:val="65E60C0C"/>
    <w:rsid w:val="6604027D"/>
    <w:rsid w:val="66946F47"/>
    <w:rsid w:val="677036EC"/>
    <w:rsid w:val="682E2769"/>
    <w:rsid w:val="684510B6"/>
    <w:rsid w:val="6A4D37F6"/>
    <w:rsid w:val="6A970962"/>
    <w:rsid w:val="6A9E47C4"/>
    <w:rsid w:val="6AAE5576"/>
    <w:rsid w:val="6ABD6C3B"/>
    <w:rsid w:val="6AF76ABC"/>
    <w:rsid w:val="6AFD23D9"/>
    <w:rsid w:val="6B23775C"/>
    <w:rsid w:val="6B5D6B38"/>
    <w:rsid w:val="6BE373CC"/>
    <w:rsid w:val="6C2966F6"/>
    <w:rsid w:val="6C5E5250"/>
    <w:rsid w:val="6CCA0C5F"/>
    <w:rsid w:val="6E4D7C1E"/>
    <w:rsid w:val="6EA35A1F"/>
    <w:rsid w:val="6EAA3D3E"/>
    <w:rsid w:val="6ED004D7"/>
    <w:rsid w:val="6ED256FD"/>
    <w:rsid w:val="6EE131BA"/>
    <w:rsid w:val="6F74423D"/>
    <w:rsid w:val="70F76756"/>
    <w:rsid w:val="7114779B"/>
    <w:rsid w:val="712868A1"/>
    <w:rsid w:val="7130783B"/>
    <w:rsid w:val="71562100"/>
    <w:rsid w:val="729A79A5"/>
    <w:rsid w:val="72C316BB"/>
    <w:rsid w:val="72DC013B"/>
    <w:rsid w:val="72F06AFF"/>
    <w:rsid w:val="73D87888"/>
    <w:rsid w:val="73D918B9"/>
    <w:rsid w:val="73E170BF"/>
    <w:rsid w:val="741E53F6"/>
    <w:rsid w:val="743C7B32"/>
    <w:rsid w:val="74457D7C"/>
    <w:rsid w:val="74873A10"/>
    <w:rsid w:val="754B5B39"/>
    <w:rsid w:val="75A9354E"/>
    <w:rsid w:val="75BA0406"/>
    <w:rsid w:val="75EB06EF"/>
    <w:rsid w:val="761B655E"/>
    <w:rsid w:val="77663D48"/>
    <w:rsid w:val="779E2B03"/>
    <w:rsid w:val="78FB0FDD"/>
    <w:rsid w:val="7B244D46"/>
    <w:rsid w:val="7CA705F6"/>
    <w:rsid w:val="7CCD2795"/>
    <w:rsid w:val="7D2D0BB7"/>
    <w:rsid w:val="7D4C0316"/>
    <w:rsid w:val="7DFB469E"/>
    <w:rsid w:val="7E8C52A1"/>
    <w:rsid w:val="7EBF04C4"/>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qFormat/>
    <w:uiPriority w:val="0"/>
    <w:pPr>
      <w:keepNext/>
      <w:keepLines/>
      <w:spacing w:before="340" w:after="330" w:line="360" w:lineRule="auto"/>
      <w:jc w:val="center"/>
      <w:outlineLvl w:val="0"/>
    </w:pPr>
    <w:rPr>
      <w:rFonts w:ascii="Times New Roman" w:hAnsi="Times New Roman" w:eastAsia="宋体" w:cs="Times New Roman"/>
      <w:b/>
      <w:bCs/>
      <w:kern w:val="44"/>
      <w:sz w:val="30"/>
      <w:szCs w:val="44"/>
    </w:rPr>
  </w:style>
  <w:style w:type="character" w:default="1" w:styleId="10">
    <w:name w:val="Default Paragraph Font"/>
    <w:unhideWhenUsed/>
    <w:qFormat/>
    <w:uiPriority w:val="1"/>
  </w:style>
  <w:style w:type="table" w:default="1" w:styleId="12">
    <w:name w:val="Normal Table"/>
    <w:unhideWhenUsed/>
    <w:qFormat/>
    <w:uiPriority w:val="99"/>
    <w:tblPr>
      <w:tblLayout w:type="fixed"/>
      <w:tblCellMar>
        <w:top w:w="0" w:type="dxa"/>
        <w:left w:w="108" w:type="dxa"/>
        <w:bottom w:w="0" w:type="dxa"/>
        <w:right w:w="108" w:type="dxa"/>
      </w:tblCellMar>
    </w:tblPr>
  </w:style>
  <w:style w:type="paragraph" w:styleId="2">
    <w:name w:val="Normal Indent"/>
    <w:basedOn w:val="1"/>
    <w:qFormat/>
    <w:uiPriority w:val="0"/>
    <w:pPr>
      <w:ind w:firstLine="420"/>
    </w:pPr>
    <w:rPr>
      <w:rFonts w:ascii="Times New Roman" w:hAnsi="Times New Roman" w:eastAsia="宋体" w:cs="Times New Roman"/>
      <w:szCs w:val="20"/>
    </w:rPr>
  </w:style>
  <w:style w:type="paragraph" w:styleId="4">
    <w:name w:val="Body Text"/>
    <w:basedOn w:val="1"/>
    <w:next w:val="1"/>
    <w:qFormat/>
    <w:uiPriority w:val="0"/>
    <w:pPr>
      <w:spacing w:after="120"/>
    </w:pPr>
    <w:rPr>
      <w:rFonts w:ascii="Times New Roman" w:hAnsi="Times New Roman"/>
      <w:szCs w:val="24"/>
    </w:rPr>
  </w:style>
  <w:style w:type="paragraph" w:styleId="5">
    <w:name w:val="Plain Text"/>
    <w:basedOn w:val="1"/>
    <w:qFormat/>
    <w:uiPriority w:val="0"/>
    <w:rPr>
      <w:rFonts w:ascii="宋体" w:hAnsi="Courier New" w:eastAsia="宋体" w:cs="Times New Roman"/>
      <w:kern w:val="0"/>
      <w:sz w:val="20"/>
      <w:szCs w:val="21"/>
    </w:rPr>
  </w:style>
  <w:style w:type="paragraph" w:styleId="6">
    <w:name w:val="footer"/>
    <w:basedOn w:val="1"/>
    <w:qFormat/>
    <w:uiPriority w:val="0"/>
    <w:pPr>
      <w:tabs>
        <w:tab w:val="center" w:pos="4153"/>
        <w:tab w:val="right" w:pos="8306"/>
      </w:tabs>
      <w:snapToGrid w:val="0"/>
      <w:jc w:val="left"/>
    </w:pPr>
    <w:rPr>
      <w:rFonts w:ascii="Times New Roman" w:hAnsi="Times New Roman" w:eastAsia="宋体" w:cs="Times New Roman"/>
      <w:kern w:val="0"/>
      <w:sz w:val="18"/>
      <w:szCs w:val="20"/>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rFonts w:ascii="Times New Roman" w:hAnsi="Times New Roman" w:eastAsia="宋体" w:cs="Times New Roman"/>
      <w:kern w:val="0"/>
      <w:sz w:val="18"/>
      <w:szCs w:val="20"/>
    </w:rPr>
  </w:style>
  <w:style w:type="paragraph" w:styleId="8">
    <w:name w:val="toc 1"/>
    <w:basedOn w:val="1"/>
    <w:next w:val="1"/>
    <w:qFormat/>
    <w:uiPriority w:val="0"/>
    <w:pPr>
      <w:adjustRightInd w:val="0"/>
      <w:snapToGrid w:val="0"/>
    </w:pPr>
    <w:rPr>
      <w:rFonts w:ascii="Times New Roman" w:hAnsi="Times New Roman" w:eastAsia="仿宋" w:cs="Times New Roman"/>
      <w:szCs w:val="24"/>
    </w:rPr>
  </w:style>
  <w:style w:type="paragraph" w:styleId="9">
    <w:name w:val="Title"/>
    <w:basedOn w:val="1"/>
    <w:next w:val="1"/>
    <w:qFormat/>
    <w:uiPriority w:val="0"/>
    <w:pPr>
      <w:spacing w:before="60" w:after="60"/>
      <w:jc w:val="center"/>
      <w:outlineLvl w:val="0"/>
    </w:pPr>
    <w:rPr>
      <w:rFonts w:ascii="Cambria" w:hAnsi="Cambria" w:eastAsia="黑体" w:cs="Times New Roman"/>
      <w:b/>
      <w:bCs/>
      <w:kern w:val="0"/>
      <w:sz w:val="32"/>
      <w:szCs w:val="32"/>
    </w:rPr>
  </w:style>
  <w:style w:type="character" w:styleId="11">
    <w:name w:val="page number"/>
    <w:basedOn w:val="10"/>
    <w:qFormat/>
    <w:uiPriority w:val="0"/>
  </w:style>
  <w:style w:type="paragraph" w:customStyle="1" w:styleId="13">
    <w:name w:val="正文_0"/>
    <w:qFormat/>
    <w:uiPriority w:val="0"/>
    <w:pPr>
      <w:widowControl w:val="0"/>
      <w:jc w:val="both"/>
    </w:pPr>
    <w:rPr>
      <w:rFonts w:ascii="Calibri" w:hAnsi="Calibri" w:eastAsia="宋体" w:cs="Calibri"/>
      <w:kern w:val="2"/>
      <w:sz w:val="21"/>
      <w:szCs w:val="24"/>
      <w:lang w:val="en-US" w:eastAsia="zh-CN" w:bidi="ar-SA"/>
    </w:rPr>
  </w:style>
  <w:style w:type="paragraph" w:customStyle="1" w:styleId="14">
    <w:name w:val="_Style 3"/>
    <w:basedOn w:val="1"/>
    <w:qFormat/>
    <w:uiPriority w:val="0"/>
    <w:pPr>
      <w:ind w:firstLine="420" w:firstLineChars="200"/>
    </w:pPr>
    <w:rPr>
      <w:szCs w:val="20"/>
    </w:rPr>
  </w:style>
  <w:style w:type="paragraph" w:customStyle="1" w:styleId="15">
    <w:name w:val="列出段落1"/>
    <w:basedOn w:val="1"/>
    <w:unhideWhenUsed/>
    <w:qFormat/>
    <w:uiPriority w:val="99"/>
    <w:pPr>
      <w:ind w:firstLine="420" w:firstLineChars="200"/>
    </w:pPr>
    <w:rPr>
      <w:rFonts w:ascii="Calibri" w:hAnsi="Calibri" w:eastAsia="宋体" w:cs="Times New Roman"/>
    </w:rPr>
  </w:style>
  <w:style w:type="paragraph" w:customStyle="1" w:styleId="16">
    <w:name w:val="样式 正文文本"/>
    <w:basedOn w:val="1"/>
    <w:qFormat/>
    <w:uiPriority w:val="0"/>
    <w:pPr>
      <w:adjustRightInd w:val="0"/>
      <w:snapToGrid w:val="0"/>
      <w:spacing w:line="400" w:lineRule="exact"/>
      <w:ind w:firstLine="200" w:firstLineChars="200"/>
    </w:pPr>
    <w:rPr>
      <w:rFonts w:ascii="Arial" w:hAnsi="Arial" w:eastAsia="宋体" w:cs="Times New Roman"/>
      <w:color w:val="000000"/>
      <w:szCs w:val="20"/>
    </w:rPr>
  </w:style>
  <w:style w:type="paragraph" w:customStyle="1" w:styleId="17">
    <w:name w:val="样式 样式1 + 首行缩进:  2 字符"/>
    <w:basedOn w:val="1"/>
    <w:qFormat/>
    <w:uiPriority w:val="0"/>
    <w:pPr>
      <w:spacing w:line="360" w:lineRule="exact"/>
      <w:ind w:firstLine="420" w:firstLineChars="200"/>
    </w:pPr>
    <w:rPr>
      <w:rFonts w:ascii="Arial" w:hAnsi="Arial" w:eastAsia="宋体" w:cs="Times New Roman"/>
      <w:szCs w:val="20"/>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header" Target="header2.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31</Pages>
  <Words>3558</Words>
  <Characters>20285</Characters>
  <Lines>169</Lines>
  <Paragraphs>47</Paragraphs>
  <ScaleCrop>false</ScaleCrop>
  <LinksUpToDate>false</LinksUpToDate>
  <CharactersWithSpaces>23796</CharactersWithSpaces>
  <Application>WPS Office_10.8.0.5838_F1E327BC-269C-435d-A152-05C5408002CA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dell</dc:creator>
  <cp:lastModifiedBy>张乾波</cp:lastModifiedBy>
  <dcterms:modified xsi:type="dcterms:W3CDTF">2022-11-28T09:53:05Z</dcterms:modified>
  <cp:revision>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2052-10.8.0.5838</vt:lpwstr>
  </property>
  <property fmtid="{D5CDD505-2E9C-101B-9397-08002B2CF9AE}" pid="3" name="ICV">
    <vt:lpwstr>9827B782D2C44DD98ED7AB2082A6BD59</vt:lpwstr>
  </property>
</Properties>
</file>